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6140" w14:textId="279C2835" w:rsidR="007B4621" w:rsidRPr="007B4621" w:rsidRDefault="007B4621" w:rsidP="007B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Siguranța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cetățenilor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integritatea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lor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fizică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preîntâmpinarea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producerii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pagube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costisitoare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sunt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coordonatele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Lucian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Bogdanel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prefectul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judetului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Bacau,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şedința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diseminare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noilor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prevederi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legale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privitoare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prevenirea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combaterea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atacurilor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urs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brun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județul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Bacău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. Au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participat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şefii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instituțiilor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atribuții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domeniu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reprezentanții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legali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ai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celor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20 de UAT-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uri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incidența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cazurilor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cea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ridicată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76ABC67" w14:textId="35DC93ED" w:rsidR="007B4621" w:rsidRPr="007B4621" w:rsidRDefault="007B4621" w:rsidP="007B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62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A38D192" wp14:editId="627822D1">
            <wp:extent cx="152400" cy="152400"/>
            <wp:effectExtent l="0" t="0" r="0" b="0"/>
            <wp:docPr id="8" name="Picture 8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Reglementările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consacrate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197/2022,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care s-au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introdus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multe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modificări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clarificări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la OUG 81/2021,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menite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B462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eficientiza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intervențiile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teren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totodată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delimita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partaja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atribuțiile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competențele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responsabilitățile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revin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instituțiilor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autorităților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participante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4CA817B" w14:textId="77777777" w:rsidR="007B4621" w:rsidRPr="007B4621" w:rsidRDefault="007B4621" w:rsidP="007B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Noul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text nu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distinge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între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intervenția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intravilanul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UAT-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urilor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extravilan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definind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intervenția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imediată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", precum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durata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maximă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B462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intervenției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fixată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la 24 de ore. </w:t>
      </w:r>
    </w:p>
    <w:p w14:paraId="37D5F8CB" w14:textId="1F22632B" w:rsidR="007B4621" w:rsidRPr="007B4621" w:rsidRDefault="007B4621" w:rsidP="007B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62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0CCB332" wp14:editId="70B65D33">
            <wp:extent cx="152400" cy="152400"/>
            <wp:effectExtent l="0" t="0" r="0" b="0"/>
            <wp:docPr id="7" name="Picture 7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ANEXA NR. 2 la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sus-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menționată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stabileşte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fără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echivoc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" w:history="1">
        <w:r w:rsidRPr="007B46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#PROCEDURA</w:t>
        </w:r>
      </w:hyperlink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modul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acțiune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instituțiilor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responsabile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incidentelor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care sunt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implicați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urşi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B64490" w14:textId="77777777" w:rsidR="007B4621" w:rsidRPr="007B4621" w:rsidRDefault="007B4621" w:rsidP="007B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Procedura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între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altele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comportamentului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animalului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sălbatic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nivelului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risc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, precum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modului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soluționare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situației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create (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alungare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tranchilizare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eutanasiere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extragere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împuşcare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971005C" w14:textId="3BF4E0AB" w:rsidR="007B4621" w:rsidRPr="007B4621" w:rsidRDefault="007B4621" w:rsidP="007B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62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0340E1" wp14:editId="5DF931B5">
            <wp:extent cx="152400" cy="152400"/>
            <wp:effectExtent l="0" t="0" r="0" b="0"/>
            <wp:docPr id="6" name="Picture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Astfel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, ECHIPA DE </w:t>
      </w:r>
      <w:hyperlink r:id="rId7" w:history="1">
        <w:r w:rsidRPr="007B46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#INTERVENȚIE</w:t>
        </w:r>
      </w:hyperlink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condusă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primar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viceprimar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UAT, care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obligat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deplaseze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fața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locului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conducă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teren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operațiunile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echipei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. Din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echipă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fac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personalul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structurilor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jandarmi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personalul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tehnic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angajat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gestionarului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care a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încheiat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contract de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prestări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permanență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intervenție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imediată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medicul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veterinar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F279E2B" w14:textId="7F70550A" w:rsidR="007B4621" w:rsidRPr="007B4621" w:rsidRDefault="007B4621" w:rsidP="007B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62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FDCEF06" wp14:editId="7068CC3E">
            <wp:extent cx="152400" cy="152400"/>
            <wp:effectExtent l="0" t="0" r="0" b="0"/>
            <wp:docPr id="5" name="Picture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Pr="007B46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#PRESTATORUL</w:t>
        </w:r>
      </w:hyperlink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face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analiza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gradului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risc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împreună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ceilalți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membri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ai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echipei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intervenție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stabileşte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natura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intervenției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. De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asemenea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>, PRESTATORUL "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extrage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împuşcare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exemplarul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urs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deciziei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conducătorului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echipei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intervenție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14:paraId="6DEB9BCE" w14:textId="77777777" w:rsidR="007B4621" w:rsidRPr="007B4621" w:rsidRDefault="007B4621" w:rsidP="007B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finalizarea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intervenției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, se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completează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raportul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eveniment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detalia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modul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intervenție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rezultatele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obținute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2C512EB" w14:textId="77777777" w:rsidR="007B4621" w:rsidRPr="007B4621" w:rsidRDefault="007B4621" w:rsidP="007B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termen de 24 de ore de la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întocmire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raportul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transmis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conducătorul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echipei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intervenție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APM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CJSU. </w:t>
      </w:r>
    </w:p>
    <w:p w14:paraId="5D737632" w14:textId="36AF7F36" w:rsidR="007B4621" w:rsidRPr="007B4621" w:rsidRDefault="007B4621" w:rsidP="007B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62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9CA999D" wp14:editId="37F7C0E2">
            <wp:extent cx="152400" cy="152400"/>
            <wp:effectExtent l="0" t="0" r="0" b="0"/>
            <wp:docPr id="4" name="Picture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dispune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asemenea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contravenții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nerespectarea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măsurilor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exemplificate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sus,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valoarea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contravenției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fiind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stabilită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între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7000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10.000 lei. </w:t>
      </w:r>
    </w:p>
    <w:p w14:paraId="318A382E" w14:textId="48858DB7" w:rsidR="007B4621" w:rsidRPr="007B4621" w:rsidRDefault="007B4621" w:rsidP="007B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62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C73ED1C" wp14:editId="1CB0DFC7">
            <wp:extent cx="152400" cy="152400"/>
            <wp:effectExtent l="0" t="0" r="0" b="0"/>
            <wp:docPr id="3" name="Picture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Din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raportările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Inspectoratului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Jandarmi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Județean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Bacău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reieşit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ultimele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aprox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. 2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notificate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40 de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incidente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vizând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prezența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exemplarelor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urs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diferite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comunități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doar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singur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raport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eveniment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redactat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echipa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intervenție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14:paraId="1E9A094A" w14:textId="48B70320" w:rsidR="007B4621" w:rsidRPr="007B4621" w:rsidRDefault="007B4621" w:rsidP="007B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62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65C132D" wp14:editId="4F425C2C">
            <wp:extent cx="152400" cy="152400"/>
            <wp:effectExtent l="0" t="0" r="0" b="0"/>
            <wp:docPr id="2" name="Picture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62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558948B" wp14:editId="561E8A93">
            <wp:extent cx="152400" cy="152400"/>
            <wp:effectExtent l="0" t="0" r="0" b="0"/>
            <wp:docPr id="1" name="Picture 1" descr="🆘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🆘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S-a</w:t>
      </w:r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cerut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primarilor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trateze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maximă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responsabilitate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atribuțiile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revin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197/2022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aibă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faptul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siguranța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cetățenilor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pe care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îi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conduc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depinde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mod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covârşitor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determinarea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cu care se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implică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conducerea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echipelor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intervenție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egală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măsură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promptitudinea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asumării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621">
        <w:rPr>
          <w:rFonts w:ascii="Times New Roman" w:eastAsia="Times New Roman" w:hAnsi="Times New Roman" w:cs="Times New Roman"/>
          <w:sz w:val="24"/>
          <w:szCs w:val="24"/>
        </w:rPr>
        <w:t>deciziei</w:t>
      </w:r>
      <w:proofErr w:type="spellEnd"/>
      <w:r w:rsidRPr="007B4621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6BE67CE8" w14:textId="77777777" w:rsidR="00A92BA2" w:rsidRDefault="00A92BA2"/>
    <w:sectPr w:rsidR="00A92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21"/>
    <w:rsid w:val="007B4621"/>
    <w:rsid w:val="00A9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D967A"/>
  <w15:chartTrackingRefBased/>
  <w15:docId w15:val="{2EADD6AF-8EC5-4798-9D07-C0A3A2B2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4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prestatorul?__eep__=6&amp;__cft__%5b0%5d=AZWYNJlGjbdl0ASr7YaRMaJOHbiSnWlSZRCT9VnoN6t5RuObZLA5Rz7a1hf8uv0tK6ontiU-Ml112qQ5CAVXhDHpFo7shCqJXne9OhKse54z9Cyn5dClOgHrg0_SaGWN94kt6KmNR8cJKfEVJwSOhn-i6ErUwkOG3BZJGx9WlHWKdg6rsyPXR5ulP8Bc6Q9-g8KFccaKqgOtj1I8pFCEv1BV&amp;__tn__=*NK-y-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interven%C8%9Bie?__eep__=6&amp;__cft__%5b0%5d=AZWYNJlGjbdl0ASr7YaRMaJOHbiSnWlSZRCT9VnoN6t5RuObZLA5Rz7a1hf8uv0tK6ontiU-Ml112qQ5CAVXhDHpFo7shCqJXne9OhKse54z9Cyn5dClOgHrg0_SaGWN94kt6KmNR8cJKfEVJwSOhn-i6ErUwkOG3BZJGx9WlHWKdg6rsyPXR5ulP8Bc6Q9-g8KFccaKqgOtj1I8pFCEv1BV&amp;__tn__=*NK-y-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www.facebook.com/hashtag/procedura?__eep__=6&amp;__cft__%5b0%5d=AZWYNJlGjbdl0ASr7YaRMaJOHbiSnWlSZRCT9VnoN6t5RuObZLA5Rz7a1hf8uv0tK6ontiU-Ml112qQ5CAVXhDHpFo7shCqJXne9OhKse54z9Cyn5dClOgHrg0_SaGWN94kt6KmNR8cJKfEVJwSOhn-i6ErUwkOG3BZJGx9WlHWKdg6rsyPXR5ulP8Bc6Q9-g8KFccaKqgOtj1I8pFCEv1BV&amp;__tn__=*NK-y-R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Ionos</dc:creator>
  <cp:keywords/>
  <dc:description/>
  <cp:lastModifiedBy>Ovidiu Ionos</cp:lastModifiedBy>
  <cp:revision>1</cp:revision>
  <dcterms:created xsi:type="dcterms:W3CDTF">2022-07-20T17:07:00Z</dcterms:created>
  <dcterms:modified xsi:type="dcterms:W3CDTF">2022-07-20T17:09:00Z</dcterms:modified>
</cp:coreProperties>
</file>