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BE58F0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BE58F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7749603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58705B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31</w:t>
      </w:r>
      <w:r w:rsidR="001C4BE8">
        <w:rPr>
          <w:rFonts w:ascii="Arial" w:eastAsia="Times New Roman" w:hAnsi="Arial" w:cs="Arial"/>
          <w:b/>
          <w:lang w:val="ro-RO"/>
        </w:rPr>
        <w:t>.05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 w:rsidR="00A57D4D">
        <w:rPr>
          <w:rFonts w:ascii="Arial" w:eastAsia="Times New Roman" w:hAnsi="Arial" w:cs="Arial"/>
          <w:b/>
          <w:lang w:val="ro-RO"/>
        </w:rPr>
        <w:t>7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8705B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721098" w:rsidRPr="00E65071">
        <w:rPr>
          <w:rFonts w:ascii="Arial" w:hAnsi="Arial" w:cs="Arial"/>
          <w:lang w:val="ro-RO"/>
        </w:rPr>
        <w:t>SC GEMIR SERV COM SRL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9A7113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cu </w:t>
      </w:r>
      <w:r w:rsidR="0069010E" w:rsidRPr="00532144">
        <w:rPr>
          <w:rFonts w:ascii="Arial" w:eastAsia="Times New Roman" w:hAnsi="Arial" w:cs="Arial"/>
          <w:lang w:val="ro-RO"/>
        </w:rPr>
        <w:t>sedi</w:t>
      </w:r>
      <w:r w:rsidR="00635D2D" w:rsidRPr="00532144">
        <w:rPr>
          <w:rFonts w:ascii="Arial" w:eastAsia="Times New Roman" w:hAnsi="Arial" w:cs="Arial"/>
          <w:lang w:val="ro-RO"/>
        </w:rPr>
        <w:t>u</w:t>
      </w:r>
      <w:r w:rsidR="00A81352" w:rsidRPr="00532144">
        <w:rPr>
          <w:rFonts w:ascii="Arial" w:eastAsia="Times New Roman" w:hAnsi="Arial" w:cs="Arial"/>
          <w:lang w:val="ro-RO"/>
        </w:rPr>
        <w:t>l</w:t>
      </w:r>
      <w:r w:rsidRPr="00532144">
        <w:rPr>
          <w:rFonts w:ascii="Arial" w:eastAsia="Times New Roman" w:hAnsi="Arial" w:cs="Arial"/>
          <w:lang w:val="ro-RO"/>
        </w:rPr>
        <w:t xml:space="preserve"> în </w:t>
      </w:r>
      <w:r w:rsidR="00721098" w:rsidRPr="005F11EA">
        <w:rPr>
          <w:rFonts w:ascii="Arial" w:eastAsia="Times New Roman" w:hAnsi="Arial" w:cs="Arial"/>
          <w:lang w:val="ro-RO"/>
        </w:rPr>
        <w:t xml:space="preserve">municipiul Bistriţa, </w:t>
      </w:r>
      <w:r w:rsidR="00721098">
        <w:rPr>
          <w:rFonts w:ascii="Arial" w:eastAsia="Times New Roman" w:hAnsi="Arial" w:cs="Arial"/>
          <w:lang w:val="ro-RO"/>
        </w:rPr>
        <w:t>str. Subcetate, nr. 18</w:t>
      </w:r>
      <w:r w:rsidR="00E07BBD" w:rsidRPr="00532144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A57D4D">
        <w:rPr>
          <w:rFonts w:ascii="Arial" w:eastAsia="Times New Roman" w:hAnsi="Arial" w:cs="Arial"/>
          <w:lang w:val="ro-RO"/>
        </w:rPr>
        <w:t>județul Bistriţa-Năsăud,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58705B">
        <w:rPr>
          <w:rFonts w:ascii="Arial" w:eastAsia="Times New Roman" w:hAnsi="Arial" w:cs="Arial"/>
          <w:i/>
          <w:lang w:val="ro-RO"/>
        </w:rPr>
        <w:t>4277/12.04</w:t>
      </w:r>
      <w:r w:rsidR="0058705B" w:rsidRPr="007300B5">
        <w:rPr>
          <w:rFonts w:ascii="Arial" w:eastAsia="Times New Roman" w:hAnsi="Arial" w:cs="Arial"/>
          <w:i/>
          <w:lang w:val="ro-RO"/>
        </w:rPr>
        <w:t>.201</w:t>
      </w:r>
      <w:r w:rsidR="0058705B">
        <w:rPr>
          <w:rFonts w:ascii="Arial" w:eastAsia="Times New Roman" w:hAnsi="Arial" w:cs="Arial"/>
          <w:i/>
          <w:lang w:val="ro-RO"/>
        </w:rPr>
        <w:t>7</w:t>
      </w:r>
      <w:r w:rsidR="00BE664A" w:rsidRPr="005B74FA">
        <w:rPr>
          <w:rFonts w:ascii="Arial" w:eastAsia="Times New Roman" w:hAnsi="Arial" w:cs="Arial"/>
          <w:i/>
          <w:lang w:val="ro-RO"/>
        </w:rPr>
        <w:t>,</w:t>
      </w:r>
      <w:r w:rsidR="00BE664A" w:rsidRPr="005B74FA">
        <w:rPr>
          <w:rFonts w:ascii="Arial" w:eastAsia="Times New Roman" w:hAnsi="Arial" w:cs="Arial"/>
          <w:lang w:val="ro-RO"/>
        </w:rPr>
        <w:t xml:space="preserve"> </w:t>
      </w:r>
      <w:r w:rsidR="00BE664A" w:rsidRPr="005B74FA">
        <w:rPr>
          <w:rFonts w:ascii="Arial" w:eastAsia="Times New Roman" w:hAnsi="Arial" w:cs="Arial"/>
          <w:i/>
          <w:lang w:val="ro-RO"/>
        </w:rPr>
        <w:t>c</w:t>
      </w:r>
      <w:r w:rsidR="0058705B">
        <w:rPr>
          <w:rFonts w:ascii="Arial" w:eastAsia="Times New Roman" w:hAnsi="Arial" w:cs="Arial"/>
          <w:i/>
          <w:lang w:val="ro-RO"/>
        </w:rPr>
        <w:t>u ultima completare la nr. 6119/25.05</w:t>
      </w:r>
      <w:r w:rsidR="00BE664A">
        <w:rPr>
          <w:rFonts w:ascii="Arial" w:eastAsia="Times New Roman" w:hAnsi="Arial" w:cs="Arial"/>
          <w:i/>
          <w:lang w:val="ro-RO"/>
        </w:rPr>
        <w:t>.2017</w:t>
      </w:r>
      <w:r w:rsidR="00A076C0" w:rsidRPr="00532144">
        <w:rPr>
          <w:rFonts w:ascii="Arial" w:eastAsia="Times New Roman" w:hAnsi="Arial" w:cs="Arial"/>
          <w:i/>
          <w:lang w:val="ro-RO"/>
        </w:rPr>
        <w:t>,</w:t>
      </w:r>
      <w:r w:rsidR="00A076C0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>în baza Ho</w:t>
      </w:r>
      <w:r w:rsidR="007E7CCD" w:rsidRPr="00532144">
        <w:rPr>
          <w:rFonts w:ascii="Arial" w:eastAsia="Times New Roman" w:hAnsi="Arial" w:cs="Arial"/>
          <w:lang w:val="ro-RO"/>
        </w:rPr>
        <w:t xml:space="preserve">tărârii Guvernului nr. 445/2009 </w:t>
      </w:r>
      <w:r w:rsidRPr="00532144">
        <w:rPr>
          <w:rFonts w:ascii="Arial" w:eastAsia="Times New Roman" w:hAnsi="Arial" w:cs="Arial"/>
          <w:lang w:val="ro-RO"/>
        </w:rPr>
        <w:t xml:space="preserve">privind evaluarea impactului anumitor proiecte publice şi private asupra mediului şi a Ordonanţei de Urgenţă a Guvernului nr. 57/2007 privind regimul ariilor naturale protejate, conservarea habitatelor naturale, a florei şi faunei </w:t>
      </w:r>
      <w:r w:rsidRPr="0058705B">
        <w:rPr>
          <w:rFonts w:ascii="Arial" w:eastAsia="Times New Roman" w:hAnsi="Arial" w:cs="Arial"/>
          <w:lang w:val="ro-RO"/>
        </w:rPr>
        <w:t>sălbatice, cu modificările şi completările ulterioare,</w:t>
      </w:r>
    </w:p>
    <w:p w:rsidR="00825666" w:rsidRPr="0058705B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8705B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58705B" w:rsidRPr="0058705B">
        <w:rPr>
          <w:rFonts w:ascii="Arial" w:eastAsia="Times New Roman" w:hAnsi="Arial" w:cs="Arial"/>
          <w:i/>
          <w:lang w:val="ro-RO"/>
        </w:rPr>
        <w:t>31</w:t>
      </w:r>
      <w:r w:rsidR="00721098" w:rsidRPr="0058705B">
        <w:rPr>
          <w:rFonts w:ascii="Arial" w:eastAsia="Times New Roman" w:hAnsi="Arial" w:cs="Arial"/>
          <w:i/>
          <w:lang w:val="ro-RO"/>
        </w:rPr>
        <w:t>.05</w:t>
      </w:r>
      <w:r w:rsidRPr="0058705B">
        <w:rPr>
          <w:rFonts w:ascii="Arial" w:eastAsia="Times New Roman" w:hAnsi="Arial" w:cs="Arial"/>
          <w:i/>
          <w:lang w:val="ro-RO"/>
        </w:rPr>
        <w:t>.201</w:t>
      </w:r>
      <w:r w:rsidR="00A57D4D" w:rsidRPr="0058705B">
        <w:rPr>
          <w:rFonts w:ascii="Arial" w:eastAsia="Times New Roman" w:hAnsi="Arial" w:cs="Arial"/>
          <w:i/>
          <w:lang w:val="ro-RO"/>
        </w:rPr>
        <w:t>7</w:t>
      </w:r>
      <w:r w:rsidRPr="0058705B">
        <w:rPr>
          <w:rFonts w:ascii="Arial" w:eastAsia="Times New Roman" w:hAnsi="Arial" w:cs="Arial"/>
          <w:lang w:val="ro-RO"/>
        </w:rPr>
        <w:t xml:space="preserve">, că proiectul </w:t>
      </w:r>
      <w:r w:rsidR="0058705B" w:rsidRPr="0058705B">
        <w:rPr>
          <w:rFonts w:ascii="Arial" w:hAnsi="Arial" w:cs="Arial"/>
          <w:i/>
          <w:lang w:val="ro-RO"/>
        </w:rPr>
        <w:t>Construire clădire în regim de înălțime P+1E+M cu destinația de spații cazare și birouri, centrală termică și lemnărie parter</w:t>
      </w:r>
      <w:r w:rsidR="009A7113" w:rsidRPr="0058705B">
        <w:rPr>
          <w:rFonts w:ascii="Arial" w:hAnsi="Arial" w:cs="Arial"/>
          <w:bCs/>
          <w:i/>
          <w:lang w:val="ro-RO" w:eastAsia="ar-SA"/>
        </w:rPr>
        <w:t xml:space="preserve">, </w:t>
      </w:r>
      <w:r w:rsidR="00721098" w:rsidRPr="0058705B">
        <w:rPr>
          <w:rFonts w:ascii="Arial" w:eastAsia="Times New Roman" w:hAnsi="Arial" w:cs="Arial"/>
          <w:lang w:val="ro-RO"/>
        </w:rPr>
        <w:t xml:space="preserve">propus a fi amplasat în </w:t>
      </w:r>
      <w:r w:rsidR="00721098" w:rsidRPr="0058705B">
        <w:rPr>
          <w:rFonts w:ascii="Arial" w:eastAsia="Times New Roman" w:hAnsi="Arial" w:cs="Arial"/>
          <w:i/>
          <w:lang w:val="ro-RO"/>
        </w:rPr>
        <w:t>localitatea Livezile, nr. 600, comuna Livezile</w:t>
      </w:r>
      <w:r w:rsidR="00BE664A" w:rsidRPr="0058705B">
        <w:rPr>
          <w:rFonts w:ascii="Arial" w:eastAsia="Times New Roman" w:hAnsi="Arial" w:cs="Arial"/>
          <w:lang w:val="ro-RO"/>
        </w:rPr>
        <w:t xml:space="preserve">, </w:t>
      </w:r>
      <w:r w:rsidR="009E63AC" w:rsidRPr="0058705B">
        <w:rPr>
          <w:rFonts w:ascii="Arial" w:eastAsia="Times New Roman" w:hAnsi="Arial" w:cs="Arial"/>
          <w:lang w:val="ro-RO"/>
        </w:rPr>
        <w:t>județul</w:t>
      </w:r>
      <w:r w:rsidRPr="0058705B">
        <w:rPr>
          <w:rFonts w:ascii="Arial" w:eastAsia="Times New Roman" w:hAnsi="Arial" w:cs="Arial"/>
          <w:lang w:val="ro-RO"/>
        </w:rPr>
        <w:t xml:space="preserve"> Bistriţa-Năsăud, </w:t>
      </w:r>
      <w:r w:rsidRPr="0058705B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8705B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58705B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8705B">
        <w:rPr>
          <w:rFonts w:ascii="Arial" w:eastAsia="Times New Roman" w:hAnsi="Arial" w:cs="Arial"/>
          <w:lang w:val="ro-RO"/>
        </w:rPr>
        <w:t>Justificarea prezentei decizii</w:t>
      </w:r>
      <w:r w:rsidRPr="00532144">
        <w:rPr>
          <w:rFonts w:ascii="Arial" w:eastAsia="Times New Roman" w:hAnsi="Arial" w:cs="Arial"/>
          <w:lang w:val="ro-RO"/>
        </w:rPr>
        <w:t>:</w:t>
      </w:r>
    </w:p>
    <w:p w:rsidR="00825666" w:rsidRPr="00721098" w:rsidRDefault="00825666" w:rsidP="007210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</w:t>
      </w:r>
      <w:r w:rsidRPr="00721098">
        <w:rPr>
          <w:rFonts w:ascii="Arial" w:eastAsia="Times New Roman" w:hAnsi="Arial" w:cs="Arial"/>
          <w:lang w:val="ro-RO"/>
        </w:rPr>
        <w:t xml:space="preserve">a impactului asupra mediului sunt următoarele: </w:t>
      </w:r>
    </w:p>
    <w:p w:rsidR="001A76A0" w:rsidRPr="0058705B" w:rsidRDefault="004C11CF" w:rsidP="0058705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21098">
        <w:rPr>
          <w:rFonts w:ascii="Arial" w:eastAsia="Times New Roman" w:hAnsi="Arial" w:cs="Arial"/>
          <w:i/>
          <w:lang w:val="ro-RO"/>
        </w:rPr>
        <w:t>a</w:t>
      </w:r>
      <w:r w:rsidR="001A76A0" w:rsidRPr="00721098">
        <w:rPr>
          <w:rFonts w:ascii="Arial" w:eastAsia="Times New Roman" w:hAnsi="Arial" w:cs="Arial"/>
          <w:i/>
          <w:lang w:val="ro-RO"/>
        </w:rPr>
        <w:t xml:space="preserve">) </w:t>
      </w:r>
      <w:r w:rsidR="001A76A0" w:rsidRPr="00721098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 la </w:t>
      </w:r>
      <w:r w:rsidR="001A76A0" w:rsidRPr="00721098">
        <w:rPr>
          <w:rFonts w:ascii="Arial" w:hAnsi="Arial" w:cs="Arial"/>
          <w:i/>
          <w:iCs/>
          <w:lang w:val="ro-RO"/>
        </w:rPr>
        <w:t>punctul 10,</w:t>
      </w:r>
      <w:r w:rsidR="001A76A0" w:rsidRPr="00721098">
        <w:rPr>
          <w:rFonts w:ascii="Arial" w:hAnsi="Arial" w:cs="Arial"/>
          <w:i/>
          <w:lang w:val="ro-RO"/>
        </w:rPr>
        <w:t xml:space="preserve"> lit. b) proiecte de </w:t>
      </w:r>
      <w:r w:rsidR="001A76A0" w:rsidRPr="0058705B">
        <w:rPr>
          <w:rFonts w:ascii="Arial" w:hAnsi="Arial" w:cs="Arial"/>
          <w:i/>
          <w:lang w:val="ro-RO"/>
        </w:rPr>
        <w:t xml:space="preserve">dezvoltare urbană; </w:t>
      </w:r>
    </w:p>
    <w:p w:rsidR="0058705B" w:rsidRPr="0058705B" w:rsidRDefault="001A76A0" w:rsidP="0058705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 xml:space="preserve">b) </w:t>
      </w:r>
      <w:r w:rsidR="00721098" w:rsidRPr="0058705B">
        <w:rPr>
          <w:rFonts w:ascii="Arial" w:hAnsi="Arial" w:cs="Arial"/>
          <w:i/>
          <w:lang w:val="ro-RO"/>
        </w:rPr>
        <w:t>proiect</w:t>
      </w:r>
      <w:r w:rsidR="0058705B" w:rsidRPr="0058705B">
        <w:rPr>
          <w:rFonts w:ascii="Arial" w:hAnsi="Arial" w:cs="Arial"/>
          <w:i/>
          <w:lang w:val="ro-RO"/>
        </w:rPr>
        <w:t>ul</w:t>
      </w:r>
      <w:r w:rsidR="00721098" w:rsidRPr="0058705B">
        <w:rPr>
          <w:rFonts w:ascii="Arial" w:hAnsi="Arial" w:cs="Arial"/>
          <w:i/>
          <w:lang w:val="ro-RO"/>
        </w:rPr>
        <w:t xml:space="preserve"> </w:t>
      </w:r>
      <w:r w:rsidR="0058705B" w:rsidRPr="0058705B">
        <w:rPr>
          <w:rFonts w:ascii="Arial" w:hAnsi="Arial" w:cs="Arial"/>
          <w:i/>
          <w:lang w:val="ro-RO"/>
        </w:rPr>
        <w:t>prevede</w:t>
      </w:r>
      <w:r w:rsidR="00721098" w:rsidRPr="0058705B">
        <w:rPr>
          <w:rFonts w:ascii="Arial" w:hAnsi="Arial" w:cs="Arial"/>
          <w:i/>
          <w:lang w:val="ro-RO"/>
        </w:rPr>
        <w:t xml:space="preserve"> </w:t>
      </w:r>
      <w:r w:rsidR="0058705B" w:rsidRPr="0058705B">
        <w:rPr>
          <w:rStyle w:val="FontStyle25"/>
          <w:i/>
          <w:lang w:val="ro-RO"/>
        </w:rPr>
        <w:t xml:space="preserve">construirea </w:t>
      </w:r>
      <w:r w:rsidR="0058705B" w:rsidRPr="0058705B">
        <w:rPr>
          <w:rFonts w:ascii="Arial" w:hAnsi="Arial" w:cs="Arial"/>
          <w:i/>
          <w:lang w:val="ro-RO"/>
        </w:rPr>
        <w:t>unei clădiri în regim de înălțime P+1E+M cu destinația de spații de cazare și birouri, centrală termică parter ș</w:t>
      </w:r>
      <w:r w:rsidR="0058705B">
        <w:rPr>
          <w:rFonts w:ascii="Arial" w:hAnsi="Arial" w:cs="Arial"/>
          <w:i/>
          <w:lang w:val="ro-RO"/>
        </w:rPr>
        <w:t>i lemnărie parter;</w:t>
      </w:r>
    </w:p>
    <w:p w:rsidR="0058705B" w:rsidRPr="0058705B" w:rsidRDefault="0058705B" w:rsidP="0058705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>- construcțiile vor cuprinde:</w:t>
      </w:r>
    </w:p>
    <w:p w:rsidR="0058705B" w:rsidRPr="0058705B" w:rsidRDefault="0058705B" w:rsidP="0058705B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 xml:space="preserve">    1. Clădire cu destinația de spații de cazare și birouri, în regim de înălțime P+1E+M, cu suprafața construită de 358,23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 xml:space="preserve">, cu următoarele funcțiuni: </w:t>
      </w:r>
    </w:p>
    <w:p w:rsidR="0058705B" w:rsidRPr="0058705B" w:rsidRDefault="0058705B" w:rsidP="0058705B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 xml:space="preserve">           - la parter: bucătărie (39,9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), restaurant cu capacitate de cca. 50 locuri la mese (126,66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), recepție, 2 grupuri sanitare;</w:t>
      </w:r>
    </w:p>
    <w:p w:rsidR="0058705B" w:rsidRPr="0058705B" w:rsidRDefault="0058705B" w:rsidP="0058705B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 xml:space="preserve">           - la etaj: 11 camere, cu 2 locuri de cazare fiecare,</w:t>
      </w:r>
    </w:p>
    <w:p w:rsidR="0058705B" w:rsidRPr="0058705B" w:rsidRDefault="0058705B" w:rsidP="0058705B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 xml:space="preserve">           - la mansardă: 4 camere de cazare cu 2 locuri fiecare, vestiar personal (18,64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), cameră personal (28,08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), 2 birouri (31,92 m</w:t>
      </w:r>
      <w:r w:rsidRPr="0058705B">
        <w:rPr>
          <w:rFonts w:ascii="Arial" w:hAnsi="Arial" w:cs="Arial"/>
          <w:i/>
          <w:vertAlign w:val="superscript"/>
          <w:lang w:val="ro-RO"/>
        </w:rPr>
        <w:t xml:space="preserve">2 </w:t>
      </w:r>
      <w:r w:rsidRPr="0058705B">
        <w:rPr>
          <w:rFonts w:ascii="Arial" w:hAnsi="Arial" w:cs="Arial"/>
          <w:i/>
          <w:lang w:val="ro-RO"/>
        </w:rPr>
        <w:t>și 24,25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).</w:t>
      </w:r>
    </w:p>
    <w:p w:rsidR="0058705B" w:rsidRPr="0058705B" w:rsidRDefault="0058705B" w:rsidP="0058705B">
      <w:p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>Capacitatea de cazare va fi de 30 locuri.</w:t>
      </w:r>
    </w:p>
    <w:p w:rsidR="0058705B" w:rsidRPr="0058705B" w:rsidRDefault="0058705B" w:rsidP="0058705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 xml:space="preserve">    2. Clădire centrală termică, în regim de înălțime parter, cu suprafața de 101,9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, care cuprinde: sală centrală termică (32,25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), sală servit masa pentru personal (32,25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), cameră îngrijitori (19,33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);</w:t>
      </w:r>
    </w:p>
    <w:p w:rsidR="0058705B" w:rsidRPr="0058705B" w:rsidRDefault="0058705B" w:rsidP="0058705B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 xml:space="preserve">    3. Clădire lemnărie, în regim de înălțime parter, cu suprafața de 76,33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, construcție acoperită, cu deschideri laterale (tip șopron);</w:t>
      </w:r>
    </w:p>
    <w:p w:rsidR="0058705B" w:rsidRPr="0058705B" w:rsidRDefault="0058705B" w:rsidP="0058705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>- suprafaţa totală a terenului este de 26.992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, din care: suprafaţă construită existentă – 5417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 xml:space="preserve">  (fermă vaci de lapte și centru prelucrare lapte – A</w:t>
      </w:r>
      <w:r>
        <w:rPr>
          <w:rFonts w:ascii="Arial" w:hAnsi="Arial" w:cs="Arial"/>
          <w:i/>
          <w:lang w:val="ro-RO"/>
        </w:rPr>
        <w:t>utorizație de mediu</w:t>
      </w:r>
      <w:r w:rsidRPr="0058705B">
        <w:rPr>
          <w:rFonts w:ascii="Arial" w:hAnsi="Arial" w:cs="Arial"/>
          <w:i/>
          <w:lang w:val="ro-RO"/>
        </w:rPr>
        <w:t xml:space="preserve"> nr. 85/19.09.2014), suprafață construită propusă - 536,43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 xml:space="preserve">, platforme, alei carosabile, alei pietonale, </w:t>
      </w:r>
      <w:r w:rsidR="00794D6E">
        <w:rPr>
          <w:rFonts w:ascii="Arial" w:hAnsi="Arial" w:cs="Arial"/>
          <w:i/>
          <w:lang w:val="ro-RO"/>
        </w:rPr>
        <w:t>parcare</w:t>
      </w:r>
      <w:r w:rsidRPr="0058705B">
        <w:rPr>
          <w:rFonts w:ascii="Arial" w:hAnsi="Arial" w:cs="Arial"/>
          <w:i/>
          <w:lang w:val="ro-RO"/>
        </w:rPr>
        <w:t xml:space="preserve"> (20 locuri) – 7270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, spaţii verzi - 13768,57 m</w:t>
      </w:r>
      <w:r w:rsidRPr="0058705B">
        <w:rPr>
          <w:rFonts w:ascii="Arial" w:hAnsi="Arial" w:cs="Arial"/>
          <w:i/>
          <w:vertAlign w:val="superscript"/>
          <w:lang w:val="ro-RO"/>
        </w:rPr>
        <w:t>2</w:t>
      </w:r>
      <w:r w:rsidRPr="0058705B">
        <w:rPr>
          <w:rFonts w:ascii="Arial" w:hAnsi="Arial" w:cs="Arial"/>
          <w:i/>
          <w:lang w:val="ro-RO"/>
        </w:rPr>
        <w:t>;</w:t>
      </w:r>
    </w:p>
    <w:p w:rsidR="00721098" w:rsidRPr="0058705B" w:rsidRDefault="00721098" w:rsidP="0058705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lastRenderedPageBreak/>
        <w:t xml:space="preserve">- încălzirea </w:t>
      </w:r>
      <w:r w:rsidR="0058705B">
        <w:rPr>
          <w:rFonts w:ascii="Arial" w:hAnsi="Arial" w:cs="Arial"/>
          <w:i/>
          <w:lang w:val="ro-RO"/>
        </w:rPr>
        <w:t>spațiilor</w:t>
      </w:r>
      <w:r w:rsidRPr="0058705B">
        <w:rPr>
          <w:rFonts w:ascii="Arial" w:hAnsi="Arial" w:cs="Arial"/>
          <w:i/>
          <w:lang w:val="ro-RO"/>
        </w:rPr>
        <w:t xml:space="preserve"> și apa caldă </w:t>
      </w:r>
      <w:r w:rsidR="0058705B">
        <w:rPr>
          <w:rFonts w:ascii="Arial" w:hAnsi="Arial" w:cs="Arial"/>
          <w:i/>
          <w:lang w:val="ro-RO"/>
        </w:rPr>
        <w:t>menajeră</w:t>
      </w:r>
      <w:r w:rsidRPr="0058705B">
        <w:rPr>
          <w:rFonts w:ascii="Arial" w:hAnsi="Arial" w:cs="Arial"/>
          <w:i/>
          <w:lang w:val="ro-RO"/>
        </w:rPr>
        <w:t xml:space="preserve"> vor fi asigurate de o centrală termică pe combustibil solid (lemn);</w:t>
      </w:r>
    </w:p>
    <w:p w:rsidR="00003E67" w:rsidRPr="00721098" w:rsidRDefault="00003E67" w:rsidP="0058705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8705B">
        <w:rPr>
          <w:rFonts w:ascii="Arial" w:hAnsi="Arial" w:cs="Arial"/>
          <w:i/>
          <w:lang w:val="ro-RO"/>
        </w:rPr>
        <w:t>- alimentarea cu apă a obiectivului se va realiza din rețeaua de alimentare cu apă</w:t>
      </w:r>
      <w:r w:rsidR="00721098" w:rsidRPr="0058705B">
        <w:rPr>
          <w:rFonts w:ascii="Arial" w:hAnsi="Arial" w:cs="Arial"/>
          <w:i/>
          <w:lang w:val="ro-RO"/>
        </w:rPr>
        <w:t xml:space="preserve"> din zonă</w:t>
      </w:r>
      <w:r w:rsidR="00460169" w:rsidRPr="0058705B">
        <w:rPr>
          <w:rFonts w:ascii="Arial" w:hAnsi="Arial" w:cs="Arial"/>
          <w:i/>
          <w:lang w:val="ro-RO"/>
        </w:rPr>
        <w:t>, iar</w:t>
      </w:r>
      <w:r w:rsidRPr="0058705B">
        <w:rPr>
          <w:rFonts w:ascii="Arial" w:hAnsi="Arial" w:cs="Arial"/>
          <w:i/>
          <w:lang w:val="ro-RO"/>
        </w:rPr>
        <w:t xml:space="preserve"> apele uzate menajere vor fi evacuate în </w:t>
      </w:r>
      <w:r w:rsidRPr="0058705B">
        <w:rPr>
          <w:rFonts w:ascii="Arial" w:eastAsia="Times New Roman" w:hAnsi="Arial" w:cs="Arial"/>
          <w:i/>
          <w:lang w:val="ro-RO"/>
        </w:rPr>
        <w:t>reţeaua</w:t>
      </w:r>
      <w:r w:rsidRPr="00721098">
        <w:rPr>
          <w:rFonts w:ascii="Arial" w:eastAsia="Times New Roman" w:hAnsi="Arial" w:cs="Arial"/>
          <w:i/>
          <w:lang w:val="ro-RO"/>
        </w:rPr>
        <w:t xml:space="preserve"> de canalizare </w:t>
      </w:r>
      <w:r w:rsidR="00721098" w:rsidRPr="00721098">
        <w:rPr>
          <w:rFonts w:ascii="Arial" w:eastAsia="Times New Roman" w:hAnsi="Arial" w:cs="Arial"/>
          <w:i/>
          <w:lang w:val="ro-RO"/>
        </w:rPr>
        <w:t>existentă în zonă, administrată de SC AQUABIS SA Bistrița</w:t>
      </w:r>
      <w:r w:rsidRPr="00721098">
        <w:rPr>
          <w:rFonts w:ascii="Arial" w:eastAsia="Times New Roman" w:hAnsi="Arial" w:cs="Arial"/>
          <w:i/>
          <w:lang w:val="ro-RO"/>
        </w:rPr>
        <w:t>;</w:t>
      </w:r>
    </w:p>
    <w:p w:rsidR="002E2517" w:rsidRPr="001A76A0" w:rsidRDefault="002E2517" w:rsidP="001A76A0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c) proiectul nu are efect</w:t>
      </w:r>
      <w:r w:rsidR="00FD7917" w:rsidRPr="001A76A0">
        <w:rPr>
          <w:rFonts w:ascii="Arial" w:hAnsi="Arial" w:cs="Arial"/>
          <w:i/>
          <w:lang w:val="ro-RO" w:eastAsia="ar-SA"/>
        </w:rPr>
        <w:t>e</w:t>
      </w:r>
      <w:r w:rsidRPr="001A76A0">
        <w:rPr>
          <w:rFonts w:ascii="Arial" w:hAnsi="Arial" w:cs="Arial"/>
          <w:i/>
          <w:lang w:val="ro-RO" w:eastAsia="ar-SA"/>
        </w:rPr>
        <w:t xml:space="preserve"> cumulativ</w:t>
      </w:r>
      <w:r w:rsidR="00FD7917" w:rsidRPr="001A76A0">
        <w:rPr>
          <w:rFonts w:ascii="Arial" w:hAnsi="Arial" w:cs="Arial"/>
          <w:i/>
          <w:lang w:val="ro-RO" w:eastAsia="ar-SA"/>
        </w:rPr>
        <w:t>e</w:t>
      </w:r>
      <w:r w:rsidRPr="001A76A0">
        <w:rPr>
          <w:rFonts w:ascii="Arial" w:hAnsi="Arial" w:cs="Arial"/>
          <w:i/>
          <w:lang w:val="ro-RO" w:eastAsia="ar-SA"/>
        </w:rPr>
        <w:t xml:space="preserve"> </w:t>
      </w:r>
      <w:r w:rsidR="00FD7917" w:rsidRPr="001A76A0">
        <w:rPr>
          <w:rFonts w:ascii="Arial" w:eastAsia="Times New Roman" w:hAnsi="Arial" w:cs="Arial"/>
          <w:i/>
          <w:lang w:val="ro-RO"/>
        </w:rPr>
        <w:t>semnificative</w:t>
      </w:r>
      <w:r w:rsidR="00FD7917" w:rsidRPr="001A76A0">
        <w:rPr>
          <w:rFonts w:ascii="Arial" w:hAnsi="Arial" w:cs="Arial"/>
          <w:i/>
          <w:lang w:val="ro-RO" w:eastAsia="ar-SA"/>
        </w:rPr>
        <w:t xml:space="preserve"> </w:t>
      </w:r>
      <w:r w:rsidRPr="001A76A0">
        <w:rPr>
          <w:rFonts w:ascii="Arial" w:hAnsi="Arial" w:cs="Arial"/>
          <w:i/>
          <w:lang w:val="ro-RO" w:eastAsia="ar-SA"/>
        </w:rPr>
        <w:t>cu alte proiecte/construcţii existente în zonă;</w:t>
      </w:r>
    </w:p>
    <w:p w:rsidR="003D0C11" w:rsidRPr="001A76A0" w:rsidRDefault="003D0C11" w:rsidP="001A76A0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d</w:t>
      </w:r>
      <w:r w:rsidR="002E2517" w:rsidRPr="001A76A0">
        <w:rPr>
          <w:rFonts w:ascii="Arial" w:hAnsi="Arial" w:cs="Arial"/>
          <w:i/>
          <w:lang w:val="ro-RO" w:eastAsia="ar-SA"/>
        </w:rPr>
        <w:t xml:space="preserve">) </w:t>
      </w:r>
      <w:r w:rsidRPr="001A76A0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1A76A0" w:rsidRDefault="003D0C11" w:rsidP="001A76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e</w:t>
      </w:r>
      <w:r w:rsidR="002E2517" w:rsidRPr="001A76A0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1A76A0" w:rsidRDefault="003D0C11" w:rsidP="001A76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f</w:t>
      </w:r>
      <w:r w:rsidR="002E2517" w:rsidRPr="001A76A0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1A76A0">
        <w:rPr>
          <w:rFonts w:ascii="Arial" w:eastAsia="Times New Roman" w:hAnsi="Arial" w:cs="Arial"/>
          <w:i/>
          <w:iCs/>
          <w:lang w:val="ro-RO"/>
        </w:rPr>
        <w:t>g</w:t>
      </w:r>
      <w:r w:rsidR="00825666" w:rsidRPr="001A76A0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1A76A0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h</w:t>
      </w:r>
      <w:r w:rsidR="00825666" w:rsidRPr="001A76A0">
        <w:rPr>
          <w:rFonts w:ascii="Arial" w:eastAsia="Times New Roman" w:hAnsi="Arial" w:cs="Arial"/>
          <w:i/>
          <w:lang w:val="ro-RO"/>
        </w:rPr>
        <w:t xml:space="preserve">) </w:t>
      </w:r>
      <w:r w:rsidRPr="001A76A0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721098">
        <w:rPr>
          <w:rFonts w:ascii="Arial" w:eastAsia="Times New Roman" w:hAnsi="Arial" w:cs="Arial"/>
          <w:i/>
          <w:lang w:val="ro-RO"/>
        </w:rPr>
        <w:t>comunei Livezile</w:t>
      </w:r>
      <w:r w:rsidRPr="001A76A0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1A76A0" w:rsidRDefault="00825666" w:rsidP="004C11C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1A76A0" w:rsidRDefault="00825666" w:rsidP="004C1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A76A0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1A76A0" w:rsidRDefault="00105357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a) proiectul propus</w:t>
      </w:r>
      <w:r w:rsidR="0074675E" w:rsidRPr="001A76A0">
        <w:rPr>
          <w:rFonts w:ascii="Arial" w:hAnsi="Arial" w:cs="Arial"/>
          <w:i/>
          <w:lang w:val="ro-RO"/>
        </w:rPr>
        <w:t xml:space="preserve"> nu</w:t>
      </w:r>
      <w:r w:rsidRPr="001A76A0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1A76A0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1A76A0">
        <w:rPr>
          <w:rFonts w:ascii="Arial" w:hAnsi="Arial" w:cs="Arial"/>
          <w:i/>
          <w:lang w:val="ro-RO"/>
        </w:rPr>
        <w:t>;</w:t>
      </w:r>
    </w:p>
    <w:p w:rsidR="00D50E2D" w:rsidRPr="001A76A0" w:rsidRDefault="00D50E2D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1A76A0" w:rsidRDefault="009A3CC0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A76A0">
        <w:rPr>
          <w:rFonts w:ascii="Arial" w:hAnsi="Arial" w:cs="Arial"/>
          <w:b/>
          <w:bCs/>
          <w:lang w:val="ro-RO"/>
        </w:rPr>
        <w:t>Condiţii de realizare a proiectului</w:t>
      </w:r>
      <w:r w:rsidRPr="001A76A0">
        <w:rPr>
          <w:rFonts w:ascii="Arial" w:hAnsi="Arial" w:cs="Arial"/>
          <w:b/>
          <w:lang w:val="ro-RO"/>
        </w:rPr>
        <w:t>:</w:t>
      </w:r>
    </w:p>
    <w:p w:rsidR="00691505" w:rsidRPr="001A76A0" w:rsidRDefault="0074675E" w:rsidP="004C11C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3D0C11" w:rsidRPr="00532144" w:rsidRDefault="00BC57AC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color w:val="000000"/>
          <w:lang w:val="ro-RO"/>
        </w:rPr>
        <w:t>2</w:t>
      </w:r>
      <w:r w:rsidR="003D0C11" w:rsidRPr="001A76A0">
        <w:rPr>
          <w:rFonts w:ascii="Arial" w:hAnsi="Arial" w:cs="Arial"/>
          <w:i/>
          <w:color w:val="000000"/>
          <w:lang w:val="ro-RO"/>
        </w:rPr>
        <w:t xml:space="preserve">. </w:t>
      </w:r>
      <w:r w:rsidR="003D0C11" w:rsidRPr="001A76A0">
        <w:rPr>
          <w:rFonts w:ascii="Arial" w:hAnsi="Arial" w:cs="Arial"/>
          <w:i/>
          <w:lang w:val="ro-RO" w:eastAsia="ar-SA"/>
        </w:rPr>
        <w:t>M</w:t>
      </w:r>
      <w:r w:rsidR="003D0C11" w:rsidRPr="001A76A0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factorilor de mediu</w:t>
      </w:r>
      <w:r w:rsidR="003D0C11" w:rsidRPr="004C11CF">
        <w:rPr>
          <w:rFonts w:ascii="Arial" w:hAnsi="Arial" w:cs="Arial"/>
          <w:i/>
          <w:lang w:val="ro-RO"/>
        </w:rPr>
        <w:t>. Se interzice depozitarea</w:t>
      </w:r>
      <w:r w:rsidR="003D0C11" w:rsidRPr="00532144">
        <w:rPr>
          <w:rFonts w:ascii="Arial" w:hAnsi="Arial" w:cs="Arial"/>
          <w:i/>
          <w:lang w:val="ro-RO"/>
        </w:rPr>
        <w:t xml:space="preserve"> necontrolată a deşeurilor (direct pe sol, etc.).</w:t>
      </w:r>
    </w:p>
    <w:p w:rsidR="003D0C11" w:rsidRDefault="00BC57AC" w:rsidP="0069150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="003D0C11" w:rsidRPr="00532144">
        <w:rPr>
          <w:rFonts w:ascii="Arial" w:hAnsi="Arial" w:cs="Arial"/>
          <w:i/>
          <w:lang w:val="ro-RO"/>
        </w:rPr>
        <w:t>. Pe parcursul execuţ</w:t>
      </w:r>
      <w:r w:rsidR="00460169">
        <w:rPr>
          <w:rFonts w:ascii="Arial" w:hAnsi="Arial" w:cs="Arial"/>
          <w:i/>
          <w:lang w:val="ro-RO"/>
        </w:rPr>
        <w:t xml:space="preserve">iei lucrărilor se vor lua toate </w:t>
      </w:r>
      <w:r w:rsidR="003D0C11" w:rsidRPr="00532144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4</w:t>
      </w:r>
      <w:r w:rsidRPr="002944D8">
        <w:rPr>
          <w:rFonts w:ascii="Arial" w:eastAsia="Times New Roman" w:hAnsi="Arial" w:cs="Arial"/>
          <w:i/>
          <w:lang w:val="ro-RO"/>
        </w:rPr>
        <w:t>. Mijloacele auto şi utilajele folosite vor respecta normele şi prevederile privind emisiile de noxe şi vor fi întreţinute corespunzător pentru evitarea scurgerilor accidentale de carburanţi şi lubrifianţi.</w:t>
      </w:r>
    </w:p>
    <w:p w:rsidR="00BC57AC" w:rsidRPr="00532144" w:rsidRDefault="00BC57AC" w:rsidP="00BC57A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Pr="00532144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57AC" w:rsidRPr="00532144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57AC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6</w:t>
      </w:r>
      <w:r w:rsidRPr="002944D8">
        <w:rPr>
          <w:rFonts w:ascii="Arial" w:eastAsia="Times New Roman" w:hAnsi="Arial" w:cs="Arial"/>
          <w:i/>
          <w:lang w:val="ro-RO"/>
        </w:rPr>
        <w:t>. S</w:t>
      </w:r>
      <w:r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57AC" w:rsidRPr="002944D8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7</w:t>
      </w:r>
      <w:r w:rsidRPr="002944D8">
        <w:rPr>
          <w:rFonts w:ascii="Arial" w:eastAsia="Times New Roman" w:hAnsi="Arial" w:cs="Arial"/>
          <w:i/>
          <w:lang w:val="ro-RO"/>
        </w:rPr>
        <w:t>. Se vor asigura condiţii pentru ca</w:t>
      </w:r>
      <w:r w:rsidRPr="002944D8">
        <w:rPr>
          <w:rFonts w:ascii="Arial" w:eastAsia="Times New Roman" w:hAnsi="Arial" w:cs="Arial"/>
          <w:i/>
          <w:iCs/>
          <w:lang w:val="ro-RO"/>
        </w:rPr>
        <w:t xml:space="preserve"> nivelul de zgomot la limita obiectivului să se încadreze în limitele prevăzute de Ord. Ministrului Sănătăţii nr. 119/2014 pentru aprobarea Normelor de igienă şi sănătate publică privind mediul de viaţă al populaţiei.</w:t>
      </w:r>
    </w:p>
    <w:p w:rsidR="003D0C11" w:rsidRDefault="00BC57AC" w:rsidP="003D0C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8</w:t>
      </w:r>
      <w:r w:rsidR="003D0C11" w:rsidRPr="00532144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3D0C11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3D0C11" w:rsidRPr="00532144">
        <w:rPr>
          <w:rFonts w:ascii="Arial" w:hAnsi="Arial" w:cs="Arial"/>
          <w:i/>
          <w:iCs/>
          <w:lang w:val="ro-RO"/>
        </w:rPr>
        <w:t>.</w:t>
      </w:r>
    </w:p>
    <w:p w:rsidR="00721098" w:rsidRPr="00C1340F" w:rsidRDefault="009A7113" w:rsidP="00721098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9</w:t>
      </w:r>
      <w:r w:rsidR="00721098" w:rsidRPr="00C1340F">
        <w:rPr>
          <w:rFonts w:ascii="Arial" w:hAnsi="Arial" w:cs="Arial"/>
          <w:bCs/>
          <w:i/>
          <w:lang w:val="ro-RO"/>
        </w:rPr>
        <w:t>. La terminarea lucrărilor se vor amenaja spaţii verzi şi se vor planta arbori sau arbuşti la limita incintei amplasamentului.</w:t>
      </w:r>
    </w:p>
    <w:p w:rsidR="00004788" w:rsidRPr="00532144" w:rsidRDefault="009A7113" w:rsidP="00994F1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10</w:t>
      </w:r>
      <w:r w:rsidR="003D0C11" w:rsidRPr="00532144">
        <w:rPr>
          <w:rFonts w:ascii="Arial" w:hAnsi="Arial" w:cs="Arial"/>
          <w:i/>
          <w:lang w:val="ro-RO"/>
        </w:rPr>
        <w:t xml:space="preserve">. </w:t>
      </w:r>
      <w:r w:rsidR="00994F10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BN al GNM pentru verificarea conformării cu actul de reglementare.</w:t>
      </w:r>
    </w:p>
    <w:p w:rsidR="00994F10" w:rsidRPr="00532144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 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Pr="00532144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532144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21" w:rsidRDefault="00931D21" w:rsidP="0010560A">
      <w:pPr>
        <w:spacing w:after="0" w:line="240" w:lineRule="auto"/>
      </w:pPr>
      <w:r>
        <w:separator/>
      </w:r>
    </w:p>
  </w:endnote>
  <w:endnote w:type="continuationSeparator" w:id="0">
    <w:p w:rsidR="00931D21" w:rsidRDefault="00931D21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r>
              <w:t xml:space="preserve">Pag. </w:t>
            </w:r>
            <w:r w:rsidR="00BE58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58F0">
              <w:rPr>
                <w:b/>
                <w:sz w:val="24"/>
                <w:szCs w:val="24"/>
              </w:rPr>
              <w:fldChar w:fldCharType="separate"/>
            </w:r>
            <w:r w:rsidR="00794D6E">
              <w:rPr>
                <w:b/>
                <w:noProof/>
              </w:rPr>
              <w:t>3</w:t>
            </w:r>
            <w:r w:rsidR="00BE58F0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BE58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58F0">
              <w:rPr>
                <w:b/>
                <w:sz w:val="24"/>
                <w:szCs w:val="24"/>
              </w:rPr>
              <w:fldChar w:fldCharType="separate"/>
            </w:r>
            <w:r w:rsidR="00794D6E">
              <w:rPr>
                <w:b/>
                <w:noProof/>
              </w:rPr>
              <w:t>3</w:t>
            </w:r>
            <w:r w:rsidR="00BE58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21" w:rsidRDefault="00931D21" w:rsidP="0010560A">
      <w:pPr>
        <w:spacing w:after="0" w:line="240" w:lineRule="auto"/>
      </w:pPr>
      <w:r>
        <w:separator/>
      </w:r>
    </w:p>
  </w:footnote>
  <w:footnote w:type="continuationSeparator" w:id="0">
    <w:p w:rsidR="00931D21" w:rsidRDefault="00931D21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6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4DA5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5357"/>
    <w:rsid w:val="0010560A"/>
    <w:rsid w:val="001136A1"/>
    <w:rsid w:val="00117CBE"/>
    <w:rsid w:val="001274F0"/>
    <w:rsid w:val="00130855"/>
    <w:rsid w:val="00140DBC"/>
    <w:rsid w:val="00154372"/>
    <w:rsid w:val="00161785"/>
    <w:rsid w:val="00163FDA"/>
    <w:rsid w:val="0017069E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206333"/>
    <w:rsid w:val="002068EE"/>
    <w:rsid w:val="00211649"/>
    <w:rsid w:val="002176F5"/>
    <w:rsid w:val="00232324"/>
    <w:rsid w:val="00244467"/>
    <w:rsid w:val="00255442"/>
    <w:rsid w:val="0025653A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643B"/>
    <w:rsid w:val="004C70A6"/>
    <w:rsid w:val="004C79AB"/>
    <w:rsid w:val="004D2FB4"/>
    <w:rsid w:val="004E5A4A"/>
    <w:rsid w:val="004F3DF5"/>
    <w:rsid w:val="00503A4D"/>
    <w:rsid w:val="0050643F"/>
    <w:rsid w:val="005158C7"/>
    <w:rsid w:val="0051797E"/>
    <w:rsid w:val="005205EF"/>
    <w:rsid w:val="00532144"/>
    <w:rsid w:val="00532353"/>
    <w:rsid w:val="00536232"/>
    <w:rsid w:val="00555B18"/>
    <w:rsid w:val="00564AA4"/>
    <w:rsid w:val="00571253"/>
    <w:rsid w:val="00575325"/>
    <w:rsid w:val="005842C0"/>
    <w:rsid w:val="00586D0A"/>
    <w:rsid w:val="0058705B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6F26AA"/>
    <w:rsid w:val="00702379"/>
    <w:rsid w:val="00706555"/>
    <w:rsid w:val="00713E4B"/>
    <w:rsid w:val="007153B4"/>
    <w:rsid w:val="00721098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4D6E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860D7"/>
    <w:rsid w:val="008915FA"/>
    <w:rsid w:val="00894587"/>
    <w:rsid w:val="00897309"/>
    <w:rsid w:val="0089789D"/>
    <w:rsid w:val="008A1902"/>
    <w:rsid w:val="008B52E1"/>
    <w:rsid w:val="008D7863"/>
    <w:rsid w:val="008F2B89"/>
    <w:rsid w:val="008F7960"/>
    <w:rsid w:val="008F7B44"/>
    <w:rsid w:val="009247DF"/>
    <w:rsid w:val="00925B97"/>
    <w:rsid w:val="009312E4"/>
    <w:rsid w:val="00931D21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CB3"/>
    <w:rsid w:val="00BC4CF3"/>
    <w:rsid w:val="00BC57AC"/>
    <w:rsid w:val="00BD3677"/>
    <w:rsid w:val="00BD44BB"/>
    <w:rsid w:val="00BD5E3A"/>
    <w:rsid w:val="00BE228F"/>
    <w:rsid w:val="00BE58F0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09FF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917"/>
    <w:rsid w:val="00FD7FB3"/>
    <w:rsid w:val="00FE092A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FontStyle25">
    <w:name w:val="Font Style25"/>
    <w:rsid w:val="0058705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5A5E-E2EB-4EC4-9311-83182829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1524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iusan.georgeta</cp:lastModifiedBy>
  <cp:revision>9</cp:revision>
  <cp:lastPrinted>2013-01-04T11:38:00Z</cp:lastPrinted>
  <dcterms:created xsi:type="dcterms:W3CDTF">2017-04-06T12:31:00Z</dcterms:created>
  <dcterms:modified xsi:type="dcterms:W3CDTF">2017-05-31T12:27:00Z</dcterms:modified>
</cp:coreProperties>
</file>