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Default="006C7065"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sidR="00002134">
        <w:rPr>
          <w:rFonts w:ascii="Times New Roman" w:hAnsi="Times New Roman"/>
          <w:b/>
          <w:color w:val="00214E"/>
          <w:sz w:val="32"/>
          <w:szCs w:val="32"/>
          <w:lang w:val="ro-RO"/>
        </w:rPr>
        <w:t xml:space="preserve"> </w:t>
      </w:r>
      <w:r w:rsidR="003D3452">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sidR="003D3452">
        <w:rPr>
          <w:rFonts w:ascii="Times New Roman" w:hAnsi="Times New Roman"/>
          <w:b/>
          <w:color w:val="00214E"/>
          <w:sz w:val="32"/>
          <w:szCs w:val="32"/>
          <w:lang w:val="ro-RO"/>
        </w:rPr>
        <w:t xml:space="preserve">                    </w:t>
      </w:r>
      <w:r w:rsidR="00777451">
        <w:rPr>
          <w:rFonts w:ascii="Times New Roman" w:hAnsi="Times New Roman"/>
          <w:b/>
          <w:color w:val="00214E"/>
          <w:sz w:val="32"/>
          <w:szCs w:val="32"/>
          <w:lang w:val="ro-RO"/>
        </w:rPr>
        <w:t xml:space="preserve"> </w:t>
      </w:r>
      <w:r w:rsidR="003D3452">
        <w:rPr>
          <w:rFonts w:ascii="Times New Roman" w:hAnsi="Times New Roman"/>
          <w:b/>
          <w:color w:val="00214E"/>
          <w:sz w:val="36"/>
          <w:szCs w:val="36"/>
          <w:lang w:val="ro-RO"/>
        </w:rPr>
        <w:t xml:space="preserve">              </w:t>
      </w:r>
      <w:r w:rsidR="00777451">
        <w:rPr>
          <w:rFonts w:ascii="Times New Roman" w:hAnsi="Times New Roman"/>
          <w:b/>
          <w:color w:val="00214E"/>
          <w:sz w:val="36"/>
          <w:szCs w:val="36"/>
          <w:lang w:val="ro-RO"/>
        </w:rPr>
        <w:t xml:space="preserve"> </w:t>
      </w:r>
    </w:p>
    <w:p w:rsidR="0089789D" w:rsidRPr="00B63D60" w:rsidRDefault="0089789D" w:rsidP="008622F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Agenţia Naţională pentru Protecţia Mediului</w:t>
      </w:r>
      <w:r w:rsidR="00CF0557" w:rsidRPr="00B63D60">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C63F5E" w:rsidTr="00DE59EA">
        <w:trPr>
          <w:trHeight w:val="226"/>
        </w:trPr>
        <w:tc>
          <w:tcPr>
            <w:tcW w:w="10173" w:type="dxa"/>
            <w:shd w:val="clear" w:color="auto" w:fill="auto"/>
          </w:tcPr>
          <w:p w:rsidR="003C6148" w:rsidRPr="00D920E4"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sidR="00A462A0">
              <w:rPr>
                <w:rFonts w:ascii="Times New Roman" w:hAnsi="Times New Roman"/>
                <w:b/>
                <w:bCs/>
                <w:sz w:val="36"/>
                <w:szCs w:val="36"/>
                <w:lang w:val="ro-RO"/>
              </w:rPr>
              <w:t>Bistrița-Năsăud</w:t>
            </w:r>
          </w:p>
        </w:tc>
      </w:tr>
    </w:tbl>
    <w:p w:rsidR="00253E47" w:rsidRDefault="00253E47" w:rsidP="00253E47">
      <w:pPr>
        <w:spacing w:after="0" w:line="240" w:lineRule="auto"/>
        <w:jc w:val="center"/>
        <w:rPr>
          <w:rFonts w:ascii="Arial" w:eastAsia="Times New Roman" w:hAnsi="Arial" w:cs="Arial"/>
          <w:b/>
          <w:lang w:val="ro-RO"/>
        </w:rPr>
      </w:pPr>
    </w:p>
    <w:p w:rsidR="00253E47" w:rsidRDefault="00253E47" w:rsidP="00253E47">
      <w:pPr>
        <w:spacing w:after="0" w:line="240" w:lineRule="auto"/>
        <w:jc w:val="center"/>
        <w:rPr>
          <w:rFonts w:ascii="Arial" w:eastAsia="Times New Roman" w:hAnsi="Arial" w:cs="Arial"/>
          <w:b/>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DECIZIE INIȚIALĂ</w:t>
      </w:r>
    </w:p>
    <w:p w:rsidR="00253E47" w:rsidRPr="00253E47" w:rsidRDefault="00253E47" w:rsidP="00253E47">
      <w:pPr>
        <w:spacing w:after="0" w:line="240" w:lineRule="auto"/>
        <w:jc w:val="center"/>
        <w:rPr>
          <w:rFonts w:ascii="Arial" w:eastAsia="Times New Roman" w:hAnsi="Arial" w:cs="Arial"/>
          <w:b/>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 xml:space="preserve">din </w:t>
      </w:r>
      <w:r>
        <w:rPr>
          <w:rFonts w:ascii="Arial" w:eastAsia="Times New Roman" w:hAnsi="Arial" w:cs="Arial"/>
          <w:b/>
          <w:lang w:val="ro-RO"/>
        </w:rPr>
        <w:t>2</w:t>
      </w:r>
      <w:r w:rsidR="00156972">
        <w:rPr>
          <w:rFonts w:ascii="Arial" w:eastAsia="Times New Roman" w:hAnsi="Arial" w:cs="Arial"/>
          <w:b/>
          <w:lang w:val="ro-RO"/>
        </w:rPr>
        <w:t>2</w:t>
      </w:r>
      <w:r w:rsidRPr="00253E47">
        <w:rPr>
          <w:rFonts w:ascii="Arial" w:eastAsia="Times New Roman" w:hAnsi="Arial" w:cs="Arial"/>
          <w:b/>
          <w:lang w:val="ro-RO"/>
        </w:rPr>
        <w:t xml:space="preserve"> </w:t>
      </w:r>
      <w:r>
        <w:rPr>
          <w:rFonts w:ascii="Arial" w:eastAsia="Times New Roman" w:hAnsi="Arial" w:cs="Arial"/>
          <w:b/>
          <w:lang w:val="ro-RO"/>
        </w:rPr>
        <w:t>FEBRUARIE</w:t>
      </w:r>
      <w:r w:rsidRPr="00253E47">
        <w:rPr>
          <w:rFonts w:ascii="Arial" w:eastAsia="Times New Roman" w:hAnsi="Arial" w:cs="Arial"/>
          <w:b/>
          <w:lang w:val="ro-RO"/>
        </w:rPr>
        <w:t xml:space="preserve"> 201</w:t>
      </w:r>
      <w:r>
        <w:rPr>
          <w:rFonts w:ascii="Arial" w:eastAsia="Times New Roman" w:hAnsi="Arial" w:cs="Arial"/>
          <w:b/>
          <w:lang w:val="ro-RO"/>
        </w:rPr>
        <w:t>8</w:t>
      </w:r>
    </w:p>
    <w:p w:rsidR="00253E47" w:rsidRPr="00253E47" w:rsidRDefault="00253E47" w:rsidP="00253E47">
      <w:pPr>
        <w:spacing w:after="0" w:line="240" w:lineRule="auto"/>
        <w:jc w:val="center"/>
        <w:rPr>
          <w:rFonts w:ascii="Arial" w:eastAsia="Times New Roman" w:hAnsi="Arial" w:cs="Arial"/>
          <w:b/>
          <w:lang w:val="ro-RO"/>
        </w:rPr>
      </w:pPr>
    </w:p>
    <w:p w:rsidR="00253E47" w:rsidRPr="00253E47" w:rsidRDefault="00253E47" w:rsidP="00253E47">
      <w:pPr>
        <w:spacing w:after="0" w:line="240" w:lineRule="auto"/>
        <w:jc w:val="both"/>
        <w:rPr>
          <w:rFonts w:ascii="Arial" w:eastAsia="Times New Roman" w:hAnsi="Arial" w:cs="Arial"/>
          <w:lang w:val="ro-RO"/>
        </w:rPr>
      </w:pPr>
      <w:r w:rsidRPr="00253E47">
        <w:rPr>
          <w:rFonts w:ascii="Arial" w:hAnsi="Arial" w:cs="Arial"/>
          <w:lang w:val="ro-RO"/>
        </w:rPr>
        <w:tab/>
      </w:r>
      <w:r w:rsidRPr="00253E47">
        <w:rPr>
          <w:rFonts w:ascii="Arial" w:eastAsia="Times New Roman" w:hAnsi="Arial" w:cs="Arial"/>
          <w:lang w:val="ro-RO"/>
        </w:rPr>
        <w:t xml:space="preserve">privind solicitarea de emitere a avizului de mediu pentru </w:t>
      </w:r>
      <w:r w:rsidRPr="00253E47">
        <w:rPr>
          <w:rFonts w:ascii="Arial" w:hAnsi="Arial" w:cs="Arial"/>
          <w:lang w:val="ro-RO"/>
        </w:rPr>
        <w:t>Plan Urbanistic Zonal - Construire pensiune turistică, în oraşul Sîngeorz Băi, str. Clopoţeilor, nr, 24, judeţul Bistriţa-Năsăud</w:t>
      </w:r>
      <w:r w:rsidRPr="00253E47">
        <w:rPr>
          <w:rFonts w:ascii="Arial" w:eastAsia="Times New Roman" w:hAnsi="Arial" w:cs="Arial"/>
          <w:lang w:val="ro-RO"/>
        </w:rPr>
        <w:t>, înregistrată la Agenţia pentru Protecţia Mediului Bistriţa-Năsăud sub nr. 1</w:t>
      </w:r>
      <w:r>
        <w:rPr>
          <w:rFonts w:ascii="Arial" w:eastAsia="Times New Roman" w:hAnsi="Arial" w:cs="Arial"/>
          <w:lang w:val="ro-RO"/>
        </w:rPr>
        <w:t>400</w:t>
      </w:r>
      <w:r w:rsidRPr="00253E47">
        <w:rPr>
          <w:rFonts w:ascii="Arial" w:eastAsia="Times New Roman" w:hAnsi="Arial" w:cs="Arial"/>
          <w:lang w:val="ro-RO"/>
        </w:rPr>
        <w:t>/5.0</w:t>
      </w:r>
      <w:r>
        <w:rPr>
          <w:rFonts w:ascii="Arial" w:eastAsia="Times New Roman" w:hAnsi="Arial" w:cs="Arial"/>
          <w:lang w:val="ro-RO"/>
        </w:rPr>
        <w:t>2</w:t>
      </w:r>
      <w:r w:rsidRPr="00253E47">
        <w:rPr>
          <w:rFonts w:ascii="Arial" w:eastAsia="Times New Roman" w:hAnsi="Arial" w:cs="Arial"/>
          <w:lang w:val="ro-RO"/>
        </w:rPr>
        <w:t>.201</w:t>
      </w:r>
      <w:r>
        <w:rPr>
          <w:rFonts w:ascii="Arial" w:eastAsia="Times New Roman" w:hAnsi="Arial" w:cs="Arial"/>
          <w:lang w:val="ro-RO"/>
        </w:rPr>
        <w:t>8</w:t>
      </w:r>
      <w:r w:rsidRPr="00253E47">
        <w:rPr>
          <w:rFonts w:ascii="Arial" w:eastAsia="Times New Roman" w:hAnsi="Arial" w:cs="Arial"/>
          <w:lang w:val="ro-RO"/>
        </w:rPr>
        <w:t xml:space="preserve">, </w:t>
      </w:r>
    </w:p>
    <w:p w:rsidR="00253E47" w:rsidRPr="00253E47" w:rsidRDefault="00253E47" w:rsidP="00253E47">
      <w:pPr>
        <w:spacing w:after="0" w:line="240" w:lineRule="auto"/>
        <w:jc w:val="both"/>
        <w:rPr>
          <w:rFonts w:ascii="Arial" w:eastAsia="Times New Roman" w:hAnsi="Arial" w:cs="Arial"/>
          <w:color w:val="FF0000"/>
          <w:lang w:val="ro-RO"/>
        </w:rPr>
      </w:pPr>
    </w:p>
    <w:p w:rsidR="00253E47" w:rsidRPr="00253E47" w:rsidRDefault="00253E47" w:rsidP="00253E47">
      <w:pPr>
        <w:spacing w:after="0" w:line="240" w:lineRule="auto"/>
        <w:jc w:val="both"/>
        <w:rPr>
          <w:rFonts w:ascii="Arial" w:eastAsia="Times New Roman" w:hAnsi="Arial" w:cs="Arial"/>
          <w:b/>
          <w:lang w:val="ro-RO"/>
        </w:rPr>
      </w:pPr>
      <w:r w:rsidRPr="00253E47">
        <w:rPr>
          <w:rFonts w:ascii="Arial" w:eastAsia="Times New Roman" w:hAnsi="Arial" w:cs="Arial"/>
          <w:lang w:val="ro-RO"/>
        </w:rPr>
        <w:tab/>
      </w:r>
      <w:r w:rsidRPr="00253E47">
        <w:rPr>
          <w:rFonts w:ascii="Arial" w:eastAsia="Times New Roman" w:hAnsi="Arial" w:cs="Arial"/>
          <w:b/>
          <w:lang w:val="ro-RO"/>
        </w:rPr>
        <w:t>în urma parcurgerii etapei de încadrare</w:t>
      </w:r>
      <w:r w:rsidRPr="00253E47">
        <w:rPr>
          <w:rFonts w:ascii="Arial" w:eastAsia="Times New Roman" w:hAnsi="Arial" w:cs="Arial"/>
          <w:lang w:val="ro-RO"/>
        </w:rPr>
        <w:t xml:space="preserve">, conform prevederilor H.G. nr. 1076/2004, privind stabilirea procedurii de realizare a evaluării de mediu pentru planuri şi programe, </w:t>
      </w:r>
      <w:r w:rsidRPr="00253E47">
        <w:rPr>
          <w:rFonts w:ascii="Arial" w:hAnsi="Arial" w:cs="Arial"/>
          <w:color w:val="000000"/>
          <w:lang w:val="ro-RO"/>
        </w:rPr>
        <w:t xml:space="preserve">urmare a consultării titularului planului și a </w:t>
      </w:r>
      <w:r w:rsidRPr="00253E47">
        <w:rPr>
          <w:rFonts w:ascii="Arial" w:hAnsi="Arial" w:cs="Arial"/>
          <w:lang w:val="ro-RO"/>
        </w:rPr>
        <w:t>autorităților interesate de efectele implementării planului</w:t>
      </w:r>
      <w:r w:rsidRPr="00253E47">
        <w:rPr>
          <w:rFonts w:ascii="Arial" w:hAnsi="Arial" w:cs="Arial"/>
          <w:color w:val="000000"/>
          <w:lang w:val="ro-RO"/>
        </w:rPr>
        <w:t xml:space="preserve"> în cadrul </w:t>
      </w:r>
      <w:r w:rsidRPr="00253E47">
        <w:rPr>
          <w:rFonts w:ascii="Arial" w:hAnsi="Arial" w:cs="Arial"/>
          <w:lang w:val="ro-RO"/>
        </w:rPr>
        <w:t xml:space="preserve">ședinței </w:t>
      </w:r>
      <w:r w:rsidRPr="00253E47">
        <w:rPr>
          <w:rFonts w:ascii="Arial" w:hAnsi="Arial" w:cs="Arial"/>
          <w:color w:val="000000"/>
          <w:lang w:val="ro-RO"/>
        </w:rPr>
        <w:t>Comitetului Special Constituit</w:t>
      </w:r>
      <w:r w:rsidRPr="00253E47">
        <w:rPr>
          <w:rFonts w:ascii="Arial" w:eastAsia="Times New Roman" w:hAnsi="Arial" w:cs="Arial"/>
          <w:lang w:val="ro-RO"/>
        </w:rPr>
        <w:t xml:space="preserve"> întrunit în data de </w:t>
      </w:r>
      <w:r>
        <w:rPr>
          <w:rFonts w:ascii="Arial" w:eastAsia="Times New Roman" w:hAnsi="Arial" w:cs="Arial"/>
          <w:lang w:val="ro-RO"/>
        </w:rPr>
        <w:t>21</w:t>
      </w:r>
      <w:r w:rsidRPr="00253E47">
        <w:rPr>
          <w:rFonts w:ascii="Arial" w:eastAsia="Times New Roman" w:hAnsi="Arial" w:cs="Arial"/>
          <w:lang w:val="ro-RO"/>
        </w:rPr>
        <w:t>.</w:t>
      </w:r>
      <w:r>
        <w:rPr>
          <w:rFonts w:ascii="Arial" w:eastAsia="Times New Roman" w:hAnsi="Arial" w:cs="Arial"/>
          <w:lang w:val="ro-RO"/>
        </w:rPr>
        <w:t>02</w:t>
      </w:r>
      <w:r w:rsidRPr="00253E47">
        <w:rPr>
          <w:rFonts w:ascii="Arial" w:eastAsia="Times New Roman" w:hAnsi="Arial" w:cs="Arial"/>
          <w:lang w:val="ro-RO"/>
        </w:rPr>
        <w:t>.201</w:t>
      </w:r>
      <w:r>
        <w:rPr>
          <w:rFonts w:ascii="Arial" w:eastAsia="Times New Roman" w:hAnsi="Arial" w:cs="Arial"/>
          <w:lang w:val="ro-RO"/>
        </w:rPr>
        <w:t>8</w:t>
      </w:r>
      <w:r w:rsidRPr="00253E47">
        <w:rPr>
          <w:rFonts w:ascii="Arial" w:eastAsia="Times New Roman" w:hAnsi="Arial" w:cs="Arial"/>
          <w:lang w:val="ro-RO"/>
        </w:rPr>
        <w:t xml:space="preserve">, </w:t>
      </w:r>
      <w:r w:rsidRPr="00253E47">
        <w:rPr>
          <w:rFonts w:ascii="Arial" w:eastAsia="Times New Roman" w:hAnsi="Arial" w:cs="Arial"/>
          <w:b/>
          <w:lang w:val="ro-RO"/>
        </w:rPr>
        <w:t>a informării publicului prin anunţuri repetate şi în lipsa comentariilor din partea acestuia,</w:t>
      </w:r>
    </w:p>
    <w:p w:rsidR="00253E47" w:rsidRPr="00253E47" w:rsidRDefault="00253E47" w:rsidP="00253E47">
      <w:pPr>
        <w:spacing w:after="0" w:line="240" w:lineRule="auto"/>
        <w:jc w:val="both"/>
        <w:rPr>
          <w:rFonts w:ascii="Arial" w:eastAsia="Times New Roman" w:hAnsi="Arial" w:cs="Arial"/>
          <w:lang w:val="ro-RO"/>
        </w:rPr>
      </w:pPr>
    </w:p>
    <w:p w:rsidR="00253E47" w:rsidRPr="00253E47" w:rsidRDefault="00253E47" w:rsidP="00253E47">
      <w:pPr>
        <w:spacing w:after="0" w:line="240" w:lineRule="auto"/>
        <w:jc w:val="both"/>
        <w:rPr>
          <w:rFonts w:ascii="Arial" w:eastAsia="Times New Roman" w:hAnsi="Arial" w:cs="Arial"/>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AGENŢIA PENTRU PROTECŢIA MEDIULUI BISTRIŢA-NĂSĂUD</w:t>
      </w:r>
    </w:p>
    <w:p w:rsidR="00253E47" w:rsidRPr="00253E47" w:rsidRDefault="00253E47" w:rsidP="00253E47">
      <w:pPr>
        <w:spacing w:after="0" w:line="240" w:lineRule="auto"/>
        <w:jc w:val="center"/>
        <w:rPr>
          <w:rFonts w:ascii="Arial" w:eastAsia="Times New Roman" w:hAnsi="Arial" w:cs="Arial"/>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decide:</w:t>
      </w:r>
    </w:p>
    <w:p w:rsidR="00253E47" w:rsidRPr="00253E47" w:rsidRDefault="00253E47" w:rsidP="00253E47">
      <w:pPr>
        <w:spacing w:after="0" w:line="240" w:lineRule="auto"/>
        <w:jc w:val="both"/>
        <w:rPr>
          <w:rFonts w:ascii="Arial" w:eastAsia="Times New Roman" w:hAnsi="Arial" w:cs="Arial"/>
          <w:lang w:val="ro-RO"/>
        </w:rPr>
      </w:pPr>
    </w:p>
    <w:p w:rsidR="00253E47" w:rsidRPr="00253E47" w:rsidRDefault="00253E47" w:rsidP="00253E47">
      <w:pPr>
        <w:spacing w:after="0" w:line="240" w:lineRule="auto"/>
        <w:ind w:firstLine="720"/>
        <w:jc w:val="both"/>
        <w:rPr>
          <w:rFonts w:ascii="Arial" w:hAnsi="Arial" w:cs="Arial"/>
          <w:lang w:val="ro-RO"/>
        </w:rPr>
      </w:pPr>
      <w:r w:rsidRPr="00253E47">
        <w:rPr>
          <w:rFonts w:ascii="Arial" w:hAnsi="Arial" w:cs="Arial"/>
          <w:b/>
          <w:lang w:val="ro-RO"/>
        </w:rPr>
        <w:t>Planul Urbanistic Zonal</w:t>
      </w:r>
      <w:r w:rsidRPr="00253E47">
        <w:rPr>
          <w:rFonts w:ascii="Arial" w:hAnsi="Arial" w:cs="Arial"/>
          <w:lang w:val="ro-RO"/>
        </w:rPr>
        <w:t xml:space="preserve"> - Construire pensiune turistică, în oraşul Sîngeorz Băi, str. Clopoţeilor, nr, 24, judeţul Bistriţa-Năsăud,</w:t>
      </w:r>
    </w:p>
    <w:p w:rsidR="00253E47" w:rsidRPr="00253E47" w:rsidRDefault="00253E47" w:rsidP="00253E47">
      <w:pPr>
        <w:spacing w:after="0" w:line="240" w:lineRule="auto"/>
        <w:jc w:val="both"/>
        <w:rPr>
          <w:rFonts w:ascii="Arial" w:eastAsia="Times New Roman" w:hAnsi="Arial" w:cs="Arial"/>
          <w:b/>
          <w:u w:val="single"/>
          <w:lang w:val="ro-RO"/>
        </w:rPr>
      </w:pPr>
    </w:p>
    <w:p w:rsidR="00253E47" w:rsidRPr="00253E47" w:rsidRDefault="00253E47" w:rsidP="00253E47">
      <w:pPr>
        <w:spacing w:after="0" w:line="360" w:lineRule="auto"/>
        <w:jc w:val="both"/>
        <w:rPr>
          <w:rFonts w:ascii="Arial" w:eastAsia="Times New Roman" w:hAnsi="Arial" w:cs="Arial"/>
          <w:lang w:val="ro-RO"/>
        </w:rPr>
      </w:pPr>
      <w:r w:rsidRPr="00253E47">
        <w:rPr>
          <w:rFonts w:ascii="Arial" w:eastAsia="Times New Roman" w:hAnsi="Arial" w:cs="Arial"/>
          <w:b/>
          <w:u w:val="single"/>
          <w:lang w:val="ro-RO"/>
        </w:rPr>
        <w:t>titular</w:t>
      </w:r>
      <w:r w:rsidRPr="00253E47">
        <w:rPr>
          <w:rFonts w:ascii="Arial" w:eastAsia="Times New Roman" w:hAnsi="Arial" w:cs="Arial"/>
          <w:lang w:val="ro-RO"/>
        </w:rPr>
        <w:t>:</w:t>
      </w:r>
      <w:r w:rsidRPr="00253E47">
        <w:rPr>
          <w:rFonts w:ascii="Arial" w:eastAsia="Times New Roman" w:hAnsi="Arial" w:cs="Arial"/>
          <w:b/>
          <w:lang w:val="ro-RO"/>
        </w:rPr>
        <w:t xml:space="preserve"> SC PERLA CORMAIŢEI SRL</w:t>
      </w:r>
      <w:r>
        <w:rPr>
          <w:rFonts w:ascii="Arial" w:eastAsia="Times New Roman" w:hAnsi="Arial" w:cs="Arial"/>
          <w:b/>
          <w:lang w:val="ro-RO"/>
        </w:rPr>
        <w:t xml:space="preserve"> </w:t>
      </w:r>
      <w:r w:rsidRPr="00253E47">
        <w:rPr>
          <w:rFonts w:ascii="Arial" w:eastAsia="Times New Roman" w:hAnsi="Arial" w:cs="Arial"/>
          <w:lang w:val="ro-RO"/>
        </w:rPr>
        <w:t>din localitatea Anieș, nr. 59, comuna Maieru</w:t>
      </w:r>
      <w:r w:rsidRPr="00253E47">
        <w:rPr>
          <w:rFonts w:ascii="Arial" w:hAnsi="Arial" w:cs="Arial"/>
          <w:lang w:val="ro-RO"/>
        </w:rPr>
        <w:t>, judeţul Bistriţa-Năsăud</w:t>
      </w:r>
      <w:r w:rsidRPr="00253E47">
        <w:rPr>
          <w:rFonts w:ascii="Arial" w:eastAsia="Times New Roman" w:hAnsi="Arial" w:cs="Arial"/>
          <w:lang w:val="ro-RO"/>
        </w:rPr>
        <w:t xml:space="preserve">, </w:t>
      </w:r>
    </w:p>
    <w:p w:rsidR="00253E47" w:rsidRPr="00253E47" w:rsidRDefault="00253E47" w:rsidP="00253E47">
      <w:pPr>
        <w:spacing w:after="0" w:line="240" w:lineRule="auto"/>
        <w:jc w:val="both"/>
        <w:rPr>
          <w:rFonts w:ascii="Arial" w:eastAsia="Times New Roman" w:hAnsi="Arial" w:cs="Arial"/>
          <w:lang w:val="ro-RO"/>
        </w:rPr>
      </w:pPr>
      <w:r w:rsidRPr="00253E47">
        <w:rPr>
          <w:rFonts w:ascii="Arial" w:eastAsia="Times New Roman" w:hAnsi="Arial" w:cs="Arial"/>
          <w:b/>
          <w:u w:val="single"/>
          <w:lang w:val="ro-RO"/>
        </w:rPr>
        <w:t>referitor la</w:t>
      </w:r>
      <w:r w:rsidRPr="00253E47">
        <w:rPr>
          <w:rFonts w:ascii="Arial" w:eastAsia="Times New Roman" w:hAnsi="Arial" w:cs="Arial"/>
          <w:lang w:val="ro-RO"/>
        </w:rPr>
        <w:t>: construirea unei pensiuni turistice.</w:t>
      </w:r>
    </w:p>
    <w:p w:rsidR="00253E47" w:rsidRPr="00253E47" w:rsidRDefault="00253E47" w:rsidP="00253E47">
      <w:pPr>
        <w:keepNext/>
        <w:widowControl w:val="0"/>
        <w:shd w:val="clear" w:color="auto" w:fill="FFFFFF"/>
        <w:spacing w:after="0" w:line="240" w:lineRule="auto"/>
        <w:jc w:val="both"/>
        <w:outlineLvl w:val="4"/>
        <w:rPr>
          <w:rFonts w:ascii="Arial" w:eastAsia="Times New Roman" w:hAnsi="Arial" w:cs="Arial"/>
          <w:bCs/>
          <w:lang w:val="ro-RO" w:eastAsia="ro-RO"/>
        </w:rPr>
      </w:pPr>
      <w:r w:rsidRPr="00253E47">
        <w:rPr>
          <w:rFonts w:ascii="Arial" w:eastAsia="Times New Roman" w:hAnsi="Arial" w:cs="Arial"/>
          <w:bCs/>
          <w:lang w:val="ro-RO" w:eastAsia="ro-RO"/>
        </w:rPr>
        <w:t>Bilanţ teritorial:</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ab/>
        <w:t>- suprafaţă teren - 1847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ab/>
        <w:t xml:space="preserve">- construcții 373 mp: pensiune - 337 mp, anexă urbană - 36 mp;  </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platformă betonată 6,18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curte cu parcare 505,70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alei pietonale 96,40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rampă - 6,48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scări acces obiectiv 21,23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trotuar de protecție 43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puț cu hidrofor 1,69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microstație de epurare 4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teren înierbat  - 788,52 mp</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parcare 12 locuri;</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POT existent - 0 %;</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POT propus - 35 %;</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CUT existent - 0 %;</w:t>
      </w:r>
    </w:p>
    <w:p w:rsidR="00253E47" w:rsidRPr="00253E47" w:rsidRDefault="00253E47" w:rsidP="00253E47">
      <w:pPr>
        <w:spacing w:after="0" w:line="240" w:lineRule="auto"/>
        <w:jc w:val="both"/>
        <w:rPr>
          <w:rFonts w:ascii="Arial" w:eastAsia="Times New Roman" w:hAnsi="Arial" w:cs="Arial"/>
          <w:bCs/>
          <w:lang w:val="ro-RO"/>
        </w:rPr>
      </w:pPr>
      <w:r w:rsidRPr="00253E47">
        <w:rPr>
          <w:rFonts w:ascii="Arial" w:eastAsia="Times New Roman" w:hAnsi="Arial" w:cs="Arial"/>
          <w:bCs/>
          <w:lang w:val="ro-RO"/>
        </w:rPr>
        <w:t>- CUT propus - 1,2 %;</w:t>
      </w:r>
    </w:p>
    <w:p w:rsidR="00253E47" w:rsidRPr="00253E47" w:rsidRDefault="00253E47" w:rsidP="00253E47">
      <w:pPr>
        <w:spacing w:after="0" w:line="240" w:lineRule="auto"/>
        <w:jc w:val="both"/>
        <w:rPr>
          <w:rFonts w:ascii="Arial" w:eastAsia="Times New Roman" w:hAnsi="Arial" w:cs="Arial"/>
          <w:b/>
          <w:u w:val="single"/>
          <w:lang w:val="ro-RO"/>
        </w:rPr>
      </w:pPr>
      <w:r w:rsidRPr="00253E47">
        <w:rPr>
          <w:rFonts w:ascii="Arial" w:eastAsia="Times New Roman" w:hAnsi="Arial" w:cs="Arial"/>
          <w:bCs/>
          <w:lang w:val="ro-RO"/>
        </w:rPr>
        <w:t>- regim de înălțime propus – D+P+M; suprafață construită 373 mp.</w:t>
      </w:r>
    </w:p>
    <w:p w:rsidR="00253E47" w:rsidRPr="00253E47" w:rsidRDefault="00253E47" w:rsidP="00253E47">
      <w:pPr>
        <w:spacing w:after="0" w:line="240" w:lineRule="auto"/>
        <w:jc w:val="both"/>
        <w:rPr>
          <w:rFonts w:ascii="Arial" w:eastAsia="Times New Roman" w:hAnsi="Arial" w:cs="Arial"/>
          <w:lang w:val="ro-RO"/>
        </w:rPr>
      </w:pPr>
      <w:r w:rsidRPr="00253E47">
        <w:rPr>
          <w:rFonts w:ascii="Arial" w:eastAsia="Times New Roman" w:hAnsi="Arial" w:cs="Arial"/>
          <w:b/>
          <w:u w:val="single"/>
          <w:lang w:val="ro-RO"/>
        </w:rPr>
        <w:t>care propune</w:t>
      </w:r>
      <w:r w:rsidRPr="00253E47">
        <w:rPr>
          <w:rFonts w:ascii="Arial" w:eastAsia="Times New Roman" w:hAnsi="Arial" w:cs="Arial"/>
          <w:lang w:val="ro-RO"/>
        </w:rPr>
        <w:t xml:space="preserve">: </w:t>
      </w:r>
    </w:p>
    <w:p w:rsidR="00253E47" w:rsidRPr="00253E47" w:rsidRDefault="00253E47" w:rsidP="00253E47">
      <w:pPr>
        <w:spacing w:after="0" w:line="240" w:lineRule="auto"/>
        <w:ind w:firstLine="708"/>
        <w:jc w:val="both"/>
        <w:rPr>
          <w:rFonts w:ascii="Arial" w:hAnsi="Arial" w:cs="Arial"/>
          <w:bCs/>
          <w:lang w:val="ro-RO"/>
        </w:rPr>
      </w:pPr>
      <w:r w:rsidRPr="00253E47">
        <w:rPr>
          <w:rFonts w:ascii="Arial" w:hAnsi="Arial" w:cs="Arial"/>
          <w:lang w:val="ro-RO"/>
        </w:rPr>
        <w:t xml:space="preserve">- </w:t>
      </w:r>
      <w:r w:rsidRPr="00253E47">
        <w:rPr>
          <w:rFonts w:ascii="Arial" w:hAnsi="Arial" w:cs="Arial"/>
          <w:bCs/>
          <w:lang w:val="ro-RO"/>
        </w:rPr>
        <w:t xml:space="preserve">construirea unei pensiuni </w:t>
      </w:r>
      <w:r>
        <w:rPr>
          <w:rFonts w:ascii="Arial" w:hAnsi="Arial" w:cs="Arial"/>
          <w:bCs/>
          <w:lang w:val="ro-RO"/>
        </w:rPr>
        <w:t>turistice (</w:t>
      </w:r>
      <w:r w:rsidRPr="00253E47">
        <w:rPr>
          <w:rFonts w:ascii="Arial" w:hAnsi="Arial" w:cs="Arial"/>
          <w:bCs/>
          <w:lang w:val="ro-RO"/>
        </w:rPr>
        <w:t>337 mp</w:t>
      </w:r>
      <w:r>
        <w:rPr>
          <w:rFonts w:ascii="Arial" w:hAnsi="Arial" w:cs="Arial"/>
          <w:bCs/>
          <w:lang w:val="ro-RO"/>
        </w:rPr>
        <w:t>)</w:t>
      </w:r>
      <w:r w:rsidRPr="00253E47">
        <w:rPr>
          <w:rFonts w:ascii="Arial" w:hAnsi="Arial" w:cs="Arial"/>
          <w:bCs/>
          <w:lang w:val="ro-RO"/>
        </w:rPr>
        <w:t xml:space="preserve">;  </w:t>
      </w:r>
    </w:p>
    <w:p w:rsidR="00253E47" w:rsidRPr="00253E47" w:rsidRDefault="00253E47" w:rsidP="00253E47">
      <w:pPr>
        <w:spacing w:after="0" w:line="240" w:lineRule="auto"/>
        <w:ind w:firstLine="708"/>
        <w:jc w:val="both"/>
        <w:rPr>
          <w:rFonts w:ascii="Arial" w:hAnsi="Arial" w:cs="Arial"/>
          <w:bCs/>
          <w:lang w:val="ro-RO"/>
        </w:rPr>
      </w:pPr>
      <w:r w:rsidRPr="00253E47">
        <w:rPr>
          <w:rFonts w:ascii="Arial" w:hAnsi="Arial" w:cs="Arial"/>
          <w:bCs/>
          <w:lang w:val="ro-RO"/>
        </w:rPr>
        <w:t xml:space="preserve">- regim de înălțime propus - </w:t>
      </w:r>
      <w:r>
        <w:rPr>
          <w:rFonts w:ascii="Arial" w:hAnsi="Arial" w:cs="Arial"/>
          <w:bCs/>
          <w:lang w:val="ro-RO"/>
        </w:rPr>
        <w:t>D</w:t>
      </w:r>
      <w:r w:rsidRPr="00253E47">
        <w:rPr>
          <w:rFonts w:ascii="Arial" w:hAnsi="Arial" w:cs="Arial"/>
          <w:bCs/>
          <w:lang w:val="ro-RO"/>
        </w:rPr>
        <w:t>+P+M;</w:t>
      </w:r>
    </w:p>
    <w:p w:rsidR="00253E47" w:rsidRDefault="00253E47" w:rsidP="00253E47">
      <w:pPr>
        <w:spacing w:after="0" w:line="240" w:lineRule="auto"/>
        <w:ind w:firstLine="708"/>
        <w:jc w:val="both"/>
        <w:rPr>
          <w:rFonts w:ascii="Arial" w:hAnsi="Arial" w:cs="Arial"/>
          <w:bCs/>
          <w:lang w:val="ro-RO"/>
        </w:rPr>
      </w:pPr>
      <w:r w:rsidRPr="00253E47">
        <w:rPr>
          <w:rFonts w:ascii="Arial" w:hAnsi="Arial" w:cs="Arial"/>
          <w:bCs/>
          <w:lang w:val="ro-RO"/>
        </w:rPr>
        <w:t>- acces la parcelă - din DJ 17</w:t>
      </w:r>
      <w:r>
        <w:rPr>
          <w:rFonts w:ascii="Arial" w:hAnsi="Arial" w:cs="Arial"/>
          <w:bCs/>
          <w:lang w:val="ro-RO"/>
        </w:rPr>
        <w:t>0</w:t>
      </w:r>
      <w:r w:rsidRPr="00253E47">
        <w:rPr>
          <w:rFonts w:ascii="Arial" w:hAnsi="Arial" w:cs="Arial"/>
          <w:bCs/>
          <w:lang w:val="ro-RO"/>
        </w:rPr>
        <w:t xml:space="preserve"> printr-un drum de exploatație agricolă.</w:t>
      </w:r>
    </w:p>
    <w:p w:rsidR="00253E47" w:rsidRDefault="00253E47" w:rsidP="00253E47">
      <w:pPr>
        <w:spacing w:after="0" w:line="240" w:lineRule="auto"/>
        <w:ind w:firstLine="708"/>
        <w:jc w:val="both"/>
        <w:rPr>
          <w:rFonts w:ascii="Arial" w:hAnsi="Arial" w:cs="Arial"/>
          <w:bCs/>
          <w:lang w:val="ro-RO"/>
        </w:rPr>
      </w:pPr>
    </w:p>
    <w:p w:rsidR="00253E47" w:rsidRPr="00253E47" w:rsidRDefault="00253E47" w:rsidP="00253E47">
      <w:pPr>
        <w:spacing w:after="0" w:line="240" w:lineRule="auto"/>
        <w:ind w:left="720" w:firstLine="720"/>
        <w:jc w:val="both"/>
        <w:rPr>
          <w:rFonts w:ascii="Arial" w:hAnsi="Arial" w:cs="Arial"/>
          <w:bCs/>
          <w:lang w:val="ro-RO"/>
        </w:rPr>
      </w:pPr>
      <w:bookmarkStart w:id="0" w:name="_GoBack"/>
      <w:bookmarkEnd w:id="0"/>
    </w:p>
    <w:p w:rsidR="00253E47" w:rsidRPr="00253E47" w:rsidRDefault="00253E47" w:rsidP="00253E47">
      <w:pPr>
        <w:spacing w:after="0" w:line="240" w:lineRule="auto"/>
        <w:ind w:firstLine="720"/>
        <w:jc w:val="both"/>
        <w:rPr>
          <w:rFonts w:ascii="Arial" w:eastAsia="Times New Roman" w:hAnsi="Arial" w:cs="Arial"/>
          <w:b/>
          <w:i/>
          <w:lang w:val="ro-RO"/>
        </w:rPr>
      </w:pPr>
      <w:r w:rsidRPr="00253E47">
        <w:rPr>
          <w:rFonts w:ascii="Arial" w:eastAsia="Times New Roman" w:hAnsi="Arial" w:cs="Arial"/>
          <w:b/>
          <w:i/>
          <w:lang w:val="ro-RO"/>
        </w:rPr>
        <w:t>nu necesită evaluare de mediu și se adoptă fără aviz de mediu.</w:t>
      </w:r>
    </w:p>
    <w:p w:rsidR="00253E47" w:rsidRPr="00253E47" w:rsidRDefault="00253E47" w:rsidP="00253E47">
      <w:pPr>
        <w:spacing w:after="0" w:line="240" w:lineRule="auto"/>
        <w:ind w:firstLine="720"/>
        <w:jc w:val="both"/>
        <w:rPr>
          <w:rFonts w:ascii="Arial" w:eastAsia="Times New Roman" w:hAnsi="Arial" w:cs="Arial"/>
          <w:b/>
          <w:i/>
          <w:lang w:val="ro-RO"/>
        </w:rPr>
      </w:pPr>
    </w:p>
    <w:p w:rsidR="00253E47" w:rsidRPr="00253E47" w:rsidRDefault="00253E47" w:rsidP="00253E47">
      <w:pPr>
        <w:autoSpaceDE w:val="0"/>
        <w:autoSpaceDN w:val="0"/>
        <w:adjustRightInd w:val="0"/>
        <w:spacing w:after="0" w:line="240" w:lineRule="auto"/>
        <w:ind w:firstLine="720"/>
        <w:jc w:val="both"/>
        <w:rPr>
          <w:rFonts w:ascii="Arial" w:hAnsi="Arial" w:cs="Arial"/>
          <w:b/>
          <w:lang w:val="ro-RO"/>
        </w:rPr>
      </w:pPr>
      <w:r w:rsidRPr="00253E47">
        <w:rPr>
          <w:rFonts w:ascii="Arial" w:hAnsi="Arial" w:cs="Arial"/>
          <w:b/>
          <w:lang w:val="ro-RO"/>
        </w:rPr>
        <w:t>Motivele care au stat la baza luării deciziei etapei de încadrare (luând în considerare criteriile prevăzute în anexa 1 a H.G. nr.1076/2004) sunt următoarele:</w:t>
      </w:r>
    </w:p>
    <w:p w:rsidR="00253E47" w:rsidRPr="00253E47" w:rsidRDefault="00253E47" w:rsidP="00253E47">
      <w:pPr>
        <w:tabs>
          <w:tab w:val="left" w:pos="270"/>
        </w:tabs>
        <w:autoSpaceDE w:val="0"/>
        <w:autoSpaceDN w:val="0"/>
        <w:adjustRightInd w:val="0"/>
        <w:spacing w:after="0" w:line="240" w:lineRule="auto"/>
        <w:jc w:val="both"/>
        <w:rPr>
          <w:rFonts w:ascii="Arial" w:hAnsi="Arial" w:cs="Arial"/>
          <w:i/>
          <w:lang w:val="ro-RO"/>
        </w:rPr>
      </w:pPr>
      <w:r w:rsidRPr="00253E47">
        <w:rPr>
          <w:rFonts w:ascii="Arial" w:hAnsi="Arial" w:cs="Arial"/>
          <w:i/>
          <w:lang w:val="ro-RO"/>
        </w:rPr>
        <w:tab/>
        <w:t>- în prezent, terenul studiat are categorie de folosinţă</w:t>
      </w:r>
      <w:r w:rsidR="003B5A17">
        <w:rPr>
          <w:rFonts w:ascii="Arial" w:hAnsi="Arial" w:cs="Arial"/>
          <w:i/>
          <w:lang w:val="ro-RO"/>
        </w:rPr>
        <w:t xml:space="preserve"> curți și construcții</w:t>
      </w:r>
      <w:r w:rsidRPr="00253E47">
        <w:rPr>
          <w:rFonts w:ascii="Arial" w:hAnsi="Arial" w:cs="Arial"/>
          <w:i/>
          <w:lang w:val="ro-RO"/>
        </w:rPr>
        <w:t xml:space="preserve">; </w:t>
      </w:r>
    </w:p>
    <w:p w:rsidR="00253E47" w:rsidRPr="00253E47" w:rsidRDefault="00253E47" w:rsidP="00253E47">
      <w:pPr>
        <w:tabs>
          <w:tab w:val="left" w:pos="270"/>
        </w:tabs>
        <w:autoSpaceDE w:val="0"/>
        <w:autoSpaceDN w:val="0"/>
        <w:adjustRightInd w:val="0"/>
        <w:spacing w:after="0" w:line="240" w:lineRule="auto"/>
        <w:jc w:val="both"/>
        <w:rPr>
          <w:rFonts w:ascii="Arial" w:hAnsi="Arial" w:cs="Arial"/>
          <w:i/>
          <w:lang w:val="ro-RO"/>
        </w:rPr>
      </w:pPr>
      <w:r w:rsidRPr="00253E47">
        <w:rPr>
          <w:rFonts w:ascii="Arial" w:hAnsi="Arial" w:cs="Arial"/>
          <w:i/>
          <w:lang w:val="ro-RO"/>
        </w:rPr>
        <w:tab/>
        <w:t>- PUZ-ul propus va reglementa dezvoltarea viitoare a zonei, prin realizarea investițiilor propuse ;</w:t>
      </w:r>
    </w:p>
    <w:p w:rsidR="00253E47" w:rsidRPr="00253E47" w:rsidRDefault="00253E47" w:rsidP="00253E47">
      <w:pPr>
        <w:spacing w:after="0" w:line="240" w:lineRule="auto"/>
        <w:ind w:firstLine="272"/>
        <w:jc w:val="both"/>
        <w:rPr>
          <w:rFonts w:ascii="Arial" w:hAnsi="Arial" w:cs="Arial"/>
          <w:i/>
          <w:lang w:val="ro-RO"/>
        </w:rPr>
      </w:pPr>
      <w:r w:rsidRPr="00253E47">
        <w:rPr>
          <w:rFonts w:ascii="Arial" w:hAnsi="Arial" w:cs="Arial"/>
          <w:i/>
          <w:lang w:val="ro-RO"/>
        </w:rPr>
        <w:t xml:space="preserve">- prin PUZ-ul studiat se propun: </w:t>
      </w:r>
    </w:p>
    <w:p w:rsidR="00253E47" w:rsidRPr="00253E47" w:rsidRDefault="00253E47" w:rsidP="00253E47">
      <w:pPr>
        <w:tabs>
          <w:tab w:val="left" w:pos="270"/>
          <w:tab w:val="left" w:pos="900"/>
        </w:tabs>
        <w:spacing w:after="0" w:line="240" w:lineRule="auto"/>
        <w:ind w:firstLine="272"/>
        <w:rPr>
          <w:rFonts w:ascii="Arial" w:hAnsi="Arial" w:cs="Arial"/>
          <w:i/>
          <w:lang w:val="ro-RO"/>
        </w:rPr>
      </w:pPr>
      <w:r w:rsidRPr="00253E47">
        <w:rPr>
          <w:rFonts w:ascii="Arial" w:hAnsi="Arial" w:cs="Arial"/>
          <w:i/>
          <w:lang w:val="ro-RO"/>
        </w:rPr>
        <w:tab/>
        <w:t xml:space="preserve">- stabilirea funcţiunii zonei; </w:t>
      </w:r>
    </w:p>
    <w:p w:rsidR="00253E47" w:rsidRPr="00253E47" w:rsidRDefault="00253E47" w:rsidP="00253E47">
      <w:pPr>
        <w:tabs>
          <w:tab w:val="left" w:pos="270"/>
          <w:tab w:val="left" w:pos="900"/>
        </w:tabs>
        <w:spacing w:after="0" w:line="240" w:lineRule="auto"/>
        <w:ind w:firstLine="272"/>
        <w:jc w:val="both"/>
        <w:rPr>
          <w:rFonts w:ascii="Arial" w:hAnsi="Arial" w:cs="Arial"/>
          <w:i/>
          <w:lang w:val="ro-RO"/>
        </w:rPr>
      </w:pPr>
      <w:r w:rsidRPr="00253E47">
        <w:rPr>
          <w:rFonts w:ascii="Arial" w:hAnsi="Arial" w:cs="Arial"/>
          <w:i/>
          <w:lang w:val="ro-RO"/>
        </w:rPr>
        <w:tab/>
        <w:t>- precizarea regimului de înălţime şi a indicatorilor privind utilizarea terenului (POT, CUT);</w:t>
      </w:r>
    </w:p>
    <w:p w:rsidR="00253E47" w:rsidRPr="00253E47" w:rsidRDefault="00253E47" w:rsidP="00253E47">
      <w:pPr>
        <w:tabs>
          <w:tab w:val="left" w:pos="270"/>
        </w:tabs>
        <w:spacing w:after="0" w:line="240" w:lineRule="auto"/>
        <w:ind w:firstLine="272"/>
        <w:rPr>
          <w:rFonts w:ascii="Arial" w:hAnsi="Arial" w:cs="Arial"/>
          <w:i/>
          <w:lang w:val="ro-RO"/>
        </w:rPr>
      </w:pPr>
      <w:r w:rsidRPr="00253E47">
        <w:rPr>
          <w:rFonts w:ascii="Arial" w:hAnsi="Arial" w:cs="Arial"/>
          <w:i/>
          <w:lang w:val="ro-RO"/>
        </w:rPr>
        <w:tab/>
        <w:t xml:space="preserve">   - realizare accese carosabile şi pietonale;  </w:t>
      </w:r>
    </w:p>
    <w:p w:rsidR="00253E47" w:rsidRPr="00253E47" w:rsidRDefault="00253E47" w:rsidP="00253E47">
      <w:pPr>
        <w:tabs>
          <w:tab w:val="left" w:pos="270"/>
        </w:tabs>
        <w:spacing w:after="0" w:line="240" w:lineRule="auto"/>
        <w:ind w:firstLine="272"/>
        <w:rPr>
          <w:rFonts w:ascii="Arial" w:hAnsi="Arial" w:cs="Arial"/>
          <w:i/>
          <w:lang w:val="ro-RO"/>
        </w:rPr>
      </w:pPr>
      <w:r w:rsidRPr="00253E47">
        <w:rPr>
          <w:rFonts w:ascii="Arial" w:hAnsi="Arial" w:cs="Arial"/>
          <w:i/>
          <w:lang w:val="ro-RO"/>
        </w:rPr>
        <w:t xml:space="preserve">          - aliniamente obligatorii, distanţe de retragere de la aliniament; </w:t>
      </w:r>
    </w:p>
    <w:p w:rsidR="00253E47" w:rsidRPr="00253E47" w:rsidRDefault="00253E47" w:rsidP="00253E47">
      <w:pPr>
        <w:tabs>
          <w:tab w:val="left" w:pos="0"/>
        </w:tabs>
        <w:spacing w:after="0" w:line="240" w:lineRule="auto"/>
        <w:ind w:firstLine="270"/>
        <w:rPr>
          <w:rFonts w:ascii="Arial" w:hAnsi="Arial" w:cs="Arial"/>
          <w:i/>
          <w:lang w:val="ro-RO"/>
        </w:rPr>
      </w:pPr>
      <w:r w:rsidRPr="00253E47">
        <w:rPr>
          <w:rFonts w:ascii="Arial" w:hAnsi="Arial" w:cs="Arial"/>
          <w:i/>
          <w:lang w:val="ro-RO"/>
        </w:rPr>
        <w:tab/>
        <w:t xml:space="preserve">   - echiparea edilitară a amplasamentului; </w:t>
      </w:r>
    </w:p>
    <w:p w:rsidR="00253E47" w:rsidRPr="00253E47" w:rsidRDefault="00253E47" w:rsidP="00253E47">
      <w:pPr>
        <w:tabs>
          <w:tab w:val="left" w:pos="0"/>
        </w:tabs>
        <w:spacing w:after="0" w:line="240" w:lineRule="auto"/>
        <w:ind w:firstLine="270"/>
        <w:rPr>
          <w:rFonts w:ascii="Arial" w:hAnsi="Arial" w:cs="Arial"/>
          <w:i/>
          <w:lang w:val="ro-RO"/>
        </w:rPr>
      </w:pPr>
      <w:r w:rsidRPr="00253E47">
        <w:rPr>
          <w:rFonts w:ascii="Arial" w:hAnsi="Arial" w:cs="Arial"/>
          <w:i/>
          <w:lang w:val="ro-RO"/>
        </w:rPr>
        <w:tab/>
        <w:t xml:space="preserve">   - reguli cu privire la amplasarea de spaţii verzi şi împrejmuiri; </w:t>
      </w:r>
    </w:p>
    <w:p w:rsidR="00253E47" w:rsidRPr="00253E47" w:rsidRDefault="00253E47" w:rsidP="00253E47">
      <w:pPr>
        <w:tabs>
          <w:tab w:val="left" w:pos="0"/>
        </w:tabs>
        <w:spacing w:after="0" w:line="240" w:lineRule="auto"/>
        <w:ind w:firstLine="270"/>
        <w:jc w:val="both"/>
        <w:rPr>
          <w:rFonts w:ascii="Arial" w:hAnsi="Arial" w:cs="Arial"/>
          <w:i/>
          <w:lang w:val="ro-RO"/>
        </w:rPr>
      </w:pPr>
      <w:r w:rsidRPr="00253E47">
        <w:rPr>
          <w:rFonts w:ascii="Arial" w:hAnsi="Arial" w:cs="Arial"/>
          <w:i/>
          <w:lang w:val="ro-RO"/>
        </w:rPr>
        <w:tab/>
        <w:t xml:space="preserve">   - reguli cu privire la păstrarea integrităţii mediului;  </w:t>
      </w:r>
    </w:p>
    <w:p w:rsidR="00253E47" w:rsidRPr="00253E47" w:rsidRDefault="00253E47" w:rsidP="00253E47">
      <w:pPr>
        <w:tabs>
          <w:tab w:val="left" w:pos="270"/>
        </w:tabs>
        <w:spacing w:after="0" w:line="240" w:lineRule="auto"/>
        <w:contextualSpacing/>
        <w:jc w:val="both"/>
        <w:rPr>
          <w:rFonts w:ascii="Arial" w:hAnsi="Arial" w:cs="Arial"/>
          <w:i/>
          <w:lang w:val="ro-RO"/>
        </w:rPr>
      </w:pPr>
      <w:r w:rsidRPr="00253E47">
        <w:rPr>
          <w:rFonts w:ascii="Arial" w:hAnsi="Arial" w:cs="Arial"/>
          <w:i/>
          <w:lang w:val="ro-RO"/>
        </w:rPr>
        <w:tab/>
        <w:t xml:space="preserve">- nu sunt afectate planuri urbanistice în vigoare sau propuse, în zonă nu există studii de urbanism recente;  </w:t>
      </w:r>
    </w:p>
    <w:p w:rsidR="00253E47" w:rsidRPr="00253E47" w:rsidRDefault="00253E47" w:rsidP="00253E47">
      <w:pPr>
        <w:tabs>
          <w:tab w:val="left" w:pos="270"/>
        </w:tabs>
        <w:autoSpaceDE w:val="0"/>
        <w:autoSpaceDN w:val="0"/>
        <w:adjustRightInd w:val="0"/>
        <w:spacing w:after="0" w:line="240" w:lineRule="auto"/>
        <w:contextualSpacing/>
        <w:jc w:val="both"/>
        <w:rPr>
          <w:rFonts w:ascii="Arial" w:hAnsi="Arial" w:cs="Arial"/>
          <w:i/>
          <w:lang w:val="ro-RO"/>
        </w:rPr>
      </w:pPr>
      <w:r w:rsidRPr="00253E47">
        <w:rPr>
          <w:rFonts w:ascii="Arial" w:hAnsi="Arial" w:cs="Arial"/>
          <w:i/>
          <w:lang w:val="ro-RO"/>
        </w:rPr>
        <w:tab/>
        <w:t>- modificările propuse nu conduc la posibilitatea apariţiei de efecte semnificative asupra mediului şi nu influenţează alte planuri şi programe;</w:t>
      </w:r>
    </w:p>
    <w:p w:rsidR="00253E47" w:rsidRPr="00253E47" w:rsidRDefault="00253E47" w:rsidP="00253E47">
      <w:pPr>
        <w:tabs>
          <w:tab w:val="left" w:pos="270"/>
        </w:tabs>
        <w:autoSpaceDE w:val="0"/>
        <w:autoSpaceDN w:val="0"/>
        <w:adjustRightInd w:val="0"/>
        <w:spacing w:after="0" w:line="240" w:lineRule="auto"/>
        <w:contextualSpacing/>
        <w:jc w:val="both"/>
        <w:rPr>
          <w:rFonts w:ascii="Arial" w:hAnsi="Arial" w:cs="Arial"/>
          <w:i/>
          <w:lang w:val="ro-RO"/>
        </w:rPr>
      </w:pPr>
      <w:r w:rsidRPr="00253E47">
        <w:rPr>
          <w:rFonts w:ascii="Arial" w:hAnsi="Arial" w:cs="Arial"/>
          <w:i/>
          <w:lang w:val="ro-RO"/>
        </w:rPr>
        <w:tab/>
        <w:t>- amplasamentul nu este situat în zonă de arie naturală protejată, în zonă de protecţie specială sau în arie în care standardele de calitate ale mediului, stabilite de legislaţie, au fost depăşite;</w:t>
      </w: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t xml:space="preserve">- terenul studiat nu este expus riscurilor naturale (fenomene de instabilitate, inundabilitate ș.a.). </w:t>
      </w: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r>
      <w:r w:rsidRPr="00253E47">
        <w:rPr>
          <w:rFonts w:ascii="Arial" w:hAnsi="Arial" w:cs="Arial"/>
          <w:bCs/>
          <w:i/>
          <w:lang w:val="ro-RO"/>
        </w:rPr>
        <w:tab/>
        <w:t xml:space="preserve">Factorul de mediu apă: </w:t>
      </w:r>
      <w:r w:rsidRPr="00253E47">
        <w:rPr>
          <w:rFonts w:ascii="Arial" w:hAnsi="Arial" w:cs="Arial"/>
          <w:i/>
          <w:lang w:val="ro-RO"/>
        </w:rPr>
        <w:t xml:space="preserve">alimentarea cu apă se va realiza din </w:t>
      </w:r>
      <w:r w:rsidR="003B5A17" w:rsidRPr="003B5A17">
        <w:rPr>
          <w:rFonts w:ascii="Arial" w:hAnsi="Arial" w:cs="Arial"/>
          <w:i/>
          <w:lang w:val="ro-RO"/>
        </w:rPr>
        <w:t>sursă subterană, evacuarea apei uzate menajere-microstație de epurare</w:t>
      </w:r>
      <w:r w:rsidR="003B5A17">
        <w:rPr>
          <w:rFonts w:ascii="Arial" w:hAnsi="Arial" w:cs="Arial"/>
          <w:i/>
          <w:lang w:val="ro-RO"/>
        </w:rPr>
        <w:t xml:space="preserve"> pentru 25 locuitori echivalenț</w:t>
      </w:r>
      <w:r w:rsidR="00391E9A">
        <w:rPr>
          <w:rFonts w:ascii="Arial" w:hAnsi="Arial" w:cs="Arial"/>
          <w:i/>
          <w:lang w:val="ro-RO"/>
        </w:rPr>
        <w:t>i</w:t>
      </w:r>
      <w:r w:rsidRPr="00253E47">
        <w:rPr>
          <w:rFonts w:ascii="Arial" w:hAnsi="Arial" w:cs="Arial"/>
          <w:i/>
          <w:lang w:val="ro-RO"/>
        </w:rPr>
        <w:t>.</w:t>
      </w:r>
    </w:p>
    <w:p w:rsidR="00253E47" w:rsidRPr="00253E47" w:rsidRDefault="00253E47" w:rsidP="00253E47">
      <w:pPr>
        <w:keepNext/>
        <w:shd w:val="clear" w:color="auto" w:fill="FFFFFF"/>
        <w:tabs>
          <w:tab w:val="left" w:pos="450"/>
        </w:tabs>
        <w:spacing w:after="0" w:line="240" w:lineRule="auto"/>
        <w:jc w:val="both"/>
        <w:outlineLvl w:val="4"/>
        <w:rPr>
          <w:rFonts w:ascii="Arial" w:hAnsi="Arial" w:cs="Arial"/>
          <w:bCs/>
          <w:i/>
          <w:lang w:val="ro-RO"/>
        </w:rPr>
      </w:pPr>
      <w:r w:rsidRPr="00253E47">
        <w:rPr>
          <w:rFonts w:ascii="Arial" w:hAnsi="Arial" w:cs="Arial"/>
          <w:bCs/>
          <w:i/>
          <w:lang w:val="ro-RO"/>
        </w:rPr>
        <w:tab/>
      </w:r>
      <w:r w:rsidRPr="00253E47">
        <w:rPr>
          <w:rFonts w:ascii="Arial" w:hAnsi="Arial" w:cs="Arial"/>
          <w:bCs/>
          <w:i/>
          <w:lang w:val="ro-RO"/>
        </w:rPr>
        <w:tab/>
        <w:t>Factorul de mediu aer: principalele surse de poluare a aerului sunt traficul auto și arderea combustibilului pentru încălzire, dar efectele nu vor fi semnificative.</w:t>
      </w:r>
    </w:p>
    <w:p w:rsidR="00253E47" w:rsidRPr="00253E47" w:rsidRDefault="00253E47" w:rsidP="00253E47">
      <w:pPr>
        <w:keepNext/>
        <w:shd w:val="clear" w:color="auto" w:fill="FFFFFF"/>
        <w:tabs>
          <w:tab w:val="left" w:pos="450"/>
        </w:tabs>
        <w:spacing w:after="0" w:line="240" w:lineRule="auto"/>
        <w:jc w:val="both"/>
        <w:outlineLvl w:val="4"/>
        <w:rPr>
          <w:rFonts w:ascii="Arial" w:hAnsi="Arial" w:cs="Arial"/>
          <w:bCs/>
          <w:i/>
          <w:lang w:val="ro-RO"/>
        </w:rPr>
      </w:pPr>
      <w:r w:rsidRPr="00253E47">
        <w:rPr>
          <w:rFonts w:ascii="Arial" w:hAnsi="Arial" w:cs="Arial"/>
          <w:bCs/>
          <w:i/>
          <w:lang w:val="ro-RO"/>
        </w:rPr>
        <w:tab/>
      </w:r>
      <w:r w:rsidRPr="00253E47">
        <w:rPr>
          <w:rFonts w:ascii="Arial" w:hAnsi="Arial" w:cs="Arial"/>
          <w:bCs/>
          <w:i/>
          <w:lang w:val="ro-RO"/>
        </w:rPr>
        <w:tab/>
        <w:t xml:space="preserve">Factorul de mediu sol: nu va fi afectat în condiţiile respectării măsurilor propuse şi a depozitării corespunzătoare de materiale, deșeuri ş.a. </w:t>
      </w:r>
    </w:p>
    <w:p w:rsidR="00253E47" w:rsidRPr="00253E47" w:rsidRDefault="00253E47" w:rsidP="00253E47">
      <w:pPr>
        <w:spacing w:after="0" w:line="240" w:lineRule="auto"/>
        <w:ind w:firstLine="720"/>
        <w:jc w:val="both"/>
        <w:rPr>
          <w:rFonts w:ascii="Arial" w:hAnsi="Arial" w:cs="Arial"/>
          <w:bCs/>
          <w:i/>
          <w:lang w:val="ro-RO"/>
        </w:rPr>
      </w:pPr>
      <w:r w:rsidRPr="00253E47">
        <w:rPr>
          <w:rFonts w:ascii="Arial" w:hAnsi="Arial" w:cs="Arial"/>
          <w:bCs/>
          <w:i/>
          <w:lang w:val="ro-RO"/>
        </w:rPr>
        <w:t>Planul nu va avea efecte negative asupra mediului.</w:t>
      </w:r>
    </w:p>
    <w:p w:rsidR="00253E47" w:rsidRPr="00253E47" w:rsidRDefault="00253E47" w:rsidP="00253E47">
      <w:pPr>
        <w:spacing w:after="0" w:line="240" w:lineRule="auto"/>
        <w:ind w:firstLine="720"/>
        <w:jc w:val="both"/>
        <w:rPr>
          <w:rFonts w:ascii="Arial" w:hAnsi="Arial" w:cs="Arial"/>
          <w:bCs/>
          <w:i/>
          <w:lang w:val="ro-RO"/>
        </w:rPr>
      </w:pPr>
      <w:r w:rsidRPr="00253E47">
        <w:rPr>
          <w:rFonts w:ascii="Arial" w:hAnsi="Arial" w:cs="Arial"/>
          <w:bCs/>
          <w:i/>
          <w:lang w:val="ro-RO"/>
        </w:rPr>
        <w:t>Zona studiată prin PUZ și numărul populației posibil să fie afectată sunt restrânse.</w:t>
      </w:r>
    </w:p>
    <w:p w:rsidR="00253E47" w:rsidRPr="00253E47" w:rsidRDefault="00253E47" w:rsidP="00253E47">
      <w:pPr>
        <w:tabs>
          <w:tab w:val="left" w:pos="0"/>
          <w:tab w:val="left" w:pos="270"/>
        </w:tabs>
        <w:spacing w:after="0" w:line="240" w:lineRule="auto"/>
        <w:jc w:val="both"/>
        <w:rPr>
          <w:rFonts w:ascii="Arial" w:hAnsi="Arial" w:cs="Arial"/>
          <w:i/>
          <w:lang w:val="ro-RO"/>
        </w:rPr>
      </w:pP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r>
      <w:r w:rsidRPr="00253E47">
        <w:rPr>
          <w:rFonts w:ascii="Arial" w:hAnsi="Arial" w:cs="Arial"/>
          <w:i/>
          <w:lang w:val="ro-RO"/>
        </w:rPr>
        <w:tab/>
        <w:t xml:space="preserve">Anunţul public privind depunerea solicitării de emitere a avizului de mediu/declanșarea etapei de încadrare a fost mediatizate prin publicare în presa locală, afişare pe site-ul şi la sediul A.P.M. Bistriţa-Năsăud. </w:t>
      </w: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r>
      <w:r w:rsidRPr="00253E47">
        <w:rPr>
          <w:rFonts w:ascii="Arial" w:hAnsi="Arial" w:cs="Arial"/>
          <w:i/>
          <w:lang w:val="ro-RO"/>
        </w:rPr>
        <w:tab/>
        <w:t>Nu s-au înregistrat observaţii sau comentarii din partea publicului interesat.</w:t>
      </w: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253E47" w:rsidRPr="00253E47" w:rsidRDefault="00253E47" w:rsidP="00253E47">
      <w:pPr>
        <w:autoSpaceDE w:val="0"/>
        <w:autoSpaceDN w:val="0"/>
        <w:adjustRightInd w:val="0"/>
        <w:spacing w:after="0" w:line="240" w:lineRule="auto"/>
        <w:ind w:firstLine="720"/>
        <w:jc w:val="both"/>
        <w:rPr>
          <w:rFonts w:ascii="Arial" w:hAnsi="Arial" w:cs="Arial"/>
          <w:b/>
          <w:bCs/>
          <w:color w:val="000000"/>
          <w:lang w:val="ro-RO"/>
        </w:rPr>
      </w:pPr>
      <w:r w:rsidRPr="00253E47">
        <w:rPr>
          <w:rFonts w:ascii="Arial" w:hAnsi="Arial" w:cs="Arial"/>
          <w:b/>
          <w:bCs/>
          <w:color w:val="000000"/>
          <w:lang w:val="ro-RO"/>
        </w:rPr>
        <w:t xml:space="preserve">Prezenta decizie este valabilă pe toată durata implementării planului, dacǎ nu intervin modificǎri ale acestuia. </w:t>
      </w:r>
    </w:p>
    <w:p w:rsidR="00253E47" w:rsidRPr="00253E47" w:rsidRDefault="00253E47" w:rsidP="00253E47">
      <w:pPr>
        <w:autoSpaceDE w:val="0"/>
        <w:autoSpaceDN w:val="0"/>
        <w:adjustRightInd w:val="0"/>
        <w:spacing w:after="0" w:line="240" w:lineRule="auto"/>
        <w:jc w:val="both"/>
        <w:rPr>
          <w:rFonts w:ascii="Arial" w:hAnsi="Arial" w:cs="Arial"/>
          <w:color w:val="000000"/>
          <w:lang w:val="ro-RO"/>
        </w:rPr>
      </w:pPr>
    </w:p>
    <w:p w:rsidR="00253E47" w:rsidRPr="00253E47" w:rsidRDefault="00253E47" w:rsidP="00253E47">
      <w:pPr>
        <w:autoSpaceDE w:val="0"/>
        <w:autoSpaceDN w:val="0"/>
        <w:adjustRightInd w:val="0"/>
        <w:spacing w:after="14" w:line="240" w:lineRule="auto"/>
        <w:ind w:firstLine="720"/>
        <w:jc w:val="both"/>
        <w:rPr>
          <w:rFonts w:ascii="Arial" w:hAnsi="Arial" w:cs="Arial"/>
          <w:color w:val="000000"/>
          <w:lang w:val="ro-RO"/>
        </w:rPr>
      </w:pPr>
      <w:r w:rsidRPr="00253E47">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253E47" w:rsidRPr="00253E47" w:rsidRDefault="00253E47" w:rsidP="00253E47">
      <w:pPr>
        <w:autoSpaceDE w:val="0"/>
        <w:autoSpaceDN w:val="0"/>
        <w:adjustRightInd w:val="0"/>
        <w:spacing w:after="0" w:line="240" w:lineRule="auto"/>
        <w:jc w:val="both"/>
        <w:rPr>
          <w:rFonts w:ascii="Arial" w:hAnsi="Arial" w:cs="Arial"/>
          <w:color w:val="000000"/>
          <w:lang w:val="ro-RO"/>
        </w:rPr>
      </w:pPr>
    </w:p>
    <w:p w:rsidR="00253E47" w:rsidRPr="00253E47" w:rsidRDefault="00253E47" w:rsidP="00253E47">
      <w:pPr>
        <w:autoSpaceDE w:val="0"/>
        <w:autoSpaceDN w:val="0"/>
        <w:adjustRightInd w:val="0"/>
        <w:spacing w:after="0" w:line="240" w:lineRule="auto"/>
        <w:ind w:firstLine="720"/>
        <w:jc w:val="both"/>
        <w:rPr>
          <w:rFonts w:ascii="Arial" w:hAnsi="Arial" w:cs="Arial"/>
          <w:color w:val="000000"/>
          <w:lang w:val="ro-RO"/>
        </w:rPr>
      </w:pPr>
      <w:r w:rsidRPr="00253E47">
        <w:rPr>
          <w:rFonts w:ascii="Arial" w:hAnsi="Arial" w:cs="Arial"/>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i/>
          <w:iCs/>
          <w:lang w:val="ro-RO"/>
        </w:rPr>
      </w:pPr>
      <w:r w:rsidRPr="00253E47">
        <w:rPr>
          <w:rFonts w:ascii="Arial" w:eastAsia="Times New Roman" w:hAnsi="Arial" w:cs="Arial"/>
          <w:lang w:val="ro-RO"/>
        </w:rPr>
        <w:t>Prezenta decizie poate fi contestată în conformitate cu prevederile Legii contenciosului administrativ nr. 554/5004, cu modificările şi completările ulterioare.</w:t>
      </w: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253E47" w:rsidRPr="00253E47" w:rsidRDefault="00253E47" w:rsidP="00253E47">
      <w:pPr>
        <w:spacing w:after="0" w:line="240" w:lineRule="auto"/>
        <w:ind w:firstLine="720"/>
        <w:jc w:val="both"/>
        <w:rPr>
          <w:rFonts w:ascii="Arial" w:hAnsi="Arial" w:cs="Arial"/>
          <w:lang w:val="ro-RO"/>
        </w:rPr>
      </w:pPr>
    </w:p>
    <w:p w:rsidR="00253E47" w:rsidRPr="00253E47" w:rsidRDefault="00253E47" w:rsidP="00253E47">
      <w:pPr>
        <w:spacing w:after="0" w:line="240" w:lineRule="auto"/>
        <w:jc w:val="both"/>
        <w:rPr>
          <w:rFonts w:ascii="Arial" w:hAnsi="Arial" w:cs="Arial"/>
          <w:lang w:val="ro-RO"/>
        </w:rPr>
      </w:pPr>
      <w:r w:rsidRPr="00253E47">
        <w:rPr>
          <w:rFonts w:ascii="Arial" w:hAnsi="Arial" w:cs="Arial"/>
          <w:lang w:val="ro-RO"/>
        </w:rPr>
        <w:t xml:space="preserve">       DIRECTOR EXECUTIV,</w:t>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t xml:space="preserve">                   ŞEF  SERVICIU </w:t>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t xml:space="preserve">     AVIZE, ACORDURI, AUTORIZAŢII,       </w:t>
      </w:r>
    </w:p>
    <w:p w:rsidR="00253E47" w:rsidRPr="00253E47" w:rsidRDefault="00253E47" w:rsidP="00253E47">
      <w:pPr>
        <w:spacing w:after="0" w:line="240" w:lineRule="auto"/>
        <w:jc w:val="both"/>
        <w:rPr>
          <w:rFonts w:ascii="Arial" w:hAnsi="Arial" w:cs="Arial"/>
          <w:lang w:val="ro-RO"/>
        </w:rPr>
      </w:pPr>
      <w:r w:rsidRPr="00253E47">
        <w:rPr>
          <w:rFonts w:ascii="Arial" w:hAnsi="Arial" w:cs="Arial"/>
          <w:lang w:val="ro-RO"/>
        </w:rPr>
        <w:t>biolog-chimist Sever Ioan ROMAN</w:t>
      </w:r>
      <w:r w:rsidRPr="00253E47">
        <w:rPr>
          <w:rFonts w:ascii="Arial" w:hAnsi="Arial" w:cs="Arial"/>
          <w:lang w:val="ro-RO"/>
        </w:rPr>
        <w:tab/>
        <w:t xml:space="preserve">       </w:t>
      </w:r>
      <w:r w:rsidRPr="00253E47">
        <w:rPr>
          <w:rFonts w:ascii="Arial" w:hAnsi="Arial" w:cs="Arial"/>
          <w:lang w:val="ro-RO"/>
        </w:rPr>
        <w:tab/>
        <w:t xml:space="preserve">    </w:t>
      </w:r>
      <w:r w:rsidRPr="00253E47">
        <w:rPr>
          <w:rFonts w:ascii="Arial" w:hAnsi="Arial" w:cs="Arial"/>
          <w:lang w:val="ro-RO"/>
        </w:rPr>
        <w:tab/>
        <w:t xml:space="preserve">        </w:t>
      </w:r>
      <w:r w:rsidRPr="00253E47">
        <w:rPr>
          <w:rFonts w:ascii="Arial" w:hAnsi="Arial" w:cs="Arial"/>
          <w:lang w:val="ro-RO"/>
        </w:rPr>
        <w:tab/>
      </w:r>
      <w:r w:rsidRPr="00253E47">
        <w:rPr>
          <w:rFonts w:ascii="Arial" w:hAnsi="Arial" w:cs="Arial"/>
          <w:iCs/>
          <w:snapToGrid w:val="0"/>
          <w:lang w:val="ro-RO"/>
        </w:rPr>
        <w:t xml:space="preserve"> </w:t>
      </w:r>
      <w:r w:rsidRPr="00253E47">
        <w:rPr>
          <w:rFonts w:ascii="Arial" w:hAnsi="Arial" w:cs="Arial"/>
          <w:lang w:val="ro-RO"/>
        </w:rPr>
        <w:t xml:space="preserve">               </w:t>
      </w:r>
    </w:p>
    <w:p w:rsidR="00253E47" w:rsidRPr="00253E47" w:rsidRDefault="00253E47" w:rsidP="00253E47">
      <w:pPr>
        <w:spacing w:after="0" w:line="240" w:lineRule="auto"/>
        <w:jc w:val="both"/>
        <w:rPr>
          <w:rFonts w:ascii="Arial" w:hAnsi="Arial" w:cs="Arial"/>
          <w:iCs/>
          <w:snapToGrid w:val="0"/>
          <w:lang w:val="ro-RO"/>
        </w:rPr>
      </w:pPr>
      <w:r w:rsidRPr="00253E47">
        <w:rPr>
          <w:rFonts w:ascii="Arial" w:hAnsi="Arial" w:cs="Arial"/>
          <w:lang w:val="ro-RO"/>
        </w:rPr>
        <w:t xml:space="preserve">     </w:t>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t xml:space="preserve">                         ing. Marinela Suciu</w:t>
      </w:r>
    </w:p>
    <w:p w:rsidR="00253E47" w:rsidRPr="00253E47" w:rsidRDefault="00253E47" w:rsidP="00253E47">
      <w:pPr>
        <w:spacing w:after="0" w:line="240" w:lineRule="auto"/>
        <w:jc w:val="both"/>
        <w:rPr>
          <w:rFonts w:ascii="Arial" w:hAnsi="Arial" w:cs="Arial"/>
          <w:iCs/>
          <w:snapToGrid w:val="0"/>
          <w:lang w:val="ro-RO"/>
        </w:rPr>
      </w:pPr>
    </w:p>
    <w:p w:rsidR="00253E47" w:rsidRPr="00253E47" w:rsidRDefault="00253E47" w:rsidP="00253E47">
      <w:pPr>
        <w:spacing w:after="0" w:line="240" w:lineRule="auto"/>
        <w:jc w:val="both"/>
        <w:rPr>
          <w:rFonts w:ascii="Arial" w:hAnsi="Arial" w:cs="Arial"/>
          <w:iCs/>
          <w:snapToGrid w:val="0"/>
          <w:lang w:val="ro-RO"/>
        </w:rPr>
      </w:pPr>
    </w:p>
    <w:p w:rsidR="00253E47" w:rsidRDefault="00253E47" w:rsidP="00253E47">
      <w:pPr>
        <w:spacing w:after="0" w:line="240" w:lineRule="auto"/>
        <w:ind w:left="5760" w:firstLine="720"/>
        <w:jc w:val="both"/>
        <w:rPr>
          <w:rFonts w:ascii="Arial" w:hAnsi="Arial" w:cs="Arial"/>
          <w:iCs/>
          <w:snapToGrid w:val="0"/>
          <w:lang w:val="ro-RO"/>
        </w:rPr>
      </w:pPr>
      <w:r w:rsidRPr="00253E47">
        <w:rPr>
          <w:rFonts w:ascii="Arial" w:hAnsi="Arial" w:cs="Arial"/>
          <w:iCs/>
          <w:snapToGrid w:val="0"/>
          <w:lang w:val="ro-RO"/>
        </w:rPr>
        <w:t xml:space="preserve">         ÎNTOCMIT, </w:t>
      </w:r>
    </w:p>
    <w:p w:rsidR="003B5A17" w:rsidRPr="00253E47" w:rsidRDefault="003B5A17" w:rsidP="00253E47">
      <w:pPr>
        <w:spacing w:after="0" w:line="240" w:lineRule="auto"/>
        <w:ind w:left="5760" w:firstLine="720"/>
        <w:jc w:val="both"/>
        <w:rPr>
          <w:rFonts w:ascii="Arial" w:hAnsi="Arial" w:cs="Arial"/>
          <w:iCs/>
          <w:snapToGrid w:val="0"/>
          <w:lang w:val="ro-RO"/>
        </w:rPr>
      </w:pPr>
    </w:p>
    <w:p w:rsidR="00253E47" w:rsidRPr="00253E47" w:rsidRDefault="00253E47" w:rsidP="00253E47">
      <w:pPr>
        <w:spacing w:after="0" w:line="240" w:lineRule="auto"/>
        <w:rPr>
          <w:rFonts w:ascii="Garamond" w:hAnsi="Garamond"/>
          <w:b/>
          <w:bCs/>
          <w:color w:val="FFFFFF"/>
          <w:sz w:val="16"/>
          <w:szCs w:val="16"/>
          <w:lang w:val="ro-RO"/>
        </w:rPr>
      </w:pPr>
      <w:r w:rsidRPr="00253E47">
        <w:rPr>
          <w:rFonts w:ascii="Arial" w:hAnsi="Arial" w:cs="Arial"/>
          <w:iCs/>
          <w:snapToGrid w:val="0"/>
          <w:lang w:val="ro-RO"/>
        </w:rPr>
        <w:t xml:space="preserve">     </w:t>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t xml:space="preserve">    chim. Mariana Gal</w:t>
      </w:r>
    </w:p>
    <w:p w:rsidR="00B63D60" w:rsidRDefault="00B63D60" w:rsidP="00B63D60">
      <w:pPr>
        <w:spacing w:after="120" w:line="240" w:lineRule="auto"/>
        <w:jc w:val="center"/>
        <w:outlineLvl w:val="0"/>
        <w:rPr>
          <w:rFonts w:ascii="Times New Roman" w:hAnsi="Times New Roman"/>
          <w:b/>
          <w:sz w:val="28"/>
          <w:szCs w:val="28"/>
          <w:lang w:val="ro-RO"/>
        </w:rPr>
      </w:pPr>
    </w:p>
    <w:sectPr w:rsidR="00B63D60" w:rsidSect="00253E47">
      <w:pgSz w:w="11907" w:h="16840" w:code="9"/>
      <w:pgMar w:top="425" w:right="851" w:bottom="1134" w:left="992" w:header="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972" w:rsidRDefault="00156972" w:rsidP="0010560A">
      <w:pPr>
        <w:spacing w:after="0" w:line="240" w:lineRule="auto"/>
      </w:pPr>
      <w:r>
        <w:separator/>
      </w:r>
    </w:p>
  </w:endnote>
  <w:endnote w:type="continuationSeparator" w:id="0">
    <w:p w:rsidR="00156972" w:rsidRDefault="0015697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972" w:rsidRDefault="00156972" w:rsidP="0010560A">
      <w:pPr>
        <w:spacing w:after="0" w:line="240" w:lineRule="auto"/>
      </w:pPr>
      <w:r>
        <w:separator/>
      </w:r>
    </w:p>
  </w:footnote>
  <w:footnote w:type="continuationSeparator" w:id="0">
    <w:p w:rsidR="00156972" w:rsidRDefault="0015697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rsids>
    <w:rsidRoot w:val="0010560A"/>
    <w:rsid w:val="000011F8"/>
    <w:rsid w:val="00002134"/>
    <w:rsid w:val="00002852"/>
    <w:rsid w:val="000126E7"/>
    <w:rsid w:val="00023D48"/>
    <w:rsid w:val="000255D1"/>
    <w:rsid w:val="000336A1"/>
    <w:rsid w:val="00046049"/>
    <w:rsid w:val="000567A2"/>
    <w:rsid w:val="00062C08"/>
    <w:rsid w:val="00065F6C"/>
    <w:rsid w:val="0007578C"/>
    <w:rsid w:val="0007594F"/>
    <w:rsid w:val="000805BB"/>
    <w:rsid w:val="000866DE"/>
    <w:rsid w:val="00086B9A"/>
    <w:rsid w:val="00093049"/>
    <w:rsid w:val="00095760"/>
    <w:rsid w:val="000961A9"/>
    <w:rsid w:val="000B4E57"/>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56972"/>
    <w:rsid w:val="001628D8"/>
    <w:rsid w:val="00163FDA"/>
    <w:rsid w:val="0017069E"/>
    <w:rsid w:val="00170C37"/>
    <w:rsid w:val="0017374E"/>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6598"/>
    <w:rsid w:val="00227DCC"/>
    <w:rsid w:val="00232324"/>
    <w:rsid w:val="00241FC8"/>
    <w:rsid w:val="00253E47"/>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1E9A"/>
    <w:rsid w:val="0039373A"/>
    <w:rsid w:val="00394DE6"/>
    <w:rsid w:val="00394E35"/>
    <w:rsid w:val="003A2D3C"/>
    <w:rsid w:val="003A6F3D"/>
    <w:rsid w:val="003B5A17"/>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5ED2"/>
    <w:rsid w:val="005205EF"/>
    <w:rsid w:val="00532353"/>
    <w:rsid w:val="005457DD"/>
    <w:rsid w:val="00545F57"/>
    <w:rsid w:val="00555B18"/>
    <w:rsid w:val="00564AA4"/>
    <w:rsid w:val="00571253"/>
    <w:rsid w:val="00575325"/>
    <w:rsid w:val="00581E9B"/>
    <w:rsid w:val="00586D0A"/>
    <w:rsid w:val="00587E6B"/>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C7065"/>
    <w:rsid w:val="006D49F0"/>
    <w:rsid w:val="006D4E85"/>
    <w:rsid w:val="006D4EF3"/>
    <w:rsid w:val="006D5114"/>
    <w:rsid w:val="006E1E1E"/>
    <w:rsid w:val="006E7B5C"/>
    <w:rsid w:val="006F1C5F"/>
    <w:rsid w:val="006F1ED8"/>
    <w:rsid w:val="00702379"/>
    <w:rsid w:val="0070444F"/>
    <w:rsid w:val="00706555"/>
    <w:rsid w:val="007153B4"/>
    <w:rsid w:val="00726667"/>
    <w:rsid w:val="00731D4A"/>
    <w:rsid w:val="00747873"/>
    <w:rsid w:val="00747B0C"/>
    <w:rsid w:val="00754767"/>
    <w:rsid w:val="00757F6E"/>
    <w:rsid w:val="00776505"/>
    <w:rsid w:val="00777451"/>
    <w:rsid w:val="00780237"/>
    <w:rsid w:val="007813E3"/>
    <w:rsid w:val="007839E2"/>
    <w:rsid w:val="00783B79"/>
    <w:rsid w:val="00786C7E"/>
    <w:rsid w:val="00796EE8"/>
    <w:rsid w:val="007A2496"/>
    <w:rsid w:val="007C3BF2"/>
    <w:rsid w:val="007C5139"/>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52E1"/>
    <w:rsid w:val="008D3951"/>
    <w:rsid w:val="008D7863"/>
    <w:rsid w:val="008D7AD2"/>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6971"/>
    <w:rsid w:val="00AC19A6"/>
    <w:rsid w:val="00AC39FA"/>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4CF3"/>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C19DB"/>
    <w:rsid w:val="00CC4255"/>
    <w:rsid w:val="00CD517A"/>
    <w:rsid w:val="00CE0513"/>
    <w:rsid w:val="00CF0557"/>
    <w:rsid w:val="00CF7034"/>
    <w:rsid w:val="00D001A8"/>
    <w:rsid w:val="00D14AF3"/>
    <w:rsid w:val="00D16538"/>
    <w:rsid w:val="00D176A7"/>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2427"/>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3F6A"/>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FD61-C06C-4BB2-B72A-F2562AF2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790</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5366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cp:revision>
  <cp:lastPrinted>2018-02-07T08:38:00Z</cp:lastPrinted>
  <dcterms:created xsi:type="dcterms:W3CDTF">2018-02-09T09:29:00Z</dcterms:created>
  <dcterms:modified xsi:type="dcterms:W3CDTF">2018-02-22T07:06:00Z</dcterms:modified>
</cp:coreProperties>
</file>