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charts/chart99.xml" ContentType="application/vnd.openxmlformats-officedocument.drawingml.chart+xml"/>
  <Override PartName="/word/theme/themeOverride22.xml" ContentType="application/vnd.openxmlformats-officedocument.themeOverride+xml"/>
  <Override PartName="/word/theme/themeOverride1.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Override PartName="/word/theme/themeOverride11.xml" ContentType="application/vnd.openxmlformats-officedocument.themeOverride+xml"/>
  <Override PartName="/word/charts/chart10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drawings/drawing2.xml" ContentType="application/vnd.openxmlformats-officedocument.drawingml.chartshapes+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Override PartName="/word/theme/themeOverride6.xml" ContentType="application/vnd.openxmlformats-officedocument.themeOverride+xml"/>
  <Override PartName="/word/theme/themeOverride27.xml" ContentType="application/vnd.openxmlformats-officedocument.themeOverride+xml"/>
  <Default Extension="png" ContentType="image/png"/>
  <Override PartName="/word/theme/themeOverride16.xml" ContentType="application/vnd.openxmlformats-officedocument.themeOverride+xml"/>
  <Override PartName="/word/theme/themeOverride2.xml" ContentType="application/vnd.openxmlformats-officedocument.themeOverride+xml"/>
  <Override PartName="/word/charts/chart89.xml" ContentType="application/vnd.openxmlformats-officedocument.drawingml.chart+xml"/>
  <Override PartName="/word/theme/themeOverride23.xml" ContentType="application/vnd.openxmlformats-officedocument.themeOverride+xml"/>
  <Override PartName="/word/charts/chart49.xml" ContentType="application/vnd.openxmlformats-officedocument.drawingml.chart+xml"/>
  <Default Extension="emf" ContentType="image/x-emf"/>
  <Override PartName="/word/charts/chart78.xml" ContentType="application/vnd.openxmlformats-officedocument.drawingml.chart+xml"/>
  <Override PartName="/word/charts/chart96.xml" ContentType="application/vnd.openxmlformats-officedocument.drawingml.chart+xml"/>
  <Override PartName="/word/theme/themeOverride12.xml" ContentType="application/vnd.openxmlformats-officedocument.themeOverride+xml"/>
  <Override PartName="/word/charts/chart38.xml" ContentType="application/vnd.openxmlformats-officedocument.drawingml.chart+xml"/>
  <Override PartName="/word/drawings/drawing3.xml" ContentType="application/vnd.openxmlformats-officedocument.drawingml.chartshapes+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theme/themeOverride9.xml" ContentType="application/vnd.openxmlformats-officedocument.themeOverride+xml"/>
  <Override PartName="/word/charts/chart102.xml" ContentType="application/vnd.openxmlformats-officedocument.drawingml.chart+xml"/>
  <Override PartName="/word/charts/chart111.xml" ContentType="application/vnd.openxmlformats-officedocument.drawingml.chart+xml"/>
  <Override PartName="/word/theme/themeOverride19.xml" ContentType="application/vnd.openxmlformats-officedocument.themeOverride+xml"/>
  <Override PartName="/word/charts/chart12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charts/chart10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theme/themeOverride20.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drawings/drawing4.xml" ContentType="application/vnd.openxmlformats-officedocument.drawingml.chartshapes+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footer1.xml" ContentType="application/vnd.openxmlformats-officedocument.wordprocessingml.footer+xml"/>
  <Override PartName="/word/charts/chart103.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theme/themeOverride8.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charts/chart98.xml" ContentType="application/vnd.openxmlformats-officedocument.drawingml.chart+xml"/>
  <Override PartName="/word/theme/themeOverride14.xml" ContentType="application/vnd.openxmlformats-officedocument.themeOverride+xml"/>
  <Default Extension="jpeg" ContentType="image/jpeg"/>
  <Override PartName="/word/charts/chart69.xml" ContentType="application/vnd.openxmlformats-officedocument.drawingml.chart+xml"/>
  <Override PartName="/word/charts/chart87.xml" ContentType="application/vnd.openxmlformats-officedocument.drawingml.chart+xml"/>
  <Override PartName="/word/theme/themeOverride21.xml" ContentType="application/vnd.openxmlformats-officedocument.themeOverride+xml"/>
  <Override PartName="/word/charts/chart11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drawings/drawing5.xml" ContentType="application/vnd.openxmlformats-officedocument.drawingml.chartshapes+xml"/>
  <Override PartName="/word/charts/chart76.xml" ContentType="application/vnd.openxmlformats-officedocument.drawingml.chart+xml"/>
  <Override PartName="/word/charts/chart94.xml" ContentType="application/vnd.openxmlformats-officedocument.drawingml.chart+xml"/>
  <Override PartName="/word/theme/themeOverride10.xml" ContentType="application/vnd.openxmlformats-officedocument.themeOverride+xml"/>
  <Override PartName="/word/charts/chart108.xml" ContentType="application/vnd.openxmlformats-officedocument.drawingml.chart+xml"/>
  <Override PartName="/word/charts/chart126.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000" w:rsidRPr="003927B9" w:rsidRDefault="00524EBC" w:rsidP="00C625DB">
      <w:pPr>
        <w:spacing w:after="0" w:line="240" w:lineRule="auto"/>
        <w:jc w:val="center"/>
        <w:rPr>
          <w:rFonts w:ascii="Arial" w:hAnsi="Arial" w:cs="Arial"/>
          <w:b/>
          <w:sz w:val="40"/>
          <w:szCs w:val="40"/>
        </w:rPr>
      </w:pPr>
      <w:r w:rsidRPr="003927B9">
        <w:rPr>
          <w:rFonts w:ascii="Arial" w:hAnsi="Arial" w:cs="Arial"/>
          <w:b/>
          <w:sz w:val="40"/>
          <w:szCs w:val="40"/>
        </w:rPr>
        <w:t xml:space="preserve">APM  </w:t>
      </w:r>
      <w:r w:rsidR="00217620">
        <w:rPr>
          <w:rFonts w:ascii="Arial" w:hAnsi="Arial" w:cs="Arial"/>
          <w:b/>
          <w:sz w:val="40"/>
          <w:szCs w:val="40"/>
        </w:rPr>
        <w:t>BRĂILA</w:t>
      </w:r>
    </w:p>
    <w:p w:rsidR="00A8211A" w:rsidRPr="003927B9" w:rsidRDefault="00A8211A" w:rsidP="00C625DB">
      <w:pPr>
        <w:spacing w:after="0" w:line="240" w:lineRule="auto"/>
        <w:rPr>
          <w:rFonts w:ascii="Arial" w:hAnsi="Arial" w:cs="Arial"/>
          <w:sz w:val="24"/>
          <w:szCs w:val="24"/>
        </w:rPr>
      </w:pPr>
    </w:p>
    <w:p w:rsidR="00A8211A" w:rsidRPr="003927B9" w:rsidRDefault="00A8211A" w:rsidP="00C625DB">
      <w:pPr>
        <w:spacing w:after="0" w:line="240" w:lineRule="auto"/>
        <w:rPr>
          <w:rFonts w:ascii="Arial" w:hAnsi="Arial" w:cs="Arial"/>
          <w:sz w:val="24"/>
          <w:szCs w:val="24"/>
        </w:rPr>
      </w:pPr>
    </w:p>
    <w:p w:rsidR="00A8211A" w:rsidRPr="003927B9" w:rsidRDefault="00A8211A" w:rsidP="00C625DB">
      <w:pPr>
        <w:spacing w:after="0" w:line="240" w:lineRule="auto"/>
        <w:rPr>
          <w:rFonts w:ascii="Arial" w:hAnsi="Arial" w:cs="Arial"/>
          <w:sz w:val="24"/>
          <w:szCs w:val="24"/>
        </w:rPr>
      </w:pPr>
    </w:p>
    <w:p w:rsidR="00A8211A" w:rsidRPr="003927B9" w:rsidRDefault="00A8211A" w:rsidP="00C625DB">
      <w:pPr>
        <w:spacing w:after="0" w:line="240" w:lineRule="auto"/>
        <w:rPr>
          <w:rFonts w:ascii="Arial" w:hAnsi="Arial" w:cs="Arial"/>
          <w:sz w:val="24"/>
          <w:szCs w:val="24"/>
        </w:rPr>
      </w:pPr>
    </w:p>
    <w:p w:rsidR="00A8211A" w:rsidRPr="003927B9" w:rsidRDefault="00A8211A" w:rsidP="00C625DB">
      <w:pPr>
        <w:spacing w:after="0" w:line="240" w:lineRule="auto"/>
        <w:rPr>
          <w:rFonts w:ascii="Arial" w:hAnsi="Arial" w:cs="Arial"/>
          <w:sz w:val="24"/>
          <w:szCs w:val="24"/>
        </w:rPr>
      </w:pPr>
    </w:p>
    <w:p w:rsidR="00411B7A" w:rsidRPr="003927B9" w:rsidRDefault="00411B7A" w:rsidP="00C625DB">
      <w:pPr>
        <w:spacing w:after="0" w:line="240" w:lineRule="auto"/>
        <w:rPr>
          <w:rFonts w:ascii="Arial" w:hAnsi="Arial" w:cs="Arial"/>
          <w:sz w:val="24"/>
          <w:szCs w:val="24"/>
        </w:rPr>
      </w:pPr>
    </w:p>
    <w:p w:rsidR="00411B7A" w:rsidRPr="003927B9" w:rsidRDefault="00411B7A" w:rsidP="00C625DB">
      <w:pPr>
        <w:spacing w:after="0" w:line="240" w:lineRule="auto"/>
        <w:rPr>
          <w:rFonts w:ascii="Arial" w:hAnsi="Arial" w:cs="Arial"/>
          <w:sz w:val="24"/>
          <w:szCs w:val="24"/>
        </w:rPr>
      </w:pPr>
    </w:p>
    <w:p w:rsidR="00A8211A" w:rsidRPr="003927B9" w:rsidRDefault="00A8211A" w:rsidP="00C625DB">
      <w:pPr>
        <w:spacing w:after="0" w:line="240" w:lineRule="auto"/>
        <w:rPr>
          <w:rFonts w:ascii="Arial" w:hAnsi="Arial" w:cs="Arial"/>
          <w:sz w:val="24"/>
          <w:szCs w:val="24"/>
        </w:rPr>
      </w:pPr>
    </w:p>
    <w:p w:rsidR="00A8211A" w:rsidRPr="003927B9" w:rsidRDefault="00A8211A" w:rsidP="00C625DB">
      <w:pPr>
        <w:spacing w:after="0" w:line="240" w:lineRule="auto"/>
        <w:rPr>
          <w:rFonts w:ascii="Arial" w:hAnsi="Arial" w:cs="Arial"/>
          <w:sz w:val="24"/>
          <w:szCs w:val="24"/>
        </w:rPr>
      </w:pPr>
    </w:p>
    <w:p w:rsidR="00BF38C9" w:rsidRDefault="00A47B8D" w:rsidP="00C625DB">
      <w:pPr>
        <w:spacing w:after="0" w:line="240" w:lineRule="auto"/>
        <w:jc w:val="center"/>
        <w:rPr>
          <w:rFonts w:ascii="Arial" w:hAnsi="Arial" w:cs="Arial"/>
          <w:b/>
          <w:sz w:val="36"/>
          <w:szCs w:val="36"/>
        </w:rPr>
      </w:pPr>
      <w:r w:rsidRPr="003927B9">
        <w:rPr>
          <w:rFonts w:ascii="Arial" w:hAnsi="Arial" w:cs="Arial"/>
          <w:b/>
          <w:sz w:val="36"/>
          <w:szCs w:val="36"/>
        </w:rPr>
        <w:t xml:space="preserve">RAPORTUL ANUAL </w:t>
      </w:r>
    </w:p>
    <w:p w:rsidR="00BF38C9" w:rsidRDefault="00BF38C9" w:rsidP="00C625DB">
      <w:pPr>
        <w:spacing w:after="0" w:line="240" w:lineRule="auto"/>
        <w:jc w:val="center"/>
        <w:rPr>
          <w:rFonts w:ascii="Arial" w:hAnsi="Arial" w:cs="Arial"/>
          <w:b/>
          <w:sz w:val="36"/>
          <w:szCs w:val="36"/>
        </w:rPr>
      </w:pPr>
    </w:p>
    <w:p w:rsidR="00A47B8D" w:rsidRPr="003927B9" w:rsidRDefault="00A47B8D" w:rsidP="00C625DB">
      <w:pPr>
        <w:spacing w:after="0" w:line="240" w:lineRule="auto"/>
        <w:jc w:val="center"/>
        <w:rPr>
          <w:rFonts w:ascii="Arial" w:hAnsi="Arial" w:cs="Arial"/>
          <w:b/>
          <w:sz w:val="36"/>
          <w:szCs w:val="36"/>
        </w:rPr>
      </w:pPr>
      <w:r w:rsidRPr="003927B9">
        <w:rPr>
          <w:rFonts w:ascii="Arial" w:hAnsi="Arial" w:cs="Arial"/>
          <w:b/>
          <w:sz w:val="36"/>
          <w:szCs w:val="36"/>
        </w:rPr>
        <w:t xml:space="preserve">PRIVIND STAREA MEDIULUI PENTRU JUDEȚUL </w:t>
      </w:r>
      <w:r w:rsidR="00217620">
        <w:rPr>
          <w:rFonts w:ascii="Arial" w:hAnsi="Arial" w:cs="Arial"/>
          <w:b/>
          <w:sz w:val="36"/>
          <w:szCs w:val="36"/>
        </w:rPr>
        <w:t>BRĂILA</w:t>
      </w:r>
    </w:p>
    <w:p w:rsidR="003927B9" w:rsidRDefault="003927B9" w:rsidP="00C625DB">
      <w:pPr>
        <w:spacing w:after="0" w:line="240" w:lineRule="auto"/>
        <w:jc w:val="center"/>
        <w:rPr>
          <w:rFonts w:ascii="Arial" w:hAnsi="Arial" w:cs="Arial"/>
          <w:b/>
          <w:sz w:val="36"/>
          <w:szCs w:val="36"/>
        </w:rPr>
      </w:pPr>
    </w:p>
    <w:p w:rsidR="003927B9" w:rsidRDefault="003927B9" w:rsidP="00C625DB">
      <w:pPr>
        <w:spacing w:after="0" w:line="240" w:lineRule="auto"/>
        <w:jc w:val="center"/>
        <w:rPr>
          <w:rFonts w:ascii="Arial" w:hAnsi="Arial" w:cs="Arial"/>
          <w:b/>
          <w:sz w:val="36"/>
          <w:szCs w:val="36"/>
        </w:rPr>
      </w:pPr>
    </w:p>
    <w:p w:rsidR="003927B9" w:rsidRDefault="003927B9" w:rsidP="00C625DB">
      <w:pPr>
        <w:spacing w:after="0" w:line="240" w:lineRule="auto"/>
        <w:jc w:val="center"/>
        <w:rPr>
          <w:rFonts w:ascii="Arial" w:hAnsi="Arial" w:cs="Arial"/>
          <w:b/>
          <w:sz w:val="36"/>
          <w:szCs w:val="36"/>
        </w:rPr>
      </w:pPr>
    </w:p>
    <w:p w:rsidR="003927B9" w:rsidRDefault="003927B9" w:rsidP="00C625DB">
      <w:pPr>
        <w:spacing w:after="0" w:line="240" w:lineRule="auto"/>
        <w:jc w:val="center"/>
        <w:rPr>
          <w:rFonts w:ascii="Arial" w:hAnsi="Arial" w:cs="Arial"/>
          <w:b/>
          <w:sz w:val="36"/>
          <w:szCs w:val="36"/>
        </w:rPr>
      </w:pPr>
    </w:p>
    <w:p w:rsidR="00A8211A" w:rsidRPr="003927B9" w:rsidRDefault="00A47B8D" w:rsidP="00C625DB">
      <w:pPr>
        <w:spacing w:after="0" w:line="240" w:lineRule="auto"/>
        <w:jc w:val="center"/>
        <w:rPr>
          <w:rFonts w:ascii="Arial" w:hAnsi="Arial" w:cs="Arial"/>
          <w:b/>
          <w:sz w:val="36"/>
          <w:szCs w:val="36"/>
        </w:rPr>
      </w:pPr>
      <w:r w:rsidRPr="003927B9">
        <w:rPr>
          <w:rFonts w:ascii="Arial" w:hAnsi="Arial" w:cs="Arial"/>
          <w:b/>
          <w:sz w:val="36"/>
          <w:szCs w:val="36"/>
        </w:rPr>
        <w:t xml:space="preserve">  ANUL 201</w:t>
      </w:r>
      <w:r w:rsidR="00543526" w:rsidRPr="003927B9">
        <w:rPr>
          <w:rFonts w:ascii="Arial" w:hAnsi="Arial" w:cs="Arial"/>
          <w:b/>
          <w:sz w:val="36"/>
          <w:szCs w:val="36"/>
        </w:rPr>
        <w:t>6</w:t>
      </w:r>
    </w:p>
    <w:p w:rsidR="00A04365" w:rsidRPr="003927B9" w:rsidRDefault="00A04365" w:rsidP="00C625DB">
      <w:pPr>
        <w:spacing w:after="0" w:line="240" w:lineRule="auto"/>
        <w:jc w:val="center"/>
        <w:rPr>
          <w:rFonts w:ascii="Arial" w:hAnsi="Arial" w:cs="Arial"/>
          <w:b/>
          <w:sz w:val="36"/>
          <w:szCs w:val="36"/>
        </w:rPr>
      </w:pPr>
    </w:p>
    <w:p w:rsidR="00A04365" w:rsidRPr="003927B9" w:rsidRDefault="00A04365" w:rsidP="00C625DB">
      <w:pPr>
        <w:spacing w:after="0" w:line="240" w:lineRule="auto"/>
        <w:jc w:val="center"/>
        <w:rPr>
          <w:rFonts w:ascii="Arial" w:hAnsi="Arial" w:cs="Arial"/>
          <w:b/>
          <w:sz w:val="36"/>
          <w:szCs w:val="36"/>
        </w:rPr>
      </w:pPr>
    </w:p>
    <w:p w:rsidR="00A04365" w:rsidRPr="00C625DB" w:rsidRDefault="00A04365" w:rsidP="00C625DB">
      <w:pPr>
        <w:spacing w:after="0" w:line="240" w:lineRule="auto"/>
        <w:jc w:val="center"/>
        <w:rPr>
          <w:rFonts w:ascii="Arial" w:hAnsi="Arial" w:cs="Arial"/>
          <w:b/>
          <w:sz w:val="36"/>
          <w:szCs w:val="36"/>
        </w:rPr>
      </w:pPr>
    </w:p>
    <w:p w:rsidR="00A04365" w:rsidRPr="00C625DB" w:rsidRDefault="00A04365" w:rsidP="00C625DB">
      <w:pPr>
        <w:spacing w:after="0" w:line="240" w:lineRule="auto"/>
        <w:jc w:val="center"/>
        <w:rPr>
          <w:rFonts w:ascii="Arial" w:hAnsi="Arial" w:cs="Arial"/>
          <w:b/>
          <w:sz w:val="36"/>
          <w:szCs w:val="36"/>
        </w:rPr>
      </w:pPr>
    </w:p>
    <w:p w:rsidR="00A04365" w:rsidRPr="00C625DB" w:rsidRDefault="00A04365" w:rsidP="00C625DB">
      <w:pPr>
        <w:spacing w:after="0" w:line="240" w:lineRule="auto"/>
        <w:jc w:val="center"/>
        <w:rPr>
          <w:rFonts w:ascii="Arial" w:hAnsi="Arial" w:cs="Arial"/>
          <w:b/>
          <w:sz w:val="36"/>
          <w:szCs w:val="36"/>
        </w:rPr>
      </w:pPr>
    </w:p>
    <w:p w:rsidR="00A04365" w:rsidRPr="00C625DB" w:rsidRDefault="00A04365" w:rsidP="00C625DB">
      <w:pPr>
        <w:spacing w:after="0" w:line="240" w:lineRule="auto"/>
        <w:jc w:val="center"/>
        <w:rPr>
          <w:rFonts w:ascii="Arial" w:hAnsi="Arial" w:cs="Arial"/>
          <w:b/>
          <w:sz w:val="36"/>
          <w:szCs w:val="36"/>
        </w:rPr>
      </w:pPr>
    </w:p>
    <w:p w:rsidR="00A04365" w:rsidRPr="00C625DB" w:rsidRDefault="00A04365" w:rsidP="00C625DB">
      <w:pPr>
        <w:spacing w:after="0" w:line="240" w:lineRule="auto"/>
        <w:jc w:val="center"/>
        <w:rPr>
          <w:rFonts w:ascii="Arial" w:hAnsi="Arial" w:cs="Arial"/>
          <w:b/>
          <w:sz w:val="36"/>
          <w:szCs w:val="36"/>
        </w:rPr>
      </w:pPr>
    </w:p>
    <w:p w:rsidR="00A04365" w:rsidRPr="00C625DB" w:rsidRDefault="00A04365" w:rsidP="00C625DB">
      <w:pPr>
        <w:spacing w:after="0" w:line="240" w:lineRule="auto"/>
        <w:jc w:val="center"/>
        <w:rPr>
          <w:rFonts w:ascii="Arial" w:hAnsi="Arial" w:cs="Arial"/>
          <w:b/>
          <w:sz w:val="36"/>
          <w:szCs w:val="36"/>
        </w:rPr>
      </w:pPr>
    </w:p>
    <w:p w:rsidR="00A04365" w:rsidRPr="00C625DB" w:rsidRDefault="00A04365" w:rsidP="00C625DB">
      <w:pPr>
        <w:spacing w:after="0" w:line="240" w:lineRule="auto"/>
        <w:jc w:val="center"/>
        <w:rPr>
          <w:rFonts w:ascii="Arial" w:hAnsi="Arial" w:cs="Arial"/>
          <w:b/>
          <w:sz w:val="36"/>
          <w:szCs w:val="36"/>
        </w:rPr>
      </w:pPr>
    </w:p>
    <w:p w:rsidR="00A04365" w:rsidRPr="00C625DB" w:rsidRDefault="00A04365" w:rsidP="00C625DB">
      <w:pPr>
        <w:spacing w:after="0" w:line="240" w:lineRule="auto"/>
        <w:jc w:val="center"/>
        <w:rPr>
          <w:rFonts w:ascii="Arial" w:hAnsi="Arial" w:cs="Arial"/>
          <w:b/>
          <w:sz w:val="36"/>
          <w:szCs w:val="36"/>
        </w:rPr>
      </w:pPr>
    </w:p>
    <w:p w:rsidR="00A04365" w:rsidRPr="00C625DB" w:rsidRDefault="00A04365" w:rsidP="00C625DB">
      <w:pPr>
        <w:spacing w:after="0" w:line="240" w:lineRule="auto"/>
        <w:jc w:val="center"/>
        <w:rPr>
          <w:rFonts w:ascii="Arial" w:hAnsi="Arial" w:cs="Arial"/>
          <w:b/>
          <w:sz w:val="24"/>
          <w:szCs w:val="24"/>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2A09AC" w:rsidRDefault="002A09AC" w:rsidP="00C625DB">
      <w:pPr>
        <w:spacing w:after="0" w:line="240" w:lineRule="auto"/>
        <w:jc w:val="center"/>
        <w:rPr>
          <w:rFonts w:ascii="Arial" w:hAnsi="Arial" w:cs="Arial"/>
          <w:b/>
          <w:sz w:val="28"/>
          <w:szCs w:val="28"/>
        </w:rPr>
      </w:pPr>
    </w:p>
    <w:p w:rsidR="004338B6" w:rsidRPr="00C625DB" w:rsidRDefault="004338B6" w:rsidP="00C625DB">
      <w:pPr>
        <w:spacing w:after="0" w:line="240" w:lineRule="auto"/>
        <w:jc w:val="center"/>
        <w:rPr>
          <w:rFonts w:ascii="Arial" w:hAnsi="Arial" w:cs="Arial"/>
          <w:b/>
          <w:sz w:val="28"/>
          <w:szCs w:val="28"/>
        </w:rPr>
      </w:pPr>
      <w:r w:rsidRPr="00C625DB">
        <w:rPr>
          <w:rFonts w:ascii="Arial" w:hAnsi="Arial" w:cs="Arial"/>
          <w:b/>
          <w:sz w:val="28"/>
          <w:szCs w:val="28"/>
        </w:rPr>
        <w:t>CUPRINS</w:t>
      </w:r>
    </w:p>
    <w:p w:rsidR="004338B6" w:rsidRPr="00C625DB" w:rsidRDefault="004338B6" w:rsidP="00C625DB">
      <w:pPr>
        <w:spacing w:after="0" w:line="240" w:lineRule="auto"/>
        <w:ind w:left="720"/>
        <w:rPr>
          <w:rFonts w:ascii="Arial" w:hAnsi="Arial" w:cs="Arial"/>
          <w:b/>
          <w:color w:val="FF0000"/>
          <w:sz w:val="20"/>
          <w:szCs w:val="20"/>
        </w:rPr>
      </w:pPr>
    </w:p>
    <w:p w:rsidR="004338B6" w:rsidRPr="00C625DB" w:rsidRDefault="004338B6" w:rsidP="00C625DB">
      <w:pPr>
        <w:tabs>
          <w:tab w:val="left" w:pos="540"/>
          <w:tab w:val="left" w:leader="dot" w:pos="9639"/>
        </w:tabs>
        <w:spacing w:after="0" w:line="240" w:lineRule="auto"/>
        <w:rPr>
          <w:rFonts w:ascii="Arial" w:hAnsi="Arial" w:cs="Arial"/>
          <w:b/>
          <w:sz w:val="20"/>
          <w:szCs w:val="20"/>
        </w:rPr>
      </w:pPr>
      <w:r w:rsidRPr="00C625DB">
        <w:rPr>
          <w:rFonts w:ascii="Arial" w:hAnsi="Arial" w:cs="Arial"/>
          <w:b/>
          <w:sz w:val="20"/>
          <w:szCs w:val="20"/>
        </w:rPr>
        <w:t>I.CALITATEA ŞI POLUAREA AERULUI ÎNCONJURĂTOR ..........................................................</w:t>
      </w:r>
      <w:r w:rsidR="009A58CA">
        <w:rPr>
          <w:rFonts w:ascii="Arial" w:hAnsi="Arial" w:cs="Arial"/>
          <w:b/>
          <w:sz w:val="20"/>
          <w:szCs w:val="20"/>
        </w:rPr>
        <w:t>.</w:t>
      </w:r>
      <w:r w:rsidRPr="00C625DB">
        <w:rPr>
          <w:rFonts w:ascii="Arial" w:hAnsi="Arial" w:cs="Arial"/>
          <w:b/>
          <w:sz w:val="20"/>
          <w:szCs w:val="20"/>
        </w:rPr>
        <w:t>..</w:t>
      </w:r>
      <w:r w:rsidR="009A58CA">
        <w:rPr>
          <w:rFonts w:ascii="Arial" w:hAnsi="Arial" w:cs="Arial"/>
          <w:b/>
          <w:sz w:val="20"/>
          <w:szCs w:val="20"/>
        </w:rPr>
        <w:t>.</w:t>
      </w:r>
      <w:r w:rsidRPr="00C625DB">
        <w:rPr>
          <w:rFonts w:ascii="Arial" w:hAnsi="Arial" w:cs="Arial"/>
          <w:b/>
          <w:sz w:val="20"/>
          <w:szCs w:val="20"/>
        </w:rPr>
        <w:t xml:space="preserve">........... </w:t>
      </w:r>
      <w:r w:rsidR="00295F6C" w:rsidRPr="00C625DB">
        <w:rPr>
          <w:rFonts w:ascii="Arial" w:hAnsi="Arial" w:cs="Arial"/>
          <w:b/>
          <w:sz w:val="20"/>
          <w:szCs w:val="20"/>
        </w:rPr>
        <w:t>5</w:t>
      </w:r>
      <w:r w:rsidRPr="00C625DB">
        <w:rPr>
          <w:rFonts w:ascii="Arial" w:hAnsi="Arial" w:cs="Arial"/>
          <w:b/>
          <w:sz w:val="20"/>
          <w:szCs w:val="20"/>
        </w:rPr>
        <w:t xml:space="preserve">             </w:t>
      </w:r>
    </w:p>
    <w:p w:rsidR="004338B6" w:rsidRPr="00C625DB" w:rsidRDefault="004338B6" w:rsidP="00C625DB">
      <w:pPr>
        <w:tabs>
          <w:tab w:val="left" w:leader="dot" w:pos="9923"/>
        </w:tabs>
        <w:spacing w:after="0" w:line="240" w:lineRule="auto"/>
        <w:rPr>
          <w:rFonts w:ascii="Arial" w:hAnsi="Arial" w:cs="Arial"/>
          <w:b/>
          <w:sz w:val="20"/>
          <w:szCs w:val="20"/>
        </w:rPr>
      </w:pPr>
      <w:r w:rsidRPr="00C625DB">
        <w:rPr>
          <w:rFonts w:ascii="Arial" w:hAnsi="Arial" w:cs="Arial"/>
          <w:b/>
          <w:sz w:val="20"/>
          <w:szCs w:val="20"/>
        </w:rPr>
        <w:t xml:space="preserve">   I.1.Calitatea aerului înconjurător: stare şi consecinţe ............................................................</w:t>
      </w:r>
      <w:r w:rsidR="009A58CA">
        <w:rPr>
          <w:rFonts w:ascii="Arial" w:hAnsi="Arial" w:cs="Arial"/>
          <w:b/>
          <w:sz w:val="20"/>
          <w:szCs w:val="20"/>
        </w:rPr>
        <w:t>.</w:t>
      </w:r>
      <w:r w:rsidRPr="00C625DB">
        <w:rPr>
          <w:rFonts w:ascii="Arial" w:hAnsi="Arial" w:cs="Arial"/>
          <w:b/>
          <w:sz w:val="20"/>
          <w:szCs w:val="20"/>
        </w:rPr>
        <w:t xml:space="preserve">.............   </w:t>
      </w:r>
      <w:r w:rsidR="00295F6C" w:rsidRPr="00C625DB">
        <w:rPr>
          <w:rFonts w:ascii="Arial" w:hAnsi="Arial" w:cs="Arial"/>
          <w:b/>
          <w:sz w:val="20"/>
          <w:szCs w:val="20"/>
        </w:rPr>
        <w:t>5</w:t>
      </w:r>
      <w:r w:rsidRPr="00C625DB">
        <w:rPr>
          <w:rFonts w:ascii="Arial" w:hAnsi="Arial" w:cs="Arial"/>
          <w:b/>
          <w:sz w:val="20"/>
          <w:szCs w:val="20"/>
        </w:rPr>
        <w:t xml:space="preserve">   </w:t>
      </w:r>
    </w:p>
    <w:p w:rsidR="004338B6" w:rsidRPr="00C625DB" w:rsidRDefault="004338B6" w:rsidP="00C625DB">
      <w:pPr>
        <w:tabs>
          <w:tab w:val="left" w:pos="1134"/>
          <w:tab w:val="left" w:leader="dot" w:pos="9356"/>
        </w:tabs>
        <w:spacing w:after="0" w:line="240" w:lineRule="auto"/>
        <w:ind w:left="170"/>
        <w:rPr>
          <w:rFonts w:ascii="Arial" w:hAnsi="Arial" w:cs="Arial"/>
          <w:i/>
          <w:sz w:val="20"/>
          <w:szCs w:val="20"/>
        </w:rPr>
      </w:pPr>
      <w:r w:rsidRPr="00C625DB">
        <w:rPr>
          <w:rFonts w:ascii="Arial" w:hAnsi="Arial" w:cs="Arial"/>
          <w:b/>
          <w:i/>
          <w:sz w:val="20"/>
          <w:szCs w:val="20"/>
        </w:rPr>
        <w:t xml:space="preserve">    I.1.1.</w:t>
      </w:r>
      <w:r w:rsidRPr="00C625DB">
        <w:rPr>
          <w:rFonts w:ascii="Arial" w:hAnsi="Arial" w:cs="Arial"/>
          <w:i/>
          <w:sz w:val="20"/>
          <w:szCs w:val="20"/>
        </w:rPr>
        <w:t>Starea de calitate a aerului înconjurător.............................................................................</w:t>
      </w:r>
      <w:r w:rsidR="009A58CA">
        <w:rPr>
          <w:rFonts w:ascii="Arial" w:hAnsi="Arial" w:cs="Arial"/>
          <w:i/>
          <w:sz w:val="20"/>
          <w:szCs w:val="20"/>
        </w:rPr>
        <w:t>.</w:t>
      </w:r>
      <w:r w:rsidRPr="00C625DB">
        <w:rPr>
          <w:rFonts w:ascii="Arial" w:hAnsi="Arial" w:cs="Arial"/>
          <w:i/>
          <w:sz w:val="20"/>
          <w:szCs w:val="20"/>
        </w:rPr>
        <w:t>.............</w:t>
      </w:r>
      <w:r w:rsidR="002F5120" w:rsidRPr="00C625DB">
        <w:rPr>
          <w:rFonts w:ascii="Arial" w:hAnsi="Arial" w:cs="Arial"/>
          <w:i/>
          <w:sz w:val="20"/>
          <w:szCs w:val="20"/>
        </w:rPr>
        <w:t xml:space="preserve"> </w:t>
      </w:r>
      <w:r w:rsidR="00295F6C" w:rsidRPr="00C625DB">
        <w:rPr>
          <w:rFonts w:ascii="Arial" w:hAnsi="Arial" w:cs="Arial"/>
          <w:i/>
          <w:sz w:val="20"/>
          <w:szCs w:val="20"/>
        </w:rPr>
        <w:t>5</w:t>
      </w:r>
    </w:p>
    <w:p w:rsidR="004338B6" w:rsidRPr="00C625DB" w:rsidRDefault="004338B6" w:rsidP="00C625DB">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C625DB">
        <w:rPr>
          <w:rFonts w:ascii="Arial" w:hAnsi="Arial" w:cs="Arial"/>
          <w:sz w:val="20"/>
          <w:szCs w:val="20"/>
        </w:rPr>
        <w:t xml:space="preserve">Nivelul concentraţiilor medii anuale ale poluanţilor atmosferici în aerul înconjurător </w:t>
      </w:r>
      <w:r w:rsidRPr="00C625DB">
        <w:rPr>
          <w:rFonts w:ascii="Arial" w:hAnsi="Arial" w:cs="Arial"/>
          <w:sz w:val="20"/>
          <w:szCs w:val="20"/>
        </w:rPr>
        <w:tab/>
      </w:r>
      <w:r w:rsidR="002F5120" w:rsidRPr="00C625DB">
        <w:rPr>
          <w:rFonts w:ascii="Arial" w:hAnsi="Arial" w:cs="Arial"/>
          <w:sz w:val="20"/>
          <w:szCs w:val="20"/>
        </w:rPr>
        <w:t xml:space="preserve"> </w:t>
      </w:r>
      <w:r w:rsidRPr="00C625DB">
        <w:rPr>
          <w:rFonts w:ascii="Arial" w:hAnsi="Arial" w:cs="Arial"/>
          <w:sz w:val="20"/>
          <w:szCs w:val="20"/>
        </w:rPr>
        <w:t xml:space="preserve"> </w:t>
      </w:r>
      <w:r w:rsidR="00295F6C" w:rsidRPr="00C625DB">
        <w:rPr>
          <w:rFonts w:ascii="Arial" w:hAnsi="Arial" w:cs="Arial"/>
          <w:sz w:val="20"/>
          <w:szCs w:val="20"/>
        </w:rPr>
        <w:t>6</w:t>
      </w:r>
      <w:r w:rsidRPr="00C625DB">
        <w:rPr>
          <w:rFonts w:ascii="Arial" w:hAnsi="Arial" w:cs="Arial"/>
          <w:sz w:val="20"/>
          <w:szCs w:val="20"/>
        </w:rPr>
        <w:t xml:space="preserve"> </w:t>
      </w:r>
    </w:p>
    <w:p w:rsidR="004338B6" w:rsidRPr="00C625DB" w:rsidRDefault="004338B6" w:rsidP="00C625DB">
      <w:pPr>
        <w:numPr>
          <w:ilvl w:val="3"/>
          <w:numId w:val="1"/>
        </w:numPr>
        <w:tabs>
          <w:tab w:val="clear" w:pos="2215"/>
          <w:tab w:val="num" w:pos="1560"/>
          <w:tab w:val="left" w:leader="dot" w:pos="9356"/>
        </w:tabs>
        <w:spacing w:after="0" w:line="240" w:lineRule="auto"/>
        <w:ind w:left="1418" w:hanging="638"/>
        <w:rPr>
          <w:rFonts w:ascii="Arial" w:hAnsi="Arial" w:cs="Arial"/>
          <w:sz w:val="20"/>
          <w:szCs w:val="20"/>
        </w:rPr>
      </w:pPr>
      <w:r w:rsidRPr="00C625DB">
        <w:rPr>
          <w:rFonts w:ascii="Arial" w:hAnsi="Arial" w:cs="Arial"/>
          <w:sz w:val="20"/>
          <w:szCs w:val="20"/>
        </w:rPr>
        <w:t xml:space="preserve">Tendinţe privind concentraţiile medii anuale ale anumitor poluanţi atmosferici </w:t>
      </w:r>
      <w:r w:rsidRPr="00C625DB">
        <w:rPr>
          <w:rFonts w:ascii="Arial" w:hAnsi="Arial" w:cs="Arial"/>
          <w:sz w:val="20"/>
          <w:szCs w:val="20"/>
        </w:rPr>
        <w:tab/>
      </w:r>
      <w:r w:rsidR="002F5120" w:rsidRPr="00C625DB">
        <w:rPr>
          <w:rFonts w:ascii="Arial" w:hAnsi="Arial" w:cs="Arial"/>
          <w:sz w:val="20"/>
          <w:szCs w:val="20"/>
        </w:rPr>
        <w:t xml:space="preserve"> </w:t>
      </w:r>
      <w:r w:rsidR="00295F6C" w:rsidRPr="00C625DB">
        <w:rPr>
          <w:rFonts w:ascii="Arial" w:hAnsi="Arial" w:cs="Arial"/>
          <w:sz w:val="20"/>
          <w:szCs w:val="20"/>
        </w:rPr>
        <w:t>1</w:t>
      </w:r>
      <w:r w:rsidR="009A58CA">
        <w:rPr>
          <w:rFonts w:ascii="Arial" w:hAnsi="Arial" w:cs="Arial"/>
          <w:sz w:val="20"/>
          <w:szCs w:val="20"/>
        </w:rPr>
        <w:t>1</w:t>
      </w:r>
    </w:p>
    <w:p w:rsidR="004338B6" w:rsidRPr="00C625DB" w:rsidRDefault="004338B6" w:rsidP="00C625DB">
      <w:pPr>
        <w:tabs>
          <w:tab w:val="left" w:leader="dot" w:pos="9356"/>
        </w:tabs>
        <w:spacing w:after="0" w:line="240" w:lineRule="auto"/>
        <w:rPr>
          <w:rFonts w:ascii="Arial" w:hAnsi="Arial" w:cs="Arial"/>
          <w:sz w:val="20"/>
          <w:szCs w:val="20"/>
        </w:rPr>
      </w:pPr>
      <w:r w:rsidRPr="00C625DB">
        <w:rPr>
          <w:rFonts w:ascii="Arial" w:hAnsi="Arial" w:cs="Arial"/>
          <w:b/>
          <w:i/>
          <w:sz w:val="20"/>
          <w:szCs w:val="20"/>
        </w:rPr>
        <w:t xml:space="preserve">        I.1.2.  E</w:t>
      </w:r>
      <w:r w:rsidRPr="00C625DB">
        <w:rPr>
          <w:rFonts w:ascii="Arial" w:hAnsi="Arial" w:cs="Arial"/>
          <w:i/>
          <w:sz w:val="20"/>
          <w:szCs w:val="20"/>
        </w:rPr>
        <w:t>fectele poluării aerului înconjurător.............................................................................................</w:t>
      </w:r>
      <w:r w:rsidR="00295F6C" w:rsidRPr="00C625DB">
        <w:rPr>
          <w:rFonts w:ascii="Arial" w:hAnsi="Arial" w:cs="Arial"/>
          <w:sz w:val="20"/>
          <w:szCs w:val="20"/>
        </w:rPr>
        <w:t>1</w:t>
      </w:r>
      <w:r w:rsidR="007D3B15">
        <w:rPr>
          <w:rFonts w:ascii="Arial" w:hAnsi="Arial" w:cs="Arial"/>
          <w:sz w:val="20"/>
          <w:szCs w:val="20"/>
        </w:rPr>
        <w:t>6</w:t>
      </w:r>
    </w:p>
    <w:p w:rsidR="004338B6" w:rsidRPr="009B30B2" w:rsidRDefault="004338B6" w:rsidP="00C625DB">
      <w:pPr>
        <w:tabs>
          <w:tab w:val="left" w:leader="dot" w:pos="9356"/>
        </w:tabs>
        <w:spacing w:after="0" w:line="240" w:lineRule="auto"/>
        <w:rPr>
          <w:rFonts w:ascii="Arial" w:hAnsi="Arial" w:cs="Arial"/>
          <w:sz w:val="20"/>
          <w:szCs w:val="20"/>
        </w:rPr>
      </w:pPr>
      <w:r w:rsidRPr="009B30B2">
        <w:rPr>
          <w:rFonts w:ascii="Arial" w:hAnsi="Arial" w:cs="Arial"/>
          <w:i/>
          <w:sz w:val="20"/>
          <w:szCs w:val="20"/>
        </w:rPr>
        <w:t xml:space="preserve">             </w:t>
      </w:r>
      <w:r w:rsidRPr="009B30B2">
        <w:rPr>
          <w:rFonts w:ascii="Arial" w:hAnsi="Arial" w:cs="Arial"/>
          <w:sz w:val="20"/>
          <w:szCs w:val="20"/>
        </w:rPr>
        <w:t xml:space="preserve"> I.1.2.1. Efectele poluării aerului înconjurător asupra sănătății.........................................................</w:t>
      </w:r>
      <w:r w:rsidR="00295F6C" w:rsidRPr="009B30B2">
        <w:rPr>
          <w:rFonts w:ascii="Arial" w:hAnsi="Arial" w:cs="Arial"/>
          <w:sz w:val="20"/>
          <w:szCs w:val="20"/>
        </w:rPr>
        <w:t xml:space="preserve"> </w:t>
      </w:r>
      <w:r w:rsidR="002F5120" w:rsidRPr="009B30B2">
        <w:rPr>
          <w:rFonts w:ascii="Arial" w:hAnsi="Arial" w:cs="Arial"/>
          <w:sz w:val="20"/>
          <w:szCs w:val="20"/>
        </w:rPr>
        <w:t xml:space="preserve"> </w:t>
      </w:r>
      <w:r w:rsidR="00295F6C" w:rsidRPr="009B30B2">
        <w:rPr>
          <w:rFonts w:ascii="Arial" w:hAnsi="Arial" w:cs="Arial"/>
          <w:sz w:val="20"/>
          <w:szCs w:val="20"/>
        </w:rPr>
        <w:t>17</w:t>
      </w:r>
    </w:p>
    <w:p w:rsidR="004338B6" w:rsidRPr="00C625DB" w:rsidRDefault="004338B6" w:rsidP="00C625DB">
      <w:pPr>
        <w:tabs>
          <w:tab w:val="left" w:leader="dot" w:pos="9356"/>
        </w:tabs>
        <w:spacing w:after="0" w:line="240" w:lineRule="auto"/>
        <w:rPr>
          <w:rFonts w:ascii="Arial" w:hAnsi="Arial" w:cs="Arial"/>
          <w:b/>
          <w:sz w:val="20"/>
          <w:szCs w:val="20"/>
        </w:rPr>
      </w:pPr>
      <w:r w:rsidRPr="009B30B2">
        <w:rPr>
          <w:rFonts w:ascii="Arial" w:hAnsi="Arial" w:cs="Arial"/>
          <w:sz w:val="20"/>
          <w:szCs w:val="20"/>
        </w:rPr>
        <w:t xml:space="preserve">   </w:t>
      </w:r>
      <w:r w:rsidRPr="00C625DB">
        <w:rPr>
          <w:rFonts w:ascii="Arial" w:hAnsi="Arial" w:cs="Arial"/>
          <w:b/>
          <w:sz w:val="20"/>
          <w:szCs w:val="20"/>
        </w:rPr>
        <w:t xml:space="preserve">    I.2.Factorii determinanţi şi presiunile care afectează starea de calitate a aerului înconjurător</w:t>
      </w:r>
      <w:r w:rsidRPr="00C625DB">
        <w:rPr>
          <w:rFonts w:ascii="Arial" w:hAnsi="Arial" w:cs="Arial"/>
          <w:b/>
          <w:sz w:val="20"/>
          <w:szCs w:val="20"/>
        </w:rPr>
        <w:tab/>
      </w:r>
      <w:r w:rsidR="002F5120" w:rsidRPr="00C625DB">
        <w:rPr>
          <w:rFonts w:ascii="Arial" w:hAnsi="Arial" w:cs="Arial"/>
          <w:b/>
          <w:sz w:val="20"/>
          <w:szCs w:val="20"/>
        </w:rPr>
        <w:t xml:space="preserve"> </w:t>
      </w:r>
      <w:r w:rsidR="00295F6C" w:rsidRPr="00C625DB">
        <w:rPr>
          <w:rFonts w:ascii="Arial" w:hAnsi="Arial" w:cs="Arial"/>
          <w:b/>
          <w:sz w:val="20"/>
          <w:szCs w:val="20"/>
        </w:rPr>
        <w:t>17</w:t>
      </w:r>
    </w:p>
    <w:p w:rsidR="004338B6" w:rsidRPr="00C625DB" w:rsidRDefault="00295F6C" w:rsidP="00C625DB">
      <w:pPr>
        <w:tabs>
          <w:tab w:val="left" w:pos="1134"/>
          <w:tab w:val="left" w:leader="dot" w:pos="9356"/>
        </w:tabs>
        <w:spacing w:after="0" w:line="240" w:lineRule="auto"/>
        <w:rPr>
          <w:rFonts w:ascii="Arial" w:hAnsi="Arial" w:cs="Arial"/>
          <w:i/>
          <w:sz w:val="20"/>
          <w:szCs w:val="20"/>
        </w:rPr>
      </w:pPr>
      <w:r w:rsidRPr="00C625DB">
        <w:rPr>
          <w:rFonts w:ascii="Arial" w:hAnsi="Arial" w:cs="Arial"/>
          <w:b/>
          <w:sz w:val="20"/>
          <w:szCs w:val="20"/>
        </w:rPr>
        <w:t xml:space="preserve">       I.2.1. </w:t>
      </w:r>
      <w:r w:rsidR="004338B6" w:rsidRPr="00C625DB">
        <w:rPr>
          <w:rFonts w:ascii="Arial" w:hAnsi="Arial" w:cs="Arial"/>
          <w:i/>
          <w:sz w:val="20"/>
          <w:szCs w:val="20"/>
        </w:rPr>
        <w:t>Emisiile de poluanţi atmosferici şi principale surse de emisie ........................................... ......</w:t>
      </w:r>
      <w:r w:rsidRPr="00C625DB">
        <w:rPr>
          <w:rFonts w:ascii="Arial" w:hAnsi="Arial" w:cs="Arial"/>
          <w:i/>
          <w:sz w:val="20"/>
          <w:szCs w:val="20"/>
        </w:rPr>
        <w:t xml:space="preserve">    </w:t>
      </w:r>
      <w:r w:rsidR="002F5120" w:rsidRPr="00C625DB">
        <w:rPr>
          <w:rFonts w:ascii="Arial" w:hAnsi="Arial" w:cs="Arial"/>
          <w:i/>
          <w:sz w:val="20"/>
          <w:szCs w:val="20"/>
        </w:rPr>
        <w:t xml:space="preserve">  </w:t>
      </w:r>
      <w:r w:rsidRPr="00C625DB">
        <w:rPr>
          <w:rFonts w:ascii="Arial" w:hAnsi="Arial" w:cs="Arial"/>
          <w:sz w:val="20"/>
          <w:szCs w:val="20"/>
        </w:rPr>
        <w:t>17</w:t>
      </w:r>
    </w:p>
    <w:p w:rsidR="004338B6" w:rsidRPr="00C625DB" w:rsidRDefault="00295F6C" w:rsidP="00C625DB">
      <w:pPr>
        <w:tabs>
          <w:tab w:val="left" w:leader="dot" w:pos="9356"/>
        </w:tabs>
        <w:spacing w:after="0" w:line="240" w:lineRule="auto"/>
        <w:rPr>
          <w:rFonts w:ascii="Arial" w:hAnsi="Arial" w:cs="Arial"/>
          <w:sz w:val="20"/>
          <w:szCs w:val="20"/>
        </w:rPr>
      </w:pPr>
      <w:r w:rsidRPr="00C625DB">
        <w:rPr>
          <w:rFonts w:ascii="Arial" w:hAnsi="Arial" w:cs="Arial"/>
          <w:sz w:val="20"/>
          <w:szCs w:val="20"/>
        </w:rPr>
        <w:t xml:space="preserve">              I.2.1.1.</w:t>
      </w:r>
      <w:r w:rsidR="004338B6" w:rsidRPr="00C625DB">
        <w:rPr>
          <w:rFonts w:ascii="Arial" w:hAnsi="Arial" w:cs="Arial"/>
          <w:sz w:val="20"/>
          <w:szCs w:val="20"/>
        </w:rPr>
        <w:t>Energia  ...............................................................................................................................</w:t>
      </w:r>
      <w:r w:rsidR="002F5120" w:rsidRPr="00C625DB">
        <w:rPr>
          <w:rFonts w:ascii="Arial" w:hAnsi="Arial" w:cs="Arial"/>
          <w:sz w:val="20"/>
          <w:szCs w:val="20"/>
        </w:rPr>
        <w:t xml:space="preserve">  </w:t>
      </w:r>
      <w:r w:rsidRPr="00C625DB">
        <w:rPr>
          <w:rFonts w:ascii="Arial" w:hAnsi="Arial" w:cs="Arial"/>
          <w:sz w:val="20"/>
          <w:szCs w:val="20"/>
        </w:rPr>
        <w:t>17</w:t>
      </w:r>
      <w:r w:rsidR="004338B6" w:rsidRPr="00C625DB">
        <w:rPr>
          <w:rFonts w:ascii="Arial" w:hAnsi="Arial" w:cs="Arial"/>
          <w:sz w:val="20"/>
          <w:szCs w:val="20"/>
        </w:rPr>
        <w:t xml:space="preserve">   </w:t>
      </w:r>
    </w:p>
    <w:p w:rsidR="004338B6" w:rsidRPr="00C625DB" w:rsidRDefault="00295F6C" w:rsidP="00C625DB">
      <w:pPr>
        <w:tabs>
          <w:tab w:val="left" w:leader="dot" w:pos="9356"/>
        </w:tabs>
        <w:spacing w:after="0" w:line="240" w:lineRule="auto"/>
        <w:rPr>
          <w:rFonts w:ascii="Arial" w:hAnsi="Arial" w:cs="Arial"/>
          <w:sz w:val="20"/>
          <w:szCs w:val="20"/>
        </w:rPr>
      </w:pPr>
      <w:r w:rsidRPr="00C625DB">
        <w:rPr>
          <w:rFonts w:ascii="Arial" w:hAnsi="Arial" w:cs="Arial"/>
          <w:sz w:val="20"/>
          <w:szCs w:val="20"/>
        </w:rPr>
        <w:t xml:space="preserve">              I.2.1.2.</w:t>
      </w:r>
      <w:r w:rsidR="004338B6" w:rsidRPr="00C625DB">
        <w:rPr>
          <w:rFonts w:ascii="Arial" w:hAnsi="Arial" w:cs="Arial"/>
          <w:sz w:val="20"/>
          <w:szCs w:val="20"/>
        </w:rPr>
        <w:t>Industria ...........................................................................................................................</w:t>
      </w:r>
      <w:r w:rsidRPr="00C625DB">
        <w:rPr>
          <w:rFonts w:ascii="Arial" w:hAnsi="Arial" w:cs="Arial"/>
          <w:sz w:val="20"/>
          <w:szCs w:val="20"/>
        </w:rPr>
        <w:t xml:space="preserve">     </w:t>
      </w:r>
      <w:r w:rsidR="002F5120" w:rsidRPr="00C625DB">
        <w:rPr>
          <w:rFonts w:ascii="Arial" w:hAnsi="Arial" w:cs="Arial"/>
          <w:sz w:val="20"/>
          <w:szCs w:val="20"/>
        </w:rPr>
        <w:t xml:space="preserve"> </w:t>
      </w:r>
      <w:r w:rsidR="007D3B15">
        <w:rPr>
          <w:rFonts w:ascii="Arial" w:hAnsi="Arial" w:cs="Arial"/>
          <w:sz w:val="20"/>
          <w:szCs w:val="20"/>
        </w:rPr>
        <w:t>19</w:t>
      </w:r>
    </w:p>
    <w:p w:rsidR="004338B6" w:rsidRPr="00C625DB" w:rsidRDefault="00295F6C" w:rsidP="00C625DB">
      <w:pPr>
        <w:tabs>
          <w:tab w:val="left" w:leader="dot" w:pos="9356"/>
        </w:tabs>
        <w:spacing w:after="0" w:line="240" w:lineRule="auto"/>
        <w:rPr>
          <w:rFonts w:ascii="Arial" w:hAnsi="Arial" w:cs="Arial"/>
          <w:sz w:val="20"/>
          <w:szCs w:val="20"/>
        </w:rPr>
      </w:pPr>
      <w:r w:rsidRPr="00C625DB">
        <w:rPr>
          <w:rFonts w:ascii="Arial" w:hAnsi="Arial" w:cs="Arial"/>
          <w:sz w:val="20"/>
          <w:szCs w:val="20"/>
        </w:rPr>
        <w:t xml:space="preserve">              I.2.1.3.</w:t>
      </w:r>
      <w:r w:rsidR="004338B6" w:rsidRPr="00C625DB">
        <w:rPr>
          <w:rFonts w:ascii="Arial" w:hAnsi="Arial" w:cs="Arial"/>
          <w:sz w:val="20"/>
          <w:szCs w:val="20"/>
        </w:rPr>
        <w:t>Transportul ...................................................................................................................</w:t>
      </w:r>
      <w:r w:rsidRPr="00C625DB">
        <w:rPr>
          <w:rFonts w:ascii="Arial" w:hAnsi="Arial" w:cs="Arial"/>
          <w:sz w:val="20"/>
          <w:szCs w:val="20"/>
        </w:rPr>
        <w:t>........</w:t>
      </w:r>
      <w:r w:rsidR="002F5120" w:rsidRPr="00C625DB">
        <w:rPr>
          <w:rFonts w:ascii="Arial" w:hAnsi="Arial" w:cs="Arial"/>
          <w:sz w:val="20"/>
          <w:szCs w:val="20"/>
        </w:rPr>
        <w:t xml:space="preserve"> </w:t>
      </w:r>
      <w:r w:rsidRPr="00C625DB">
        <w:rPr>
          <w:rFonts w:ascii="Arial" w:hAnsi="Arial" w:cs="Arial"/>
          <w:sz w:val="20"/>
          <w:szCs w:val="20"/>
        </w:rPr>
        <w:t>2</w:t>
      </w:r>
      <w:r w:rsidR="007D3B15">
        <w:rPr>
          <w:rFonts w:ascii="Arial" w:hAnsi="Arial" w:cs="Arial"/>
          <w:sz w:val="20"/>
          <w:szCs w:val="20"/>
        </w:rPr>
        <w:t>1</w:t>
      </w:r>
      <w:r w:rsidR="004338B6" w:rsidRPr="00C625DB">
        <w:rPr>
          <w:rFonts w:ascii="Arial" w:hAnsi="Arial" w:cs="Arial"/>
          <w:sz w:val="20"/>
          <w:szCs w:val="20"/>
        </w:rPr>
        <w:t xml:space="preserve">                  </w:t>
      </w:r>
    </w:p>
    <w:p w:rsidR="004338B6" w:rsidRPr="00C625DB" w:rsidRDefault="00295F6C" w:rsidP="00C625DB">
      <w:pPr>
        <w:tabs>
          <w:tab w:val="left" w:leader="dot" w:pos="9356"/>
        </w:tabs>
        <w:spacing w:after="0" w:line="240" w:lineRule="auto"/>
        <w:rPr>
          <w:rFonts w:ascii="Arial" w:hAnsi="Arial" w:cs="Arial"/>
          <w:color w:val="FF0000"/>
          <w:sz w:val="20"/>
          <w:szCs w:val="20"/>
        </w:rPr>
      </w:pPr>
      <w:r w:rsidRPr="00C625DB">
        <w:rPr>
          <w:rFonts w:ascii="Arial" w:hAnsi="Arial" w:cs="Arial"/>
          <w:sz w:val="20"/>
          <w:szCs w:val="20"/>
        </w:rPr>
        <w:t xml:space="preserve">              </w:t>
      </w:r>
      <w:r w:rsidRPr="009B30B2">
        <w:rPr>
          <w:rFonts w:ascii="Arial" w:hAnsi="Arial" w:cs="Arial"/>
          <w:sz w:val="20"/>
          <w:szCs w:val="20"/>
        </w:rPr>
        <w:t>I.2.1.4.</w:t>
      </w:r>
      <w:r w:rsidR="004338B6" w:rsidRPr="009B30B2">
        <w:rPr>
          <w:rFonts w:ascii="Arial" w:hAnsi="Arial" w:cs="Arial"/>
          <w:sz w:val="20"/>
          <w:szCs w:val="20"/>
        </w:rPr>
        <w:t>Agricultura</w:t>
      </w:r>
      <w:r w:rsidR="004338B6" w:rsidRPr="00C625DB">
        <w:rPr>
          <w:rFonts w:ascii="Arial" w:hAnsi="Arial" w:cs="Arial"/>
          <w:color w:val="FF0000"/>
          <w:sz w:val="20"/>
          <w:szCs w:val="20"/>
        </w:rPr>
        <w:t xml:space="preserve"> </w:t>
      </w:r>
      <w:r w:rsidR="004338B6" w:rsidRPr="00C625DB">
        <w:rPr>
          <w:rFonts w:ascii="Arial" w:hAnsi="Arial" w:cs="Arial"/>
          <w:color w:val="FF0000"/>
          <w:sz w:val="20"/>
          <w:szCs w:val="20"/>
        </w:rPr>
        <w:tab/>
      </w:r>
      <w:r w:rsidR="002F5120" w:rsidRPr="009B30B2">
        <w:rPr>
          <w:rFonts w:ascii="Arial" w:hAnsi="Arial" w:cs="Arial"/>
          <w:sz w:val="20"/>
          <w:szCs w:val="20"/>
        </w:rPr>
        <w:t xml:space="preserve"> </w:t>
      </w:r>
      <w:r w:rsidRPr="009B30B2">
        <w:rPr>
          <w:rFonts w:ascii="Arial" w:hAnsi="Arial" w:cs="Arial"/>
          <w:sz w:val="20"/>
          <w:szCs w:val="20"/>
        </w:rPr>
        <w:t>2</w:t>
      </w:r>
      <w:r w:rsidR="007D3B15">
        <w:rPr>
          <w:rFonts w:ascii="Arial" w:hAnsi="Arial" w:cs="Arial"/>
          <w:sz w:val="20"/>
          <w:szCs w:val="20"/>
        </w:rPr>
        <w:t>3</w:t>
      </w:r>
      <w:r w:rsidR="004338B6" w:rsidRPr="00C625DB">
        <w:rPr>
          <w:rFonts w:ascii="Arial" w:hAnsi="Arial" w:cs="Arial"/>
          <w:color w:val="FF0000"/>
          <w:sz w:val="20"/>
          <w:szCs w:val="20"/>
        </w:rPr>
        <w:t xml:space="preserve">  </w:t>
      </w:r>
    </w:p>
    <w:p w:rsidR="004338B6" w:rsidRPr="00C625DB" w:rsidRDefault="004338B6" w:rsidP="00C625DB">
      <w:pPr>
        <w:tabs>
          <w:tab w:val="left" w:leader="dot" w:pos="9356"/>
        </w:tabs>
        <w:spacing w:after="0" w:line="240" w:lineRule="auto"/>
        <w:ind w:firstLine="360"/>
        <w:rPr>
          <w:rFonts w:ascii="Arial" w:hAnsi="Arial" w:cs="Arial"/>
          <w:b/>
          <w:sz w:val="20"/>
          <w:szCs w:val="20"/>
        </w:rPr>
      </w:pPr>
      <w:r w:rsidRPr="00C625DB">
        <w:rPr>
          <w:rFonts w:ascii="Arial" w:hAnsi="Arial" w:cs="Arial"/>
          <w:b/>
          <w:sz w:val="20"/>
          <w:szCs w:val="20"/>
        </w:rPr>
        <w:t>I.3. Tendinţe şi prognoze privind poluarea aerului înconjurător   ...................................................</w:t>
      </w:r>
      <w:r w:rsidR="002F5120" w:rsidRPr="00C625DB">
        <w:rPr>
          <w:rFonts w:ascii="Arial" w:hAnsi="Arial" w:cs="Arial"/>
          <w:b/>
          <w:sz w:val="20"/>
          <w:szCs w:val="20"/>
        </w:rPr>
        <w:t xml:space="preserve"> </w:t>
      </w:r>
      <w:r w:rsidR="003303E5" w:rsidRPr="00C625DB">
        <w:rPr>
          <w:rFonts w:ascii="Arial" w:hAnsi="Arial" w:cs="Arial"/>
          <w:b/>
          <w:sz w:val="20"/>
          <w:szCs w:val="20"/>
        </w:rPr>
        <w:t xml:space="preserve"> 2</w:t>
      </w:r>
      <w:r w:rsidR="007D3B15">
        <w:rPr>
          <w:rFonts w:ascii="Arial" w:hAnsi="Arial" w:cs="Arial"/>
          <w:b/>
          <w:sz w:val="20"/>
          <w:szCs w:val="20"/>
        </w:rPr>
        <w:t>3</w:t>
      </w:r>
    </w:p>
    <w:p w:rsidR="004338B6" w:rsidRPr="00C625DB" w:rsidRDefault="004338B6" w:rsidP="00C625DB">
      <w:pPr>
        <w:numPr>
          <w:ilvl w:val="0"/>
          <w:numId w:val="1"/>
        </w:numPr>
        <w:tabs>
          <w:tab w:val="left" w:pos="540"/>
          <w:tab w:val="left" w:leader="dot" w:pos="9356"/>
        </w:tabs>
        <w:spacing w:after="0" w:line="240" w:lineRule="auto"/>
        <w:rPr>
          <w:rFonts w:ascii="Arial" w:hAnsi="Arial" w:cs="Arial"/>
          <w:b/>
          <w:sz w:val="20"/>
          <w:szCs w:val="20"/>
        </w:rPr>
      </w:pPr>
      <w:r w:rsidRPr="00C625DB">
        <w:rPr>
          <w:rFonts w:ascii="Arial" w:hAnsi="Arial" w:cs="Arial"/>
          <w:b/>
          <w:sz w:val="20"/>
          <w:szCs w:val="20"/>
        </w:rPr>
        <w:t xml:space="preserve">APA   </w:t>
      </w:r>
      <w:r w:rsidRPr="00C625DB">
        <w:rPr>
          <w:rFonts w:ascii="Arial" w:hAnsi="Arial" w:cs="Arial"/>
          <w:b/>
          <w:sz w:val="20"/>
          <w:szCs w:val="20"/>
        </w:rPr>
        <w:tab/>
      </w:r>
      <w:r w:rsidR="007D3B15">
        <w:rPr>
          <w:rFonts w:ascii="Arial" w:hAnsi="Arial" w:cs="Arial"/>
          <w:b/>
          <w:sz w:val="20"/>
          <w:szCs w:val="20"/>
        </w:rPr>
        <w:t>29</w:t>
      </w:r>
      <w:r w:rsidRPr="00C625DB">
        <w:rPr>
          <w:rFonts w:ascii="Arial" w:hAnsi="Arial" w:cs="Arial"/>
          <w:b/>
          <w:sz w:val="20"/>
          <w:szCs w:val="20"/>
        </w:rPr>
        <w:t xml:space="preserve">  </w:t>
      </w:r>
    </w:p>
    <w:p w:rsidR="004338B6" w:rsidRPr="00C625DB"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C625DB">
        <w:rPr>
          <w:rFonts w:ascii="Arial" w:hAnsi="Arial" w:cs="Arial"/>
          <w:b/>
          <w:sz w:val="20"/>
          <w:szCs w:val="20"/>
        </w:rPr>
        <w:t xml:space="preserve">Resursele de apă, Cantităţi şi debite </w:t>
      </w:r>
      <w:r w:rsidRPr="00C625DB">
        <w:rPr>
          <w:rFonts w:ascii="Arial" w:hAnsi="Arial" w:cs="Arial"/>
          <w:b/>
          <w:sz w:val="20"/>
          <w:szCs w:val="20"/>
        </w:rPr>
        <w:tab/>
      </w:r>
      <w:r w:rsidRPr="00C625DB">
        <w:rPr>
          <w:rFonts w:ascii="Arial" w:hAnsi="Arial" w:cs="Arial"/>
          <w:sz w:val="20"/>
          <w:szCs w:val="20"/>
        </w:rPr>
        <w:t xml:space="preserve"> </w:t>
      </w:r>
      <w:r w:rsidR="007D3B15">
        <w:rPr>
          <w:rFonts w:ascii="Arial" w:hAnsi="Arial" w:cs="Arial"/>
          <w:sz w:val="20"/>
          <w:szCs w:val="20"/>
        </w:rPr>
        <w:t>29</w:t>
      </w:r>
      <w:r w:rsidRPr="00C625DB">
        <w:rPr>
          <w:rFonts w:ascii="Arial" w:hAnsi="Arial" w:cs="Arial"/>
          <w:sz w:val="20"/>
          <w:szCs w:val="20"/>
        </w:rPr>
        <w:t xml:space="preserve"> </w:t>
      </w:r>
    </w:p>
    <w:p w:rsidR="004338B6" w:rsidRPr="00C625DB" w:rsidRDefault="004338B6" w:rsidP="00C625DB">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C625DB">
        <w:rPr>
          <w:rFonts w:ascii="Arial" w:hAnsi="Arial" w:cs="Arial"/>
          <w:i/>
          <w:sz w:val="20"/>
          <w:szCs w:val="20"/>
        </w:rPr>
        <w:t xml:space="preserve">Stare, presiuni şi consecinţe </w:t>
      </w:r>
      <w:r w:rsidRPr="00C625DB">
        <w:rPr>
          <w:rFonts w:ascii="Arial" w:hAnsi="Arial" w:cs="Arial"/>
          <w:i/>
          <w:sz w:val="20"/>
          <w:szCs w:val="20"/>
        </w:rPr>
        <w:tab/>
        <w:t xml:space="preserve"> </w:t>
      </w:r>
      <w:r w:rsidR="007D3B15">
        <w:rPr>
          <w:rFonts w:ascii="Arial" w:hAnsi="Arial" w:cs="Arial"/>
          <w:sz w:val="20"/>
          <w:szCs w:val="20"/>
        </w:rPr>
        <w:t>29</w:t>
      </w:r>
      <w:r w:rsidRPr="00C625DB">
        <w:rPr>
          <w:rFonts w:ascii="Arial" w:hAnsi="Arial" w:cs="Arial"/>
          <w:i/>
          <w:sz w:val="20"/>
          <w:szCs w:val="20"/>
        </w:rPr>
        <w:t xml:space="preserve"> </w:t>
      </w:r>
    </w:p>
    <w:p w:rsidR="004338B6" w:rsidRPr="00C625DB" w:rsidRDefault="004338B6" w:rsidP="00C625DB">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Resurse de apă potenţiale şi tehnic utilizabile </w:t>
      </w:r>
      <w:r w:rsidRPr="00C625DB">
        <w:rPr>
          <w:rFonts w:ascii="Arial" w:hAnsi="Arial" w:cs="Arial"/>
          <w:sz w:val="20"/>
          <w:szCs w:val="20"/>
        </w:rPr>
        <w:tab/>
      </w:r>
      <w:r w:rsidR="002F5120" w:rsidRPr="00C625DB">
        <w:rPr>
          <w:rFonts w:ascii="Arial" w:hAnsi="Arial" w:cs="Arial"/>
          <w:sz w:val="20"/>
          <w:szCs w:val="20"/>
        </w:rPr>
        <w:t xml:space="preserve"> </w:t>
      </w:r>
      <w:r w:rsidR="007D3B15">
        <w:rPr>
          <w:rFonts w:ascii="Arial" w:hAnsi="Arial" w:cs="Arial"/>
          <w:sz w:val="20"/>
          <w:szCs w:val="20"/>
        </w:rPr>
        <w:t>29</w:t>
      </w:r>
      <w:r w:rsidRPr="00C625DB">
        <w:rPr>
          <w:rFonts w:ascii="Arial" w:hAnsi="Arial" w:cs="Arial"/>
          <w:sz w:val="20"/>
          <w:szCs w:val="20"/>
        </w:rPr>
        <w:t xml:space="preserve">  </w:t>
      </w:r>
    </w:p>
    <w:p w:rsidR="004338B6" w:rsidRPr="00C625DB" w:rsidRDefault="004338B6" w:rsidP="00C625DB">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Utilizarea resurselor de apă </w:t>
      </w:r>
      <w:r w:rsidRPr="00C625DB">
        <w:rPr>
          <w:rFonts w:ascii="Arial" w:hAnsi="Arial" w:cs="Arial"/>
          <w:sz w:val="20"/>
          <w:szCs w:val="20"/>
        </w:rPr>
        <w:tab/>
      </w:r>
      <w:r w:rsidR="002F5120" w:rsidRPr="00C625DB">
        <w:rPr>
          <w:rFonts w:ascii="Arial" w:hAnsi="Arial" w:cs="Arial"/>
          <w:sz w:val="20"/>
          <w:szCs w:val="20"/>
        </w:rPr>
        <w:t xml:space="preserve"> </w:t>
      </w:r>
      <w:r w:rsidR="007D3B15">
        <w:rPr>
          <w:rFonts w:ascii="Arial" w:hAnsi="Arial" w:cs="Arial"/>
          <w:sz w:val="20"/>
          <w:szCs w:val="20"/>
        </w:rPr>
        <w:t>33</w:t>
      </w:r>
    </w:p>
    <w:p w:rsidR="004338B6" w:rsidRPr="007D3B15" w:rsidRDefault="004338B6" w:rsidP="007D3B15">
      <w:pPr>
        <w:numPr>
          <w:ilvl w:val="3"/>
          <w:numId w:val="1"/>
        </w:numPr>
        <w:tabs>
          <w:tab w:val="clear" w:pos="2215"/>
          <w:tab w:val="num" w:pos="1560"/>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Evenimente extreme produse de debitele cursurilor de apă </w:t>
      </w:r>
      <w:r w:rsidRPr="00C625DB">
        <w:rPr>
          <w:rFonts w:ascii="Arial" w:hAnsi="Arial" w:cs="Arial"/>
          <w:sz w:val="20"/>
          <w:szCs w:val="20"/>
        </w:rPr>
        <w:tab/>
        <w:t xml:space="preserve"> </w:t>
      </w:r>
      <w:r w:rsidR="007D3B15">
        <w:rPr>
          <w:rFonts w:ascii="Arial" w:hAnsi="Arial" w:cs="Arial"/>
          <w:sz w:val="20"/>
          <w:szCs w:val="20"/>
        </w:rPr>
        <w:t>35</w:t>
      </w:r>
    </w:p>
    <w:p w:rsidR="004338B6" w:rsidRPr="00C625DB" w:rsidRDefault="004338B6" w:rsidP="00C625DB">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C625DB">
        <w:rPr>
          <w:rFonts w:ascii="Arial" w:hAnsi="Arial" w:cs="Arial"/>
          <w:i/>
          <w:sz w:val="20"/>
          <w:szCs w:val="20"/>
        </w:rPr>
        <w:t xml:space="preserve">Prognoze  </w:t>
      </w:r>
      <w:r w:rsidRPr="00C625DB">
        <w:rPr>
          <w:rFonts w:ascii="Arial" w:hAnsi="Arial" w:cs="Arial"/>
          <w:i/>
          <w:sz w:val="20"/>
          <w:szCs w:val="20"/>
        </w:rPr>
        <w:tab/>
        <w:t xml:space="preserve"> </w:t>
      </w:r>
      <w:r w:rsidR="007D3B15">
        <w:rPr>
          <w:rFonts w:ascii="Arial" w:hAnsi="Arial" w:cs="Arial"/>
          <w:sz w:val="20"/>
          <w:szCs w:val="20"/>
        </w:rPr>
        <w:t>36</w:t>
      </w:r>
      <w:r w:rsidRPr="00C625DB">
        <w:rPr>
          <w:rFonts w:ascii="Arial" w:hAnsi="Arial" w:cs="Arial"/>
          <w:i/>
          <w:sz w:val="20"/>
          <w:szCs w:val="20"/>
        </w:rPr>
        <w:t xml:space="preserve"> </w:t>
      </w:r>
    </w:p>
    <w:p w:rsidR="004338B6" w:rsidRPr="00C625DB"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Disponibilitatea, cererea şi deficitul de apă </w:t>
      </w:r>
      <w:r w:rsidRPr="00C625DB">
        <w:rPr>
          <w:rFonts w:ascii="Arial" w:hAnsi="Arial" w:cs="Arial"/>
          <w:sz w:val="20"/>
          <w:szCs w:val="20"/>
        </w:rPr>
        <w:tab/>
      </w:r>
      <w:r w:rsidR="002F5120" w:rsidRPr="00C625DB">
        <w:rPr>
          <w:rFonts w:ascii="Arial" w:hAnsi="Arial" w:cs="Arial"/>
          <w:sz w:val="20"/>
          <w:szCs w:val="20"/>
        </w:rPr>
        <w:t xml:space="preserve"> </w:t>
      </w:r>
      <w:r w:rsidR="007D3B15">
        <w:rPr>
          <w:rFonts w:ascii="Arial" w:hAnsi="Arial" w:cs="Arial"/>
          <w:sz w:val="20"/>
          <w:szCs w:val="20"/>
        </w:rPr>
        <w:t>36</w:t>
      </w:r>
      <w:r w:rsidRPr="00C625DB">
        <w:rPr>
          <w:rFonts w:ascii="Arial" w:hAnsi="Arial" w:cs="Arial"/>
          <w:sz w:val="20"/>
          <w:szCs w:val="20"/>
        </w:rPr>
        <w:t xml:space="preserve">  </w:t>
      </w:r>
    </w:p>
    <w:p w:rsidR="004338B6" w:rsidRPr="00C625DB"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Riscurile şi presiunile inundaţiilor </w:t>
      </w:r>
      <w:r w:rsidRPr="00C625DB">
        <w:rPr>
          <w:rFonts w:ascii="Arial" w:hAnsi="Arial" w:cs="Arial"/>
          <w:sz w:val="20"/>
          <w:szCs w:val="20"/>
        </w:rPr>
        <w:tab/>
        <w:t xml:space="preserve"> </w:t>
      </w:r>
      <w:r w:rsidR="002F5120" w:rsidRPr="00C625DB">
        <w:rPr>
          <w:rFonts w:ascii="Arial" w:hAnsi="Arial" w:cs="Arial"/>
          <w:sz w:val="20"/>
          <w:szCs w:val="20"/>
        </w:rPr>
        <w:t>4</w:t>
      </w:r>
      <w:r w:rsidR="007D3B15">
        <w:rPr>
          <w:rFonts w:ascii="Arial" w:hAnsi="Arial" w:cs="Arial"/>
          <w:sz w:val="20"/>
          <w:szCs w:val="20"/>
        </w:rPr>
        <w:t>0</w:t>
      </w:r>
      <w:r w:rsidRPr="00C625DB">
        <w:rPr>
          <w:rFonts w:ascii="Arial" w:hAnsi="Arial" w:cs="Arial"/>
          <w:sz w:val="20"/>
          <w:szCs w:val="20"/>
        </w:rPr>
        <w:t xml:space="preserve"> </w:t>
      </w:r>
    </w:p>
    <w:p w:rsidR="004338B6" w:rsidRPr="00C625DB" w:rsidRDefault="004338B6" w:rsidP="00C625DB">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C625DB">
        <w:rPr>
          <w:rFonts w:ascii="Arial" w:hAnsi="Arial" w:cs="Arial"/>
          <w:i/>
          <w:sz w:val="20"/>
          <w:szCs w:val="20"/>
        </w:rPr>
        <w:t>Utilizarea şi gestionarea eficientă a resurselor de apă</w:t>
      </w:r>
      <w:r w:rsidRPr="00C625DB">
        <w:rPr>
          <w:rFonts w:ascii="Arial" w:hAnsi="Arial" w:cs="Arial"/>
          <w:i/>
          <w:sz w:val="20"/>
          <w:szCs w:val="20"/>
        </w:rPr>
        <w:tab/>
      </w:r>
      <w:r w:rsidRPr="00C625DB">
        <w:rPr>
          <w:rFonts w:ascii="Arial" w:hAnsi="Arial" w:cs="Arial"/>
          <w:sz w:val="20"/>
          <w:szCs w:val="20"/>
        </w:rPr>
        <w:t xml:space="preserve"> </w:t>
      </w:r>
      <w:r w:rsidR="002F5120" w:rsidRPr="00C625DB">
        <w:rPr>
          <w:rFonts w:ascii="Arial" w:hAnsi="Arial" w:cs="Arial"/>
          <w:sz w:val="20"/>
          <w:szCs w:val="20"/>
        </w:rPr>
        <w:t>4</w:t>
      </w:r>
      <w:r w:rsidR="007D3B15">
        <w:rPr>
          <w:rFonts w:ascii="Arial" w:hAnsi="Arial" w:cs="Arial"/>
          <w:sz w:val="20"/>
          <w:szCs w:val="20"/>
        </w:rPr>
        <w:t>1</w:t>
      </w:r>
    </w:p>
    <w:p w:rsidR="004338B6" w:rsidRPr="00C625DB"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C625DB">
        <w:rPr>
          <w:rFonts w:ascii="Arial" w:hAnsi="Arial" w:cs="Arial"/>
          <w:b/>
          <w:sz w:val="20"/>
          <w:szCs w:val="20"/>
        </w:rPr>
        <w:t xml:space="preserve">Calitatea apei </w:t>
      </w:r>
      <w:r w:rsidRPr="00C625DB">
        <w:rPr>
          <w:rFonts w:ascii="Arial" w:hAnsi="Arial" w:cs="Arial"/>
          <w:b/>
          <w:sz w:val="20"/>
          <w:szCs w:val="20"/>
        </w:rPr>
        <w:tab/>
      </w:r>
      <w:r w:rsidRPr="00C625DB">
        <w:rPr>
          <w:rFonts w:ascii="Arial" w:hAnsi="Arial" w:cs="Arial"/>
          <w:sz w:val="20"/>
          <w:szCs w:val="20"/>
        </w:rPr>
        <w:t xml:space="preserve"> </w:t>
      </w:r>
      <w:r w:rsidR="007D3B15">
        <w:rPr>
          <w:rFonts w:ascii="Arial" w:hAnsi="Arial" w:cs="Arial"/>
          <w:sz w:val="20"/>
          <w:szCs w:val="20"/>
        </w:rPr>
        <w:t>42</w:t>
      </w:r>
      <w:r w:rsidRPr="00C625DB">
        <w:rPr>
          <w:rFonts w:ascii="Arial" w:hAnsi="Arial" w:cs="Arial"/>
          <w:sz w:val="20"/>
          <w:szCs w:val="20"/>
        </w:rPr>
        <w:t xml:space="preserve"> </w:t>
      </w:r>
    </w:p>
    <w:p w:rsidR="004338B6" w:rsidRPr="00C625DB" w:rsidRDefault="004338B6" w:rsidP="00C625DB">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C625DB">
        <w:rPr>
          <w:rFonts w:ascii="Arial" w:hAnsi="Arial" w:cs="Arial"/>
          <w:i/>
          <w:sz w:val="20"/>
          <w:szCs w:val="20"/>
        </w:rPr>
        <w:t xml:space="preserve">Calitatea apei: stare şi consecinţe </w:t>
      </w:r>
      <w:r w:rsidRPr="00C625DB">
        <w:rPr>
          <w:rFonts w:ascii="Arial" w:hAnsi="Arial" w:cs="Arial"/>
          <w:i/>
          <w:sz w:val="20"/>
          <w:szCs w:val="20"/>
        </w:rPr>
        <w:tab/>
      </w:r>
      <w:r w:rsidRPr="00C625DB">
        <w:rPr>
          <w:rFonts w:ascii="Arial" w:hAnsi="Arial" w:cs="Arial"/>
          <w:sz w:val="20"/>
          <w:szCs w:val="20"/>
        </w:rPr>
        <w:t xml:space="preserve"> </w:t>
      </w:r>
      <w:r w:rsidR="002F5120" w:rsidRPr="00C625DB">
        <w:rPr>
          <w:rFonts w:ascii="Arial" w:hAnsi="Arial" w:cs="Arial"/>
          <w:sz w:val="20"/>
          <w:szCs w:val="20"/>
        </w:rPr>
        <w:t>4</w:t>
      </w:r>
      <w:r w:rsidR="007D3B15">
        <w:rPr>
          <w:rFonts w:ascii="Arial" w:hAnsi="Arial" w:cs="Arial"/>
          <w:sz w:val="20"/>
          <w:szCs w:val="20"/>
        </w:rPr>
        <w:t>2</w:t>
      </w:r>
      <w:r w:rsidRPr="00C625DB">
        <w:rPr>
          <w:rFonts w:ascii="Arial" w:hAnsi="Arial" w:cs="Arial"/>
          <w:sz w:val="20"/>
          <w:szCs w:val="20"/>
        </w:rPr>
        <w:t xml:space="preserve"> </w:t>
      </w:r>
    </w:p>
    <w:p w:rsidR="004338B6" w:rsidRPr="00C625DB"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Calitatea apei cursurilor de apă </w:t>
      </w:r>
      <w:r w:rsidRPr="00C625DB">
        <w:rPr>
          <w:rFonts w:ascii="Arial" w:hAnsi="Arial" w:cs="Arial"/>
          <w:sz w:val="20"/>
          <w:szCs w:val="20"/>
        </w:rPr>
        <w:tab/>
        <w:t xml:space="preserve"> </w:t>
      </w:r>
      <w:r w:rsidR="002F5120" w:rsidRPr="00C625DB">
        <w:rPr>
          <w:rFonts w:ascii="Arial" w:hAnsi="Arial" w:cs="Arial"/>
          <w:sz w:val="20"/>
          <w:szCs w:val="20"/>
        </w:rPr>
        <w:t>4</w:t>
      </w:r>
      <w:r w:rsidR="007D3B15">
        <w:rPr>
          <w:rFonts w:ascii="Arial" w:hAnsi="Arial" w:cs="Arial"/>
          <w:sz w:val="20"/>
          <w:szCs w:val="20"/>
        </w:rPr>
        <w:t>2</w:t>
      </w:r>
      <w:r w:rsidRPr="00C625DB">
        <w:rPr>
          <w:rFonts w:ascii="Arial" w:hAnsi="Arial" w:cs="Arial"/>
          <w:sz w:val="20"/>
          <w:szCs w:val="20"/>
        </w:rPr>
        <w:t xml:space="preserve"> </w:t>
      </w:r>
    </w:p>
    <w:p w:rsidR="004338B6" w:rsidRPr="00C625DB"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Calitatea apei lacurilor </w:t>
      </w:r>
      <w:r w:rsidRPr="00C625DB">
        <w:rPr>
          <w:rFonts w:ascii="Arial" w:hAnsi="Arial" w:cs="Arial"/>
          <w:sz w:val="20"/>
          <w:szCs w:val="20"/>
        </w:rPr>
        <w:tab/>
        <w:t xml:space="preserve"> </w:t>
      </w:r>
      <w:r w:rsidR="002F5120" w:rsidRPr="00C625DB">
        <w:rPr>
          <w:rFonts w:ascii="Arial" w:hAnsi="Arial" w:cs="Arial"/>
          <w:sz w:val="20"/>
          <w:szCs w:val="20"/>
        </w:rPr>
        <w:t>4</w:t>
      </w:r>
      <w:r w:rsidR="007D3B15">
        <w:rPr>
          <w:rFonts w:ascii="Arial" w:hAnsi="Arial" w:cs="Arial"/>
          <w:sz w:val="20"/>
          <w:szCs w:val="20"/>
        </w:rPr>
        <w:t>4</w:t>
      </w:r>
      <w:r w:rsidRPr="00C625DB">
        <w:rPr>
          <w:rFonts w:ascii="Arial" w:hAnsi="Arial" w:cs="Arial"/>
          <w:sz w:val="20"/>
          <w:szCs w:val="20"/>
        </w:rPr>
        <w:t xml:space="preserve"> </w:t>
      </w:r>
    </w:p>
    <w:p w:rsidR="004338B6" w:rsidRPr="00C625DB"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Calitatea apelor subterane </w:t>
      </w:r>
      <w:r w:rsidRPr="00C625DB">
        <w:rPr>
          <w:rFonts w:ascii="Arial" w:hAnsi="Arial" w:cs="Arial"/>
          <w:sz w:val="20"/>
          <w:szCs w:val="20"/>
        </w:rPr>
        <w:tab/>
        <w:t xml:space="preserve"> </w:t>
      </w:r>
      <w:r w:rsidR="002F5120" w:rsidRPr="00C625DB">
        <w:rPr>
          <w:rFonts w:ascii="Arial" w:hAnsi="Arial" w:cs="Arial"/>
          <w:sz w:val="20"/>
          <w:szCs w:val="20"/>
        </w:rPr>
        <w:t>4</w:t>
      </w:r>
      <w:r w:rsidR="007D3B15">
        <w:rPr>
          <w:rFonts w:ascii="Arial" w:hAnsi="Arial" w:cs="Arial"/>
          <w:sz w:val="20"/>
          <w:szCs w:val="20"/>
        </w:rPr>
        <w:t>6</w:t>
      </w:r>
      <w:r w:rsidRPr="00C625DB">
        <w:rPr>
          <w:rFonts w:ascii="Arial" w:hAnsi="Arial" w:cs="Arial"/>
          <w:sz w:val="20"/>
          <w:szCs w:val="20"/>
        </w:rPr>
        <w:t xml:space="preserve"> </w:t>
      </w:r>
    </w:p>
    <w:p w:rsidR="004338B6" w:rsidRPr="00C625DB"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Calitatea apelor de îmbăiere    </w:t>
      </w:r>
      <w:r w:rsidRPr="00C625DB">
        <w:rPr>
          <w:rFonts w:ascii="Arial" w:hAnsi="Arial" w:cs="Arial"/>
          <w:sz w:val="20"/>
          <w:szCs w:val="20"/>
        </w:rPr>
        <w:tab/>
        <w:t xml:space="preserve"> </w:t>
      </w:r>
      <w:r w:rsidR="002F5120" w:rsidRPr="00C625DB">
        <w:rPr>
          <w:rFonts w:ascii="Arial" w:hAnsi="Arial" w:cs="Arial"/>
          <w:sz w:val="20"/>
          <w:szCs w:val="20"/>
        </w:rPr>
        <w:t>4</w:t>
      </w:r>
      <w:r w:rsidR="007D3B15">
        <w:rPr>
          <w:rFonts w:ascii="Arial" w:hAnsi="Arial" w:cs="Arial"/>
          <w:sz w:val="20"/>
          <w:szCs w:val="20"/>
        </w:rPr>
        <w:t>8</w:t>
      </w:r>
      <w:r w:rsidRPr="00C625DB">
        <w:rPr>
          <w:rFonts w:ascii="Arial" w:hAnsi="Arial" w:cs="Arial"/>
          <w:sz w:val="20"/>
          <w:szCs w:val="20"/>
        </w:rPr>
        <w:t xml:space="preserve"> </w:t>
      </w:r>
    </w:p>
    <w:p w:rsidR="004338B6" w:rsidRPr="00C625DB" w:rsidRDefault="004338B6" w:rsidP="00C625DB">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C625DB">
        <w:rPr>
          <w:rFonts w:ascii="Arial" w:hAnsi="Arial" w:cs="Arial"/>
          <w:i/>
          <w:sz w:val="20"/>
          <w:szCs w:val="20"/>
        </w:rPr>
        <w:t xml:space="preserve">Factorii determinanţi şi presiunile care afectează starea de calitate a apelor </w:t>
      </w:r>
      <w:r w:rsidRPr="00C625DB">
        <w:rPr>
          <w:rFonts w:ascii="Arial" w:hAnsi="Arial" w:cs="Arial"/>
          <w:i/>
          <w:sz w:val="20"/>
          <w:szCs w:val="20"/>
        </w:rPr>
        <w:tab/>
      </w:r>
      <w:r w:rsidRPr="00C625DB">
        <w:rPr>
          <w:rFonts w:ascii="Arial" w:hAnsi="Arial" w:cs="Arial"/>
          <w:sz w:val="20"/>
          <w:szCs w:val="20"/>
        </w:rPr>
        <w:t xml:space="preserve"> </w:t>
      </w:r>
      <w:r w:rsidR="002F5120" w:rsidRPr="00C625DB">
        <w:rPr>
          <w:rFonts w:ascii="Arial" w:hAnsi="Arial" w:cs="Arial"/>
          <w:sz w:val="20"/>
          <w:szCs w:val="20"/>
        </w:rPr>
        <w:t>4</w:t>
      </w:r>
      <w:r w:rsidR="007D3B15">
        <w:rPr>
          <w:rFonts w:ascii="Arial" w:hAnsi="Arial" w:cs="Arial"/>
          <w:sz w:val="20"/>
          <w:szCs w:val="20"/>
        </w:rPr>
        <w:t>8</w:t>
      </w:r>
    </w:p>
    <w:p w:rsidR="004338B6" w:rsidRPr="00C625DB"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Presiuni semnificative asupra resurselor de apă din judet </w:t>
      </w:r>
      <w:r w:rsidRPr="00C625DB">
        <w:rPr>
          <w:rFonts w:ascii="Arial" w:hAnsi="Arial" w:cs="Arial"/>
          <w:sz w:val="20"/>
          <w:szCs w:val="20"/>
        </w:rPr>
        <w:tab/>
        <w:t xml:space="preserve"> </w:t>
      </w:r>
      <w:r w:rsidR="002F5120" w:rsidRPr="00C625DB">
        <w:rPr>
          <w:rFonts w:ascii="Arial" w:hAnsi="Arial" w:cs="Arial"/>
          <w:sz w:val="20"/>
          <w:szCs w:val="20"/>
        </w:rPr>
        <w:t>4</w:t>
      </w:r>
      <w:r w:rsidR="007D3B15">
        <w:rPr>
          <w:rFonts w:ascii="Arial" w:hAnsi="Arial" w:cs="Arial"/>
          <w:sz w:val="20"/>
          <w:szCs w:val="20"/>
        </w:rPr>
        <w:t>8</w:t>
      </w:r>
      <w:r w:rsidRPr="00C625DB">
        <w:rPr>
          <w:rFonts w:ascii="Arial" w:hAnsi="Arial" w:cs="Arial"/>
          <w:sz w:val="20"/>
          <w:szCs w:val="20"/>
        </w:rPr>
        <w:t xml:space="preserve"> </w:t>
      </w:r>
    </w:p>
    <w:p w:rsidR="004338B6" w:rsidRPr="00C625DB"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C625DB">
        <w:rPr>
          <w:rFonts w:ascii="Arial" w:hAnsi="Arial" w:cs="Arial"/>
          <w:sz w:val="20"/>
          <w:szCs w:val="20"/>
        </w:rPr>
        <w:t xml:space="preserve">Apele uzate şi reţelele de canalizare </w:t>
      </w:r>
      <w:r w:rsidRPr="00C625DB">
        <w:rPr>
          <w:rFonts w:ascii="Arial" w:hAnsi="Arial" w:cs="Arial"/>
          <w:sz w:val="20"/>
          <w:szCs w:val="20"/>
        </w:rPr>
        <w:tab/>
      </w:r>
      <w:r w:rsidR="002F5120" w:rsidRPr="00C625DB">
        <w:rPr>
          <w:rFonts w:ascii="Arial" w:hAnsi="Arial" w:cs="Arial"/>
          <w:sz w:val="20"/>
          <w:szCs w:val="20"/>
        </w:rPr>
        <w:t xml:space="preserve"> </w:t>
      </w:r>
      <w:r w:rsidR="007D3B15">
        <w:rPr>
          <w:rFonts w:ascii="Arial" w:hAnsi="Arial" w:cs="Arial"/>
          <w:sz w:val="20"/>
          <w:szCs w:val="20"/>
        </w:rPr>
        <w:t>51</w:t>
      </w:r>
      <w:r w:rsidRPr="00C625DB">
        <w:rPr>
          <w:rFonts w:ascii="Arial" w:hAnsi="Arial" w:cs="Arial"/>
          <w:sz w:val="20"/>
          <w:szCs w:val="20"/>
        </w:rPr>
        <w:t xml:space="preserve">  </w:t>
      </w:r>
    </w:p>
    <w:p w:rsidR="004338B6" w:rsidRPr="00C625DB" w:rsidRDefault="004338B6" w:rsidP="00C625DB">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C625DB">
        <w:rPr>
          <w:rFonts w:ascii="Arial" w:hAnsi="Arial" w:cs="Arial"/>
          <w:i/>
          <w:sz w:val="20"/>
          <w:szCs w:val="20"/>
        </w:rPr>
        <w:t xml:space="preserve">Tendinţe şi prognoze privind calitatea apei </w:t>
      </w:r>
      <w:r w:rsidRPr="00C625DB">
        <w:rPr>
          <w:rFonts w:ascii="Arial" w:hAnsi="Arial" w:cs="Arial"/>
          <w:i/>
          <w:sz w:val="20"/>
          <w:szCs w:val="20"/>
        </w:rPr>
        <w:tab/>
      </w:r>
      <w:r w:rsidRPr="00C625DB">
        <w:rPr>
          <w:rFonts w:ascii="Arial" w:hAnsi="Arial" w:cs="Arial"/>
          <w:sz w:val="20"/>
          <w:szCs w:val="20"/>
        </w:rPr>
        <w:t xml:space="preserve"> </w:t>
      </w:r>
      <w:r w:rsidR="002F5120" w:rsidRPr="00C625DB">
        <w:rPr>
          <w:rFonts w:ascii="Arial" w:hAnsi="Arial" w:cs="Arial"/>
          <w:sz w:val="20"/>
          <w:szCs w:val="20"/>
        </w:rPr>
        <w:t>5</w:t>
      </w:r>
      <w:r w:rsidR="007D3B15">
        <w:rPr>
          <w:rFonts w:ascii="Arial" w:hAnsi="Arial" w:cs="Arial"/>
          <w:sz w:val="20"/>
          <w:szCs w:val="20"/>
        </w:rPr>
        <w:t>2</w:t>
      </w:r>
    </w:p>
    <w:p w:rsidR="004338B6" w:rsidRPr="00C625DB" w:rsidRDefault="004338B6" w:rsidP="00C625DB">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C625DB">
        <w:rPr>
          <w:rFonts w:ascii="Arial" w:hAnsi="Arial" w:cs="Arial"/>
          <w:i/>
          <w:sz w:val="20"/>
          <w:szCs w:val="20"/>
        </w:rPr>
        <w:t xml:space="preserve">Politici, acţiuni şi măsuri privind îmbunătăţirea stării de calitate a apelor </w:t>
      </w:r>
      <w:r w:rsidRPr="00C625DB">
        <w:rPr>
          <w:rFonts w:ascii="Arial" w:hAnsi="Arial" w:cs="Arial"/>
          <w:i/>
          <w:sz w:val="20"/>
          <w:szCs w:val="20"/>
        </w:rPr>
        <w:tab/>
      </w:r>
      <w:r w:rsidRPr="00C625DB">
        <w:rPr>
          <w:rFonts w:ascii="Arial" w:hAnsi="Arial" w:cs="Arial"/>
          <w:sz w:val="20"/>
          <w:szCs w:val="20"/>
        </w:rPr>
        <w:t xml:space="preserve"> </w:t>
      </w:r>
      <w:r w:rsidR="002F5120" w:rsidRPr="00C625DB">
        <w:rPr>
          <w:rFonts w:ascii="Arial" w:hAnsi="Arial" w:cs="Arial"/>
          <w:sz w:val="20"/>
          <w:szCs w:val="20"/>
        </w:rPr>
        <w:t>5</w:t>
      </w:r>
      <w:r w:rsidR="007D3B15">
        <w:rPr>
          <w:rFonts w:ascii="Arial" w:hAnsi="Arial" w:cs="Arial"/>
          <w:sz w:val="20"/>
          <w:szCs w:val="20"/>
        </w:rPr>
        <w:t>6</w:t>
      </w:r>
    </w:p>
    <w:p w:rsidR="004338B6" w:rsidRPr="00E40A0A" w:rsidRDefault="004338B6" w:rsidP="00C625DB">
      <w:pPr>
        <w:numPr>
          <w:ilvl w:val="0"/>
          <w:numId w:val="1"/>
        </w:numPr>
        <w:tabs>
          <w:tab w:val="left" w:pos="540"/>
          <w:tab w:val="left" w:leader="dot" w:pos="9356"/>
        </w:tabs>
        <w:spacing w:after="0" w:line="240" w:lineRule="auto"/>
        <w:ind w:left="784" w:hanging="784"/>
        <w:rPr>
          <w:rFonts w:ascii="Arial" w:hAnsi="Arial" w:cs="Arial"/>
          <w:b/>
          <w:sz w:val="20"/>
          <w:szCs w:val="20"/>
        </w:rPr>
      </w:pPr>
      <w:r w:rsidRPr="00E40A0A">
        <w:rPr>
          <w:rFonts w:ascii="Arial" w:hAnsi="Arial" w:cs="Arial"/>
          <w:b/>
          <w:sz w:val="20"/>
          <w:szCs w:val="20"/>
        </w:rPr>
        <w:t xml:space="preserve">SOLUL  </w:t>
      </w:r>
      <w:r w:rsidRPr="00E40A0A">
        <w:rPr>
          <w:rFonts w:ascii="Arial" w:hAnsi="Arial" w:cs="Arial"/>
          <w:b/>
          <w:sz w:val="20"/>
          <w:szCs w:val="20"/>
        </w:rPr>
        <w:tab/>
        <w:t xml:space="preserve"> </w:t>
      </w:r>
      <w:r w:rsidR="007D3B15">
        <w:rPr>
          <w:rFonts w:ascii="Arial" w:hAnsi="Arial" w:cs="Arial"/>
          <w:b/>
          <w:sz w:val="20"/>
          <w:szCs w:val="20"/>
        </w:rPr>
        <w:t>58</w:t>
      </w:r>
      <w:r w:rsidRPr="00E40A0A">
        <w:rPr>
          <w:rFonts w:ascii="Arial" w:hAnsi="Arial" w:cs="Arial"/>
          <w:b/>
          <w:sz w:val="20"/>
          <w:szCs w:val="20"/>
        </w:rPr>
        <w:t xml:space="preserve"> </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Calitatea solurilor: stare şi tendinţe  </w:t>
      </w:r>
      <w:r w:rsidRPr="00E40A0A">
        <w:rPr>
          <w:rFonts w:ascii="Arial" w:hAnsi="Arial" w:cs="Arial"/>
          <w:b/>
          <w:sz w:val="20"/>
          <w:szCs w:val="20"/>
        </w:rPr>
        <w:tab/>
        <w:t xml:space="preserve"> </w:t>
      </w:r>
      <w:r w:rsidR="007D3B15">
        <w:rPr>
          <w:rFonts w:ascii="Arial" w:hAnsi="Arial" w:cs="Arial"/>
          <w:b/>
          <w:sz w:val="20"/>
          <w:szCs w:val="20"/>
        </w:rPr>
        <w:t>58</w:t>
      </w:r>
      <w:r w:rsidRPr="00E40A0A">
        <w:rPr>
          <w:rFonts w:ascii="Arial" w:hAnsi="Arial" w:cs="Arial"/>
          <w:b/>
          <w:sz w:val="20"/>
          <w:szCs w:val="20"/>
        </w:rPr>
        <w:t xml:space="preserve"> </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Repartiţia terenurilor pe clase de calitate </w:t>
      </w:r>
      <w:r w:rsidRPr="00E40A0A">
        <w:rPr>
          <w:rFonts w:ascii="Arial" w:hAnsi="Arial" w:cs="Arial"/>
          <w:i/>
          <w:sz w:val="20"/>
          <w:szCs w:val="20"/>
        </w:rPr>
        <w:tab/>
      </w:r>
      <w:r w:rsidRPr="00E40A0A">
        <w:rPr>
          <w:rFonts w:ascii="Arial" w:hAnsi="Arial" w:cs="Arial"/>
          <w:sz w:val="20"/>
          <w:szCs w:val="20"/>
        </w:rPr>
        <w:t xml:space="preserve"> </w:t>
      </w:r>
      <w:r w:rsidR="002F5120" w:rsidRPr="00E40A0A">
        <w:rPr>
          <w:rFonts w:ascii="Arial" w:hAnsi="Arial" w:cs="Arial"/>
          <w:sz w:val="20"/>
          <w:szCs w:val="20"/>
        </w:rPr>
        <w:t>5</w:t>
      </w:r>
      <w:r w:rsidR="007D3B15">
        <w:rPr>
          <w:rFonts w:ascii="Arial" w:hAnsi="Arial" w:cs="Arial"/>
          <w:sz w:val="20"/>
          <w:szCs w:val="20"/>
        </w:rPr>
        <w:t>8</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Terenuri afectate de diverşi factori limitativi </w:t>
      </w:r>
      <w:r w:rsidRPr="00E40A0A">
        <w:rPr>
          <w:rFonts w:ascii="Arial" w:hAnsi="Arial" w:cs="Arial"/>
          <w:i/>
          <w:sz w:val="20"/>
          <w:szCs w:val="20"/>
        </w:rPr>
        <w:tab/>
      </w:r>
      <w:r w:rsidRPr="00E40A0A">
        <w:rPr>
          <w:rFonts w:ascii="Arial" w:hAnsi="Arial" w:cs="Arial"/>
          <w:sz w:val="20"/>
          <w:szCs w:val="20"/>
        </w:rPr>
        <w:t xml:space="preserve"> </w:t>
      </w:r>
      <w:r w:rsidR="002F5120" w:rsidRPr="00E40A0A">
        <w:rPr>
          <w:rFonts w:ascii="Arial" w:hAnsi="Arial" w:cs="Arial"/>
          <w:sz w:val="20"/>
          <w:szCs w:val="20"/>
        </w:rPr>
        <w:t>5</w:t>
      </w:r>
      <w:r w:rsidR="007D3B15">
        <w:rPr>
          <w:rFonts w:ascii="Arial" w:hAnsi="Arial" w:cs="Arial"/>
          <w:sz w:val="20"/>
          <w:szCs w:val="20"/>
        </w:rPr>
        <w:t>9</w:t>
      </w:r>
      <w:r w:rsidRPr="00E40A0A">
        <w:rPr>
          <w:rFonts w:ascii="Arial" w:hAnsi="Arial" w:cs="Arial"/>
          <w:sz w:val="20"/>
          <w:szCs w:val="20"/>
        </w:rPr>
        <w:t xml:space="preserve"> </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Zone critice sub aspectul deteriorării solurilor   </w:t>
      </w:r>
      <w:r w:rsidRPr="00E40A0A">
        <w:rPr>
          <w:rFonts w:ascii="Arial" w:hAnsi="Arial" w:cs="Arial"/>
          <w:b/>
          <w:sz w:val="20"/>
          <w:szCs w:val="20"/>
        </w:rPr>
        <w:tab/>
        <w:t xml:space="preserve"> </w:t>
      </w:r>
      <w:r w:rsidR="007D3B15">
        <w:rPr>
          <w:rFonts w:ascii="Arial" w:hAnsi="Arial" w:cs="Arial"/>
          <w:b/>
          <w:sz w:val="20"/>
          <w:szCs w:val="20"/>
        </w:rPr>
        <w:t>60</w:t>
      </w:r>
      <w:r w:rsidRPr="00E40A0A">
        <w:rPr>
          <w:rFonts w:ascii="Arial" w:hAnsi="Arial" w:cs="Arial"/>
          <w:b/>
          <w:sz w:val="20"/>
          <w:szCs w:val="20"/>
        </w:rPr>
        <w:t xml:space="preserve"> </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Zone afectate de procese naturale  ........................................................................................</w:t>
      </w:r>
      <w:r w:rsidR="002F5120" w:rsidRPr="00E40A0A">
        <w:rPr>
          <w:rFonts w:ascii="Arial" w:hAnsi="Arial" w:cs="Arial"/>
          <w:sz w:val="20"/>
          <w:szCs w:val="20"/>
        </w:rPr>
        <w:t xml:space="preserve"> </w:t>
      </w:r>
      <w:r w:rsidR="007D3B15">
        <w:rPr>
          <w:rFonts w:ascii="Arial" w:hAnsi="Arial" w:cs="Arial"/>
          <w:sz w:val="20"/>
          <w:szCs w:val="20"/>
        </w:rPr>
        <w:t>60</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Presiuni asupra stării de calitate a  solurilor   </w:t>
      </w:r>
      <w:r w:rsidRPr="00E40A0A">
        <w:rPr>
          <w:rFonts w:ascii="Arial" w:hAnsi="Arial" w:cs="Arial"/>
          <w:b/>
          <w:sz w:val="20"/>
          <w:szCs w:val="20"/>
        </w:rPr>
        <w:tab/>
      </w:r>
      <w:r w:rsidRPr="00E40A0A">
        <w:rPr>
          <w:rFonts w:ascii="Arial" w:hAnsi="Arial" w:cs="Arial"/>
          <w:sz w:val="20"/>
          <w:szCs w:val="20"/>
        </w:rPr>
        <w:t xml:space="preserve"> </w:t>
      </w:r>
      <w:r w:rsidR="007D3B15">
        <w:rPr>
          <w:rFonts w:ascii="Arial" w:hAnsi="Arial" w:cs="Arial"/>
          <w:sz w:val="20"/>
          <w:szCs w:val="20"/>
        </w:rPr>
        <w:t>61</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Utilizare şi consumul de îngrăşăminte </w:t>
      </w:r>
      <w:r w:rsidRPr="00E40A0A">
        <w:rPr>
          <w:rFonts w:ascii="Arial" w:hAnsi="Arial" w:cs="Arial"/>
          <w:i/>
          <w:sz w:val="20"/>
          <w:szCs w:val="20"/>
        </w:rPr>
        <w:tab/>
      </w:r>
      <w:r w:rsidRPr="00E40A0A">
        <w:rPr>
          <w:rFonts w:ascii="Arial" w:hAnsi="Arial" w:cs="Arial"/>
          <w:sz w:val="20"/>
          <w:szCs w:val="20"/>
        </w:rPr>
        <w:t xml:space="preserve"> </w:t>
      </w:r>
      <w:r w:rsidR="007D3B15">
        <w:rPr>
          <w:rFonts w:ascii="Arial" w:hAnsi="Arial" w:cs="Arial"/>
          <w:sz w:val="20"/>
          <w:szCs w:val="20"/>
        </w:rPr>
        <w:t>61</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Consumul de produse de protecţia plantelor  </w:t>
      </w:r>
      <w:r w:rsidRPr="00E40A0A">
        <w:rPr>
          <w:rFonts w:ascii="Arial" w:hAnsi="Arial" w:cs="Arial"/>
          <w:i/>
          <w:sz w:val="20"/>
          <w:szCs w:val="20"/>
        </w:rPr>
        <w:tab/>
      </w:r>
      <w:r w:rsidRPr="00E40A0A">
        <w:rPr>
          <w:rFonts w:ascii="Arial" w:hAnsi="Arial" w:cs="Arial"/>
          <w:sz w:val="20"/>
          <w:szCs w:val="20"/>
        </w:rPr>
        <w:t xml:space="preserve"> </w:t>
      </w:r>
      <w:r w:rsidR="007D3B15">
        <w:rPr>
          <w:rFonts w:ascii="Arial" w:hAnsi="Arial" w:cs="Arial"/>
          <w:sz w:val="20"/>
          <w:szCs w:val="20"/>
        </w:rPr>
        <w:t>62</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Evoluţia suprafeţelor de îmbunătățiri funciare </w:t>
      </w:r>
      <w:r w:rsidRPr="00E40A0A">
        <w:rPr>
          <w:rFonts w:ascii="Arial" w:hAnsi="Arial" w:cs="Arial"/>
          <w:i/>
          <w:sz w:val="20"/>
          <w:szCs w:val="20"/>
        </w:rPr>
        <w:tab/>
      </w:r>
      <w:r w:rsidR="00541BE4" w:rsidRPr="00E40A0A">
        <w:rPr>
          <w:rFonts w:ascii="Arial" w:hAnsi="Arial" w:cs="Arial"/>
          <w:sz w:val="20"/>
          <w:szCs w:val="20"/>
        </w:rPr>
        <w:t xml:space="preserve"> 6</w:t>
      </w:r>
      <w:r w:rsidR="007D3B15">
        <w:rPr>
          <w:rFonts w:ascii="Arial" w:hAnsi="Arial" w:cs="Arial"/>
          <w:sz w:val="20"/>
          <w:szCs w:val="20"/>
        </w:rPr>
        <w:t>3</w:t>
      </w:r>
      <w:r w:rsidRPr="00E40A0A">
        <w:rPr>
          <w:rFonts w:ascii="Arial" w:hAnsi="Arial" w:cs="Arial"/>
          <w:i/>
          <w:sz w:val="20"/>
          <w:szCs w:val="20"/>
        </w:rPr>
        <w:t xml:space="preserve"> </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Prognoze și acțiuni întreprinse pentru ameliorarea stării de calitate a solurilor </w:t>
      </w:r>
      <w:r w:rsidRPr="00E40A0A">
        <w:rPr>
          <w:rFonts w:ascii="Arial" w:hAnsi="Arial" w:cs="Arial"/>
          <w:b/>
          <w:sz w:val="20"/>
          <w:szCs w:val="20"/>
        </w:rPr>
        <w:tab/>
      </w:r>
      <w:r w:rsidR="00C20CCA" w:rsidRPr="00E40A0A">
        <w:rPr>
          <w:rFonts w:ascii="Arial" w:hAnsi="Arial" w:cs="Arial"/>
          <w:b/>
          <w:sz w:val="20"/>
          <w:szCs w:val="20"/>
        </w:rPr>
        <w:t xml:space="preserve"> </w:t>
      </w:r>
      <w:r w:rsidR="007D3B15">
        <w:rPr>
          <w:rFonts w:ascii="Arial" w:hAnsi="Arial" w:cs="Arial"/>
          <w:b/>
          <w:sz w:val="20"/>
          <w:szCs w:val="20"/>
        </w:rPr>
        <w:t>64</w:t>
      </w:r>
    </w:p>
    <w:p w:rsidR="004338B6" w:rsidRPr="00E40A0A" w:rsidRDefault="004338B6" w:rsidP="00C625DB">
      <w:pPr>
        <w:numPr>
          <w:ilvl w:val="0"/>
          <w:numId w:val="1"/>
        </w:numPr>
        <w:tabs>
          <w:tab w:val="left" w:pos="540"/>
          <w:tab w:val="left" w:leader="dot" w:pos="9356"/>
        </w:tabs>
        <w:spacing w:after="0" w:line="240" w:lineRule="auto"/>
        <w:ind w:left="784" w:hanging="784"/>
        <w:rPr>
          <w:rFonts w:ascii="Arial" w:hAnsi="Arial" w:cs="Arial"/>
          <w:b/>
          <w:sz w:val="20"/>
          <w:szCs w:val="20"/>
        </w:rPr>
      </w:pPr>
      <w:r w:rsidRPr="00E40A0A">
        <w:rPr>
          <w:rFonts w:ascii="Arial" w:hAnsi="Arial" w:cs="Arial"/>
          <w:b/>
          <w:sz w:val="20"/>
          <w:szCs w:val="20"/>
        </w:rPr>
        <w:t xml:space="preserve">UTILIZAREA TERENURILOR </w:t>
      </w:r>
      <w:r w:rsidRPr="00E40A0A">
        <w:rPr>
          <w:rFonts w:ascii="Arial" w:hAnsi="Arial" w:cs="Arial"/>
          <w:b/>
          <w:sz w:val="20"/>
          <w:szCs w:val="20"/>
        </w:rPr>
        <w:tab/>
      </w:r>
      <w:r w:rsidR="00FD1AC7">
        <w:rPr>
          <w:rFonts w:ascii="Arial" w:hAnsi="Arial" w:cs="Arial"/>
          <w:b/>
          <w:sz w:val="20"/>
          <w:szCs w:val="20"/>
        </w:rPr>
        <w:t>.66</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Stare şi tendinţe </w:t>
      </w:r>
      <w:r w:rsidRPr="00E40A0A">
        <w:rPr>
          <w:rFonts w:ascii="Arial" w:hAnsi="Arial" w:cs="Arial"/>
          <w:b/>
          <w:sz w:val="20"/>
          <w:szCs w:val="20"/>
        </w:rPr>
        <w:tab/>
        <w:t xml:space="preserve"> </w:t>
      </w:r>
      <w:r w:rsidR="00FD1AC7">
        <w:rPr>
          <w:rFonts w:ascii="Arial" w:hAnsi="Arial" w:cs="Arial"/>
          <w:b/>
          <w:sz w:val="20"/>
          <w:szCs w:val="20"/>
        </w:rPr>
        <w:t>66</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Repartiţia terenurilor pe categorii de acoperire/utilizare </w:t>
      </w:r>
      <w:r w:rsidRPr="00E40A0A">
        <w:rPr>
          <w:rFonts w:ascii="Arial" w:hAnsi="Arial" w:cs="Arial"/>
          <w:i/>
          <w:sz w:val="20"/>
          <w:szCs w:val="20"/>
        </w:rPr>
        <w:tab/>
        <w:t xml:space="preserve"> </w:t>
      </w:r>
      <w:r w:rsidR="00FD1AC7">
        <w:rPr>
          <w:rFonts w:ascii="Arial" w:hAnsi="Arial" w:cs="Arial"/>
          <w:sz w:val="20"/>
          <w:szCs w:val="20"/>
        </w:rPr>
        <w:t>66</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Tendinţe privind schimbarea destinaţiei utilizării terenurilor </w:t>
      </w:r>
      <w:r w:rsidRPr="00E40A0A">
        <w:rPr>
          <w:rFonts w:ascii="Arial" w:hAnsi="Arial" w:cs="Arial"/>
          <w:i/>
          <w:sz w:val="20"/>
          <w:szCs w:val="20"/>
        </w:rPr>
        <w:tab/>
        <w:t xml:space="preserve"> </w:t>
      </w:r>
      <w:r w:rsidR="00C20CCA" w:rsidRPr="00E40A0A">
        <w:rPr>
          <w:rFonts w:ascii="Arial" w:hAnsi="Arial" w:cs="Arial"/>
          <w:sz w:val="20"/>
          <w:szCs w:val="20"/>
        </w:rPr>
        <w:t>6</w:t>
      </w:r>
      <w:r w:rsidR="00FD1AC7">
        <w:rPr>
          <w:rFonts w:ascii="Arial" w:hAnsi="Arial" w:cs="Arial"/>
          <w:sz w:val="20"/>
          <w:szCs w:val="20"/>
        </w:rPr>
        <w:t>8</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Impactul schimbării utilizării terenurilor asupra mediului   </w:t>
      </w:r>
      <w:r w:rsidRPr="00E40A0A">
        <w:rPr>
          <w:rFonts w:ascii="Arial" w:hAnsi="Arial" w:cs="Arial"/>
          <w:b/>
          <w:sz w:val="20"/>
          <w:szCs w:val="20"/>
        </w:rPr>
        <w:tab/>
      </w:r>
      <w:r w:rsidR="00FD1AC7">
        <w:rPr>
          <w:rFonts w:ascii="Arial" w:hAnsi="Arial" w:cs="Arial"/>
          <w:b/>
          <w:sz w:val="20"/>
          <w:szCs w:val="20"/>
        </w:rPr>
        <w:t>71</w:t>
      </w:r>
      <w:r w:rsidRPr="00E40A0A">
        <w:rPr>
          <w:rFonts w:ascii="Arial" w:hAnsi="Arial" w:cs="Arial"/>
          <w:b/>
          <w:sz w:val="20"/>
          <w:szCs w:val="20"/>
        </w:rPr>
        <w:t xml:space="preserve"> </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Impactul schimbării utilizării terenurilor asupra terenurilor agricole </w:t>
      </w:r>
      <w:r w:rsidRPr="00E40A0A">
        <w:rPr>
          <w:rFonts w:ascii="Arial" w:hAnsi="Arial" w:cs="Arial"/>
          <w:i/>
          <w:sz w:val="20"/>
          <w:szCs w:val="20"/>
        </w:rPr>
        <w:tab/>
      </w:r>
      <w:r w:rsidR="00FD1AC7">
        <w:rPr>
          <w:rFonts w:ascii="Arial" w:hAnsi="Arial" w:cs="Arial"/>
          <w:sz w:val="20"/>
          <w:szCs w:val="20"/>
        </w:rPr>
        <w:t>72</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Impactul schimbării utilizării terenurilor asupra habitatelor </w:t>
      </w:r>
      <w:r w:rsidRPr="00E40A0A">
        <w:rPr>
          <w:rFonts w:ascii="Arial" w:hAnsi="Arial" w:cs="Arial"/>
          <w:i/>
          <w:sz w:val="20"/>
          <w:szCs w:val="20"/>
        </w:rPr>
        <w:tab/>
      </w:r>
      <w:r w:rsidR="00FD1AC7">
        <w:rPr>
          <w:rFonts w:ascii="Arial" w:hAnsi="Arial" w:cs="Arial"/>
          <w:sz w:val="20"/>
          <w:szCs w:val="20"/>
        </w:rPr>
        <w:t>72</w:t>
      </w:r>
      <w:r w:rsidRPr="00E40A0A">
        <w:rPr>
          <w:rFonts w:ascii="Arial" w:hAnsi="Arial" w:cs="Arial"/>
          <w:i/>
          <w:sz w:val="20"/>
          <w:szCs w:val="20"/>
        </w:rPr>
        <w:t xml:space="preserve"> </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Factorii determinanţi ai schimbării utilizării terenurilor </w:t>
      </w:r>
      <w:r w:rsidRPr="00E40A0A">
        <w:rPr>
          <w:rFonts w:ascii="Arial" w:hAnsi="Arial" w:cs="Arial"/>
          <w:b/>
          <w:sz w:val="20"/>
          <w:szCs w:val="20"/>
        </w:rPr>
        <w:tab/>
      </w:r>
      <w:r w:rsidR="00C20CCA" w:rsidRPr="00E40A0A">
        <w:rPr>
          <w:rFonts w:ascii="Arial" w:hAnsi="Arial" w:cs="Arial"/>
          <w:b/>
          <w:sz w:val="20"/>
          <w:szCs w:val="20"/>
        </w:rPr>
        <w:t>7</w:t>
      </w:r>
      <w:r w:rsidR="00FD1AC7">
        <w:rPr>
          <w:rFonts w:ascii="Arial" w:hAnsi="Arial" w:cs="Arial"/>
          <w:b/>
          <w:sz w:val="20"/>
          <w:szCs w:val="20"/>
        </w:rPr>
        <w:t>3</w:t>
      </w:r>
      <w:r w:rsidRPr="00E40A0A">
        <w:rPr>
          <w:rFonts w:ascii="Arial" w:hAnsi="Arial" w:cs="Arial"/>
          <w:b/>
          <w:sz w:val="20"/>
          <w:szCs w:val="20"/>
        </w:rPr>
        <w:t xml:space="preserve"> </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Modificarea densităţii populaţiei </w:t>
      </w:r>
      <w:r w:rsidRPr="00E40A0A">
        <w:rPr>
          <w:rFonts w:ascii="Arial" w:hAnsi="Arial" w:cs="Arial"/>
          <w:i/>
          <w:sz w:val="20"/>
          <w:szCs w:val="20"/>
        </w:rPr>
        <w:tab/>
      </w:r>
      <w:r w:rsidR="00C20CCA" w:rsidRPr="00E40A0A">
        <w:rPr>
          <w:rFonts w:ascii="Arial" w:hAnsi="Arial" w:cs="Arial"/>
          <w:sz w:val="20"/>
          <w:szCs w:val="20"/>
        </w:rPr>
        <w:t>7</w:t>
      </w:r>
      <w:r w:rsidR="00FD1AC7">
        <w:rPr>
          <w:rFonts w:ascii="Arial" w:hAnsi="Arial" w:cs="Arial"/>
          <w:sz w:val="20"/>
          <w:szCs w:val="20"/>
        </w:rPr>
        <w:t>3</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Expansiunea urbană </w:t>
      </w:r>
      <w:r w:rsidRPr="00E40A0A">
        <w:rPr>
          <w:rFonts w:ascii="Arial" w:hAnsi="Arial" w:cs="Arial"/>
          <w:i/>
          <w:sz w:val="20"/>
          <w:szCs w:val="20"/>
        </w:rPr>
        <w:tab/>
      </w:r>
      <w:r w:rsidR="00C20CCA" w:rsidRPr="00E40A0A">
        <w:rPr>
          <w:rFonts w:ascii="Arial" w:hAnsi="Arial" w:cs="Arial"/>
          <w:sz w:val="20"/>
          <w:szCs w:val="20"/>
        </w:rPr>
        <w:t>7</w:t>
      </w:r>
      <w:r w:rsidR="00FD1AC7">
        <w:rPr>
          <w:rFonts w:ascii="Arial" w:hAnsi="Arial" w:cs="Arial"/>
          <w:sz w:val="20"/>
          <w:szCs w:val="20"/>
        </w:rPr>
        <w:t>4</w:t>
      </w:r>
      <w:r w:rsidRPr="00E40A0A">
        <w:rPr>
          <w:rFonts w:ascii="Arial" w:hAnsi="Arial" w:cs="Arial"/>
          <w:i/>
          <w:sz w:val="20"/>
          <w:szCs w:val="20"/>
        </w:rPr>
        <w:t xml:space="preserve"> </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lastRenderedPageBreak/>
        <w:t xml:space="preserve"> Prognoze și acțiuni întreprinse privind utilizarea terenurilor </w:t>
      </w:r>
      <w:r w:rsidRPr="00E40A0A">
        <w:rPr>
          <w:rFonts w:ascii="Arial" w:hAnsi="Arial" w:cs="Arial"/>
          <w:b/>
          <w:sz w:val="20"/>
          <w:szCs w:val="20"/>
        </w:rPr>
        <w:tab/>
      </w:r>
      <w:r w:rsidR="00C20CCA" w:rsidRPr="00E40A0A">
        <w:rPr>
          <w:rFonts w:ascii="Arial" w:hAnsi="Arial" w:cs="Arial"/>
          <w:b/>
          <w:sz w:val="20"/>
          <w:szCs w:val="20"/>
        </w:rPr>
        <w:t>7</w:t>
      </w:r>
      <w:r w:rsidR="00FD1AC7">
        <w:rPr>
          <w:rFonts w:ascii="Arial" w:hAnsi="Arial" w:cs="Arial"/>
          <w:b/>
          <w:sz w:val="20"/>
          <w:szCs w:val="20"/>
        </w:rPr>
        <w:t>5</w:t>
      </w:r>
      <w:r w:rsidRPr="00E40A0A">
        <w:rPr>
          <w:rFonts w:ascii="Arial" w:hAnsi="Arial" w:cs="Arial"/>
          <w:b/>
          <w:sz w:val="20"/>
          <w:szCs w:val="20"/>
        </w:rPr>
        <w:t xml:space="preserve"> </w:t>
      </w:r>
    </w:p>
    <w:p w:rsidR="004338B6" w:rsidRPr="00E40A0A" w:rsidRDefault="004338B6" w:rsidP="00C625DB">
      <w:pPr>
        <w:numPr>
          <w:ilvl w:val="0"/>
          <w:numId w:val="1"/>
        </w:numPr>
        <w:tabs>
          <w:tab w:val="left" w:pos="540"/>
          <w:tab w:val="left" w:pos="9356"/>
        </w:tabs>
        <w:spacing w:after="0" w:line="240" w:lineRule="auto"/>
        <w:rPr>
          <w:rFonts w:ascii="Arial" w:hAnsi="Arial" w:cs="Arial"/>
          <w:b/>
          <w:sz w:val="20"/>
          <w:szCs w:val="20"/>
        </w:rPr>
      </w:pPr>
      <w:r w:rsidRPr="00E40A0A">
        <w:rPr>
          <w:rFonts w:ascii="Arial" w:hAnsi="Arial" w:cs="Arial"/>
          <w:b/>
          <w:sz w:val="20"/>
          <w:szCs w:val="20"/>
        </w:rPr>
        <w:t xml:space="preserve">PROTECŢIA NATURII ŞI BIODIVERSITATEA .................................................................................. </w:t>
      </w:r>
      <w:r w:rsidR="00C20CCA" w:rsidRPr="00E40A0A">
        <w:rPr>
          <w:rFonts w:ascii="Arial" w:hAnsi="Arial" w:cs="Arial"/>
          <w:b/>
          <w:sz w:val="20"/>
          <w:szCs w:val="20"/>
        </w:rPr>
        <w:t>7</w:t>
      </w:r>
      <w:r w:rsidR="00FD1AC7">
        <w:rPr>
          <w:rFonts w:ascii="Arial" w:hAnsi="Arial" w:cs="Arial"/>
          <w:b/>
          <w:sz w:val="20"/>
          <w:szCs w:val="20"/>
        </w:rPr>
        <w:t>6</w:t>
      </w:r>
      <w:r w:rsidRPr="00E40A0A">
        <w:rPr>
          <w:rFonts w:ascii="Arial" w:hAnsi="Arial" w:cs="Arial"/>
          <w:b/>
          <w:sz w:val="20"/>
          <w:szCs w:val="20"/>
        </w:rPr>
        <w:t xml:space="preserve">  </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Ameninţări pentru biodiversitate şi presiuni exercitate asupra biodiversităţii </w:t>
      </w:r>
      <w:r w:rsidRPr="00E40A0A">
        <w:rPr>
          <w:rFonts w:ascii="Arial" w:hAnsi="Arial" w:cs="Arial"/>
          <w:b/>
          <w:sz w:val="20"/>
          <w:szCs w:val="20"/>
        </w:rPr>
        <w:tab/>
        <w:t xml:space="preserve"> </w:t>
      </w:r>
      <w:r w:rsidR="00FD1AC7">
        <w:rPr>
          <w:rFonts w:ascii="Arial" w:hAnsi="Arial" w:cs="Arial"/>
          <w:b/>
          <w:sz w:val="20"/>
          <w:szCs w:val="20"/>
        </w:rPr>
        <w:t>83</w:t>
      </w:r>
    </w:p>
    <w:p w:rsidR="004338B6" w:rsidRPr="00E40A0A" w:rsidRDefault="004338B6" w:rsidP="00C625DB">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Speciile invazive </w:t>
      </w:r>
      <w:r w:rsidRPr="00E40A0A">
        <w:rPr>
          <w:rFonts w:ascii="Arial" w:hAnsi="Arial" w:cs="Arial"/>
          <w:i/>
          <w:sz w:val="20"/>
          <w:szCs w:val="20"/>
        </w:rPr>
        <w:tab/>
        <w:t xml:space="preserve"> </w:t>
      </w:r>
      <w:r w:rsidR="00FD1AC7">
        <w:rPr>
          <w:rFonts w:ascii="Arial" w:hAnsi="Arial" w:cs="Arial"/>
          <w:sz w:val="20"/>
          <w:szCs w:val="20"/>
        </w:rPr>
        <w:t>83</w:t>
      </w:r>
    </w:p>
    <w:p w:rsidR="004338B6" w:rsidRPr="00E40A0A" w:rsidRDefault="004338B6" w:rsidP="00C625DB">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Poluarea şi încărcarea cu nutrienţi </w:t>
      </w:r>
      <w:r w:rsidRPr="00E40A0A">
        <w:rPr>
          <w:rFonts w:ascii="Arial" w:hAnsi="Arial" w:cs="Arial"/>
          <w:i/>
          <w:sz w:val="20"/>
          <w:szCs w:val="20"/>
        </w:rPr>
        <w:tab/>
      </w:r>
      <w:r w:rsidR="00C20CCA" w:rsidRPr="00E40A0A">
        <w:rPr>
          <w:rFonts w:ascii="Arial" w:hAnsi="Arial" w:cs="Arial"/>
          <w:sz w:val="20"/>
          <w:szCs w:val="20"/>
        </w:rPr>
        <w:t xml:space="preserve"> 8</w:t>
      </w:r>
      <w:r w:rsidR="00FD1AC7">
        <w:rPr>
          <w:rFonts w:ascii="Arial" w:hAnsi="Arial" w:cs="Arial"/>
          <w:sz w:val="20"/>
          <w:szCs w:val="20"/>
        </w:rPr>
        <w:t>4</w:t>
      </w:r>
    </w:p>
    <w:p w:rsidR="004338B6" w:rsidRPr="00E40A0A" w:rsidRDefault="004338B6" w:rsidP="00C625DB">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Schimbările climatice </w:t>
      </w:r>
      <w:r w:rsidRPr="00E40A0A">
        <w:rPr>
          <w:rFonts w:ascii="Arial" w:hAnsi="Arial" w:cs="Arial"/>
          <w:i/>
          <w:sz w:val="20"/>
          <w:szCs w:val="20"/>
        </w:rPr>
        <w:tab/>
      </w:r>
      <w:r w:rsidR="00C20CCA" w:rsidRPr="00E40A0A">
        <w:rPr>
          <w:rFonts w:ascii="Arial" w:hAnsi="Arial" w:cs="Arial"/>
          <w:sz w:val="20"/>
          <w:szCs w:val="20"/>
        </w:rPr>
        <w:t xml:space="preserve"> 8</w:t>
      </w:r>
      <w:r w:rsidR="00FD1AC7">
        <w:rPr>
          <w:rFonts w:ascii="Arial" w:hAnsi="Arial" w:cs="Arial"/>
          <w:sz w:val="20"/>
          <w:szCs w:val="20"/>
        </w:rPr>
        <w:t>4</w:t>
      </w:r>
      <w:r w:rsidRPr="00E40A0A">
        <w:rPr>
          <w:rFonts w:ascii="Arial" w:hAnsi="Arial" w:cs="Arial"/>
          <w:i/>
          <w:sz w:val="20"/>
          <w:szCs w:val="20"/>
        </w:rPr>
        <w:t xml:space="preserve"> </w:t>
      </w:r>
    </w:p>
    <w:p w:rsidR="004338B6" w:rsidRPr="00E40A0A" w:rsidRDefault="004338B6" w:rsidP="00FD1AC7">
      <w:pPr>
        <w:numPr>
          <w:ilvl w:val="2"/>
          <w:numId w:val="1"/>
        </w:numPr>
        <w:tabs>
          <w:tab w:val="clear" w:pos="0"/>
          <w:tab w:val="left" w:pos="1176"/>
          <w:tab w:val="left" w:leader="dot" w:pos="9356"/>
        </w:tabs>
        <w:spacing w:after="0" w:line="240" w:lineRule="auto"/>
        <w:ind w:left="993"/>
        <w:rPr>
          <w:rFonts w:ascii="Arial" w:hAnsi="Arial" w:cs="Arial"/>
          <w:sz w:val="20"/>
          <w:szCs w:val="20"/>
        </w:rPr>
      </w:pPr>
      <w:r w:rsidRPr="00E40A0A">
        <w:rPr>
          <w:rFonts w:ascii="Arial" w:hAnsi="Arial" w:cs="Arial"/>
          <w:i/>
          <w:sz w:val="20"/>
          <w:szCs w:val="20"/>
        </w:rPr>
        <w:t xml:space="preserve">Modificarea habitatelor </w:t>
      </w:r>
      <w:r w:rsidRPr="00E40A0A">
        <w:rPr>
          <w:rFonts w:ascii="Arial" w:hAnsi="Arial" w:cs="Arial"/>
          <w:i/>
          <w:sz w:val="20"/>
          <w:szCs w:val="20"/>
        </w:rPr>
        <w:tab/>
      </w:r>
      <w:r w:rsidR="00C20CCA" w:rsidRPr="00E40A0A">
        <w:rPr>
          <w:rFonts w:ascii="Arial" w:hAnsi="Arial" w:cs="Arial"/>
          <w:sz w:val="20"/>
          <w:szCs w:val="20"/>
        </w:rPr>
        <w:t xml:space="preserve"> 8</w:t>
      </w:r>
      <w:r w:rsidR="00FD1AC7">
        <w:rPr>
          <w:rFonts w:ascii="Arial" w:hAnsi="Arial" w:cs="Arial"/>
          <w:sz w:val="20"/>
          <w:szCs w:val="20"/>
        </w:rPr>
        <w:t>5</w:t>
      </w:r>
    </w:p>
    <w:p w:rsidR="004338B6" w:rsidRPr="00E40A0A"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E40A0A">
        <w:rPr>
          <w:rFonts w:ascii="Arial" w:hAnsi="Arial" w:cs="Arial"/>
          <w:sz w:val="20"/>
          <w:szCs w:val="20"/>
        </w:rPr>
        <w:t xml:space="preserve">Reducerea habitatelor naturale şi semi-naturale </w:t>
      </w:r>
      <w:r w:rsidRPr="00E40A0A">
        <w:rPr>
          <w:rFonts w:ascii="Arial" w:hAnsi="Arial" w:cs="Arial"/>
          <w:sz w:val="20"/>
          <w:szCs w:val="20"/>
        </w:rPr>
        <w:tab/>
      </w:r>
      <w:r w:rsidR="00C20CCA" w:rsidRPr="00E40A0A">
        <w:rPr>
          <w:rFonts w:ascii="Arial" w:hAnsi="Arial" w:cs="Arial"/>
          <w:sz w:val="20"/>
          <w:szCs w:val="20"/>
        </w:rPr>
        <w:t xml:space="preserve"> 8</w:t>
      </w:r>
      <w:r w:rsidR="00FD1AC7">
        <w:rPr>
          <w:rFonts w:ascii="Arial" w:hAnsi="Arial" w:cs="Arial"/>
          <w:sz w:val="20"/>
          <w:szCs w:val="20"/>
        </w:rPr>
        <w:t>5</w:t>
      </w:r>
      <w:r w:rsidRPr="00E40A0A">
        <w:rPr>
          <w:rFonts w:ascii="Arial" w:hAnsi="Arial" w:cs="Arial"/>
          <w:sz w:val="20"/>
          <w:szCs w:val="20"/>
        </w:rPr>
        <w:t xml:space="preserve"> </w:t>
      </w:r>
    </w:p>
    <w:p w:rsidR="004338B6" w:rsidRPr="00E40A0A" w:rsidRDefault="004338B6" w:rsidP="00C625DB">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Exploatarea excesivă a resurselor naturale </w:t>
      </w:r>
      <w:r w:rsidRPr="00E40A0A">
        <w:rPr>
          <w:rFonts w:ascii="Arial" w:hAnsi="Arial" w:cs="Arial"/>
          <w:i/>
          <w:sz w:val="20"/>
          <w:szCs w:val="20"/>
        </w:rPr>
        <w:tab/>
        <w:t xml:space="preserve"> </w:t>
      </w:r>
      <w:r w:rsidR="00C20CCA" w:rsidRPr="00E40A0A">
        <w:rPr>
          <w:rFonts w:ascii="Arial" w:hAnsi="Arial" w:cs="Arial"/>
          <w:sz w:val="20"/>
          <w:szCs w:val="20"/>
        </w:rPr>
        <w:t>8</w:t>
      </w:r>
      <w:r w:rsidR="00FD1AC7">
        <w:rPr>
          <w:rFonts w:ascii="Arial" w:hAnsi="Arial" w:cs="Arial"/>
          <w:sz w:val="20"/>
          <w:szCs w:val="20"/>
        </w:rPr>
        <w:t>6</w:t>
      </w:r>
    </w:p>
    <w:p w:rsidR="004338B6" w:rsidRPr="00E40A0A" w:rsidRDefault="004338B6" w:rsidP="00C625DB">
      <w:pPr>
        <w:numPr>
          <w:ilvl w:val="3"/>
          <w:numId w:val="1"/>
        </w:numPr>
        <w:tabs>
          <w:tab w:val="clear" w:pos="2215"/>
          <w:tab w:val="num" w:pos="1701"/>
          <w:tab w:val="left" w:leader="dot" w:pos="9356"/>
        </w:tabs>
        <w:spacing w:after="0" w:line="240" w:lineRule="auto"/>
        <w:ind w:left="1498" w:hanging="718"/>
        <w:rPr>
          <w:rFonts w:ascii="Arial" w:hAnsi="Arial" w:cs="Arial"/>
          <w:sz w:val="20"/>
          <w:szCs w:val="20"/>
        </w:rPr>
      </w:pPr>
      <w:r w:rsidRPr="00E40A0A">
        <w:rPr>
          <w:rFonts w:ascii="Arial" w:hAnsi="Arial" w:cs="Arial"/>
          <w:sz w:val="20"/>
          <w:szCs w:val="20"/>
        </w:rPr>
        <w:t xml:space="preserve">Exploatarea forestieră </w:t>
      </w:r>
      <w:r w:rsidRPr="00E40A0A">
        <w:rPr>
          <w:rFonts w:ascii="Arial" w:hAnsi="Arial" w:cs="Arial"/>
          <w:sz w:val="20"/>
          <w:szCs w:val="20"/>
        </w:rPr>
        <w:tab/>
      </w:r>
      <w:r w:rsidR="00C20CCA" w:rsidRPr="00E40A0A">
        <w:rPr>
          <w:rFonts w:ascii="Arial" w:hAnsi="Arial" w:cs="Arial"/>
          <w:sz w:val="20"/>
          <w:szCs w:val="20"/>
        </w:rPr>
        <w:t xml:space="preserve"> 8</w:t>
      </w:r>
      <w:r w:rsidR="00FD1AC7">
        <w:rPr>
          <w:rFonts w:ascii="Arial" w:hAnsi="Arial" w:cs="Arial"/>
          <w:sz w:val="20"/>
          <w:szCs w:val="20"/>
        </w:rPr>
        <w:t>7</w:t>
      </w:r>
      <w:r w:rsidRPr="00E40A0A">
        <w:rPr>
          <w:rFonts w:ascii="Arial" w:hAnsi="Arial" w:cs="Arial"/>
          <w:sz w:val="20"/>
          <w:szCs w:val="20"/>
        </w:rPr>
        <w:t xml:space="preserve"> </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Protecţia naturii şi biodiversitatea: prognoze şi acţiuni întreprinse </w:t>
      </w:r>
      <w:r w:rsidRPr="00E40A0A">
        <w:rPr>
          <w:rFonts w:ascii="Arial" w:hAnsi="Arial" w:cs="Arial"/>
          <w:b/>
          <w:sz w:val="20"/>
          <w:szCs w:val="20"/>
        </w:rPr>
        <w:tab/>
      </w:r>
      <w:r w:rsidRPr="00E40A0A">
        <w:rPr>
          <w:rFonts w:ascii="Arial" w:hAnsi="Arial" w:cs="Arial"/>
          <w:sz w:val="20"/>
          <w:szCs w:val="20"/>
        </w:rPr>
        <w:t xml:space="preserve"> </w:t>
      </w:r>
      <w:r w:rsidR="00C20CCA" w:rsidRPr="00E40A0A">
        <w:rPr>
          <w:rFonts w:ascii="Arial" w:hAnsi="Arial" w:cs="Arial"/>
          <w:sz w:val="20"/>
          <w:szCs w:val="20"/>
        </w:rPr>
        <w:t>8</w:t>
      </w:r>
      <w:r w:rsidR="00FD1AC7">
        <w:rPr>
          <w:rFonts w:ascii="Arial" w:hAnsi="Arial" w:cs="Arial"/>
          <w:sz w:val="20"/>
          <w:szCs w:val="20"/>
        </w:rPr>
        <w:t>8</w:t>
      </w:r>
    </w:p>
    <w:p w:rsidR="004338B6" w:rsidRPr="00E40A0A" w:rsidRDefault="004338B6" w:rsidP="00C625DB">
      <w:pPr>
        <w:numPr>
          <w:ilvl w:val="2"/>
          <w:numId w:val="1"/>
        </w:numPr>
        <w:tabs>
          <w:tab w:val="clear" w:pos="0"/>
          <w:tab w:val="left" w:pos="1204"/>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Reţeaua de arii protejate </w:t>
      </w:r>
      <w:r w:rsidRPr="00E40A0A">
        <w:rPr>
          <w:rFonts w:ascii="Arial" w:hAnsi="Arial" w:cs="Arial"/>
          <w:i/>
          <w:sz w:val="20"/>
          <w:szCs w:val="20"/>
        </w:rPr>
        <w:tab/>
        <w:t xml:space="preserve"> </w:t>
      </w:r>
      <w:r w:rsidR="00C20CCA" w:rsidRPr="00E40A0A">
        <w:rPr>
          <w:rFonts w:ascii="Arial" w:hAnsi="Arial" w:cs="Arial"/>
          <w:sz w:val="20"/>
          <w:szCs w:val="20"/>
        </w:rPr>
        <w:t>8</w:t>
      </w:r>
      <w:r w:rsidR="00FD1AC7">
        <w:rPr>
          <w:rFonts w:ascii="Arial" w:hAnsi="Arial" w:cs="Arial"/>
          <w:sz w:val="20"/>
          <w:szCs w:val="20"/>
        </w:rPr>
        <w:t>8</w:t>
      </w:r>
    </w:p>
    <w:p w:rsidR="004338B6" w:rsidRPr="00E40A0A" w:rsidRDefault="004338B6" w:rsidP="00C625DB">
      <w:pPr>
        <w:numPr>
          <w:ilvl w:val="0"/>
          <w:numId w:val="1"/>
        </w:numPr>
        <w:tabs>
          <w:tab w:val="left" w:pos="540"/>
          <w:tab w:val="left" w:leader="dot" w:pos="9356"/>
        </w:tabs>
        <w:spacing w:after="0" w:line="240" w:lineRule="auto"/>
        <w:rPr>
          <w:rFonts w:ascii="Arial" w:hAnsi="Arial" w:cs="Arial"/>
          <w:b/>
          <w:sz w:val="20"/>
          <w:szCs w:val="20"/>
        </w:rPr>
      </w:pPr>
      <w:r w:rsidRPr="00E40A0A">
        <w:rPr>
          <w:rFonts w:ascii="Arial" w:hAnsi="Arial" w:cs="Arial"/>
          <w:b/>
          <w:sz w:val="20"/>
          <w:szCs w:val="20"/>
        </w:rPr>
        <w:t xml:space="preserve">PĂDURILE </w:t>
      </w:r>
      <w:r w:rsidRPr="00E40A0A">
        <w:rPr>
          <w:rFonts w:ascii="Arial" w:hAnsi="Arial" w:cs="Arial"/>
          <w:b/>
          <w:sz w:val="20"/>
          <w:szCs w:val="20"/>
        </w:rPr>
        <w:tab/>
      </w:r>
      <w:r w:rsidR="00C20CCA" w:rsidRPr="00E40A0A">
        <w:rPr>
          <w:rFonts w:ascii="Arial" w:hAnsi="Arial" w:cs="Arial"/>
          <w:b/>
          <w:sz w:val="20"/>
          <w:szCs w:val="20"/>
        </w:rPr>
        <w:t xml:space="preserve"> 10</w:t>
      </w:r>
      <w:r w:rsidR="00FD1AC7">
        <w:rPr>
          <w:rFonts w:ascii="Arial" w:hAnsi="Arial" w:cs="Arial"/>
          <w:b/>
          <w:sz w:val="20"/>
          <w:szCs w:val="20"/>
        </w:rPr>
        <w:t>4</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 xml:space="preserve">Fondul forestier naţional: stare şi consecinţe  </w:t>
      </w:r>
      <w:r w:rsidRPr="00E40A0A">
        <w:rPr>
          <w:rFonts w:ascii="Arial" w:hAnsi="Arial" w:cs="Arial"/>
          <w:b/>
          <w:sz w:val="20"/>
          <w:szCs w:val="20"/>
        </w:rPr>
        <w:tab/>
      </w:r>
      <w:r w:rsidR="00C20CCA" w:rsidRPr="00E40A0A">
        <w:rPr>
          <w:rFonts w:ascii="Arial" w:hAnsi="Arial" w:cs="Arial"/>
          <w:b/>
          <w:sz w:val="20"/>
          <w:szCs w:val="20"/>
        </w:rPr>
        <w:t xml:space="preserve"> 10</w:t>
      </w:r>
      <w:r w:rsidR="00FD1AC7">
        <w:rPr>
          <w:rFonts w:ascii="Arial" w:hAnsi="Arial" w:cs="Arial"/>
          <w:b/>
          <w:sz w:val="20"/>
          <w:szCs w:val="20"/>
        </w:rPr>
        <w:t>4</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Evoluţia suprafeţei fondului forestier </w:t>
      </w:r>
      <w:r w:rsidRPr="00E40A0A">
        <w:rPr>
          <w:rFonts w:ascii="Arial" w:hAnsi="Arial" w:cs="Arial"/>
          <w:i/>
          <w:sz w:val="20"/>
          <w:szCs w:val="20"/>
        </w:rPr>
        <w:tab/>
      </w:r>
      <w:r w:rsidR="00C20CCA" w:rsidRPr="00E40A0A">
        <w:rPr>
          <w:rFonts w:ascii="Arial" w:hAnsi="Arial" w:cs="Arial"/>
          <w:i/>
          <w:sz w:val="20"/>
          <w:szCs w:val="20"/>
        </w:rPr>
        <w:t xml:space="preserve"> </w:t>
      </w:r>
      <w:r w:rsidR="00C20CCA" w:rsidRPr="00E40A0A">
        <w:rPr>
          <w:rFonts w:ascii="Arial" w:hAnsi="Arial" w:cs="Arial"/>
          <w:sz w:val="20"/>
          <w:szCs w:val="20"/>
        </w:rPr>
        <w:t>10</w:t>
      </w:r>
      <w:r w:rsidR="00FD1AC7">
        <w:rPr>
          <w:rFonts w:ascii="Arial" w:hAnsi="Arial" w:cs="Arial"/>
          <w:sz w:val="20"/>
          <w:szCs w:val="20"/>
        </w:rPr>
        <w:t>4</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Distribuţia pădurilor după principalele forme de relief  </w:t>
      </w:r>
      <w:r w:rsidRPr="00E40A0A">
        <w:rPr>
          <w:rFonts w:ascii="Arial" w:hAnsi="Arial" w:cs="Arial"/>
          <w:i/>
          <w:sz w:val="20"/>
          <w:szCs w:val="20"/>
        </w:rPr>
        <w:tab/>
      </w:r>
      <w:r w:rsidR="00C20CCA" w:rsidRPr="00E40A0A">
        <w:rPr>
          <w:rFonts w:ascii="Arial" w:hAnsi="Arial" w:cs="Arial"/>
          <w:sz w:val="20"/>
          <w:szCs w:val="20"/>
        </w:rPr>
        <w:t xml:space="preserve"> 10</w:t>
      </w:r>
      <w:r w:rsidR="00FD1AC7">
        <w:rPr>
          <w:rFonts w:ascii="Arial" w:hAnsi="Arial" w:cs="Arial"/>
          <w:sz w:val="20"/>
          <w:szCs w:val="20"/>
        </w:rPr>
        <w:t>7</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Starea de sănătate a pădurilor  ...............................................................................................</w:t>
      </w:r>
      <w:r w:rsidR="00C20CCA" w:rsidRPr="00E40A0A">
        <w:rPr>
          <w:rFonts w:ascii="Arial" w:hAnsi="Arial" w:cs="Arial"/>
          <w:sz w:val="20"/>
          <w:szCs w:val="20"/>
        </w:rPr>
        <w:t>1</w:t>
      </w:r>
      <w:r w:rsidR="00FD1AC7">
        <w:rPr>
          <w:rFonts w:ascii="Arial" w:hAnsi="Arial" w:cs="Arial"/>
          <w:sz w:val="20"/>
          <w:szCs w:val="20"/>
        </w:rPr>
        <w:t>08</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Suprafeţe de păduri regenerate  .............................................................................................</w:t>
      </w:r>
      <w:r w:rsidR="00C20CCA" w:rsidRPr="00E40A0A">
        <w:rPr>
          <w:rFonts w:ascii="Arial" w:hAnsi="Arial" w:cs="Arial"/>
          <w:sz w:val="20"/>
          <w:szCs w:val="20"/>
        </w:rPr>
        <w:t>1</w:t>
      </w:r>
      <w:r w:rsidR="00FD1AC7">
        <w:rPr>
          <w:rFonts w:ascii="Arial" w:hAnsi="Arial" w:cs="Arial"/>
          <w:sz w:val="20"/>
          <w:szCs w:val="20"/>
        </w:rPr>
        <w:t>09</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Zone cu deficit de vegetaţie forestieră şi disponibilităţi de împădurire  .................................</w:t>
      </w:r>
      <w:r w:rsidR="00C20CCA" w:rsidRPr="00E40A0A">
        <w:rPr>
          <w:rFonts w:ascii="Arial" w:hAnsi="Arial" w:cs="Arial"/>
          <w:i/>
          <w:sz w:val="20"/>
          <w:szCs w:val="20"/>
        </w:rPr>
        <w:t xml:space="preserve">  </w:t>
      </w:r>
      <w:r w:rsidR="005444A6" w:rsidRPr="00E40A0A">
        <w:rPr>
          <w:rFonts w:ascii="Arial" w:hAnsi="Arial" w:cs="Arial"/>
          <w:sz w:val="20"/>
          <w:szCs w:val="20"/>
        </w:rPr>
        <w:t>1</w:t>
      </w:r>
      <w:r w:rsidR="00FD1AC7">
        <w:rPr>
          <w:rFonts w:ascii="Arial" w:hAnsi="Arial" w:cs="Arial"/>
          <w:sz w:val="20"/>
          <w:szCs w:val="20"/>
        </w:rPr>
        <w:t>09</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Ameninţări şi presiuni exercitate asupra pădurilor ...................................................</w:t>
      </w:r>
      <w:r w:rsidR="00C20CCA" w:rsidRPr="00E40A0A">
        <w:rPr>
          <w:rFonts w:ascii="Arial" w:hAnsi="Arial" w:cs="Arial"/>
          <w:b/>
          <w:sz w:val="20"/>
          <w:szCs w:val="20"/>
        </w:rPr>
        <w:t>..............</w:t>
      </w:r>
      <w:r w:rsidRPr="00E40A0A">
        <w:rPr>
          <w:rFonts w:ascii="Arial" w:hAnsi="Arial" w:cs="Arial"/>
          <w:b/>
          <w:sz w:val="20"/>
          <w:szCs w:val="20"/>
        </w:rPr>
        <w:t xml:space="preserve"> </w:t>
      </w:r>
      <w:r w:rsidR="00C20CCA" w:rsidRPr="00E40A0A">
        <w:rPr>
          <w:rFonts w:ascii="Arial" w:hAnsi="Arial" w:cs="Arial"/>
          <w:b/>
          <w:sz w:val="20"/>
          <w:szCs w:val="20"/>
        </w:rPr>
        <w:t xml:space="preserve"> 1</w:t>
      </w:r>
      <w:r w:rsidR="00FD1AC7">
        <w:rPr>
          <w:rFonts w:ascii="Arial" w:hAnsi="Arial" w:cs="Arial"/>
          <w:b/>
          <w:sz w:val="20"/>
          <w:szCs w:val="20"/>
        </w:rPr>
        <w:t>09</w:t>
      </w:r>
      <w:r w:rsidRPr="00E40A0A">
        <w:rPr>
          <w:rFonts w:ascii="Arial" w:hAnsi="Arial" w:cs="Arial"/>
          <w:b/>
          <w:sz w:val="20"/>
          <w:szCs w:val="20"/>
        </w:rPr>
        <w:t xml:space="preserve">  </w:t>
      </w:r>
    </w:p>
    <w:p w:rsidR="004338B6" w:rsidRPr="00E40A0A" w:rsidRDefault="004338B6" w:rsidP="00C625DB">
      <w:pPr>
        <w:numPr>
          <w:ilvl w:val="2"/>
          <w:numId w:val="1"/>
        </w:numPr>
        <w:tabs>
          <w:tab w:val="clear" w:pos="0"/>
          <w:tab w:val="left" w:pos="11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Suprafeţe de pădure parcurse cu tăieri .....................................................</w:t>
      </w:r>
      <w:r w:rsidR="00C20CCA" w:rsidRPr="00E40A0A">
        <w:rPr>
          <w:rFonts w:ascii="Arial" w:hAnsi="Arial" w:cs="Arial"/>
          <w:i/>
          <w:sz w:val="20"/>
          <w:szCs w:val="20"/>
        </w:rPr>
        <w:t xml:space="preserve">..............................  </w:t>
      </w:r>
      <w:r w:rsidR="00C20CCA" w:rsidRPr="00E40A0A">
        <w:rPr>
          <w:rFonts w:ascii="Arial" w:hAnsi="Arial" w:cs="Arial"/>
          <w:sz w:val="20"/>
          <w:szCs w:val="20"/>
        </w:rPr>
        <w:t>1</w:t>
      </w:r>
      <w:r w:rsidR="00FD1AC7">
        <w:rPr>
          <w:rFonts w:ascii="Arial" w:hAnsi="Arial" w:cs="Arial"/>
          <w:sz w:val="20"/>
          <w:szCs w:val="20"/>
        </w:rPr>
        <w:t>09</w:t>
      </w:r>
    </w:p>
    <w:p w:rsidR="004338B6" w:rsidRPr="00E40A0A"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Schimbarea utilizării terenurilor .............................................................................................</w:t>
      </w:r>
      <w:r w:rsidR="00C20CCA" w:rsidRPr="00E40A0A">
        <w:rPr>
          <w:rFonts w:ascii="Arial" w:hAnsi="Arial" w:cs="Arial"/>
          <w:i/>
          <w:sz w:val="20"/>
          <w:szCs w:val="20"/>
        </w:rPr>
        <w:t xml:space="preserve">  </w:t>
      </w:r>
      <w:r w:rsidR="00C20CCA" w:rsidRPr="00E40A0A">
        <w:rPr>
          <w:rFonts w:ascii="Arial" w:hAnsi="Arial" w:cs="Arial"/>
          <w:sz w:val="20"/>
          <w:szCs w:val="20"/>
        </w:rPr>
        <w:t>1</w:t>
      </w:r>
      <w:r w:rsidR="00FD1AC7">
        <w:rPr>
          <w:rFonts w:ascii="Arial" w:hAnsi="Arial" w:cs="Arial"/>
          <w:sz w:val="20"/>
          <w:szCs w:val="20"/>
        </w:rPr>
        <w:t>10</w:t>
      </w:r>
    </w:p>
    <w:p w:rsidR="004338B6" w:rsidRPr="00E40A0A" w:rsidRDefault="004338B6" w:rsidP="00C625DB">
      <w:pPr>
        <w:numPr>
          <w:ilvl w:val="3"/>
          <w:numId w:val="1"/>
        </w:numPr>
        <w:tabs>
          <w:tab w:val="clear" w:pos="2215"/>
          <w:tab w:val="num" w:pos="1701"/>
          <w:tab w:val="left" w:leader="dot" w:pos="9356"/>
        </w:tabs>
        <w:spacing w:after="0" w:line="240" w:lineRule="auto"/>
        <w:ind w:left="1560" w:hanging="780"/>
        <w:rPr>
          <w:rFonts w:ascii="Arial" w:hAnsi="Arial" w:cs="Arial"/>
          <w:sz w:val="20"/>
          <w:szCs w:val="20"/>
        </w:rPr>
      </w:pPr>
      <w:r w:rsidRPr="00E40A0A">
        <w:rPr>
          <w:rFonts w:ascii="Arial" w:hAnsi="Arial" w:cs="Arial"/>
          <w:sz w:val="20"/>
          <w:szCs w:val="20"/>
        </w:rPr>
        <w:t xml:space="preserve">Fragmentarea ecosistemelor .........................................................................................    </w:t>
      </w:r>
      <w:r w:rsidR="00C20CCA" w:rsidRPr="00E40A0A">
        <w:rPr>
          <w:rFonts w:ascii="Arial" w:hAnsi="Arial" w:cs="Arial"/>
          <w:sz w:val="20"/>
          <w:szCs w:val="20"/>
        </w:rPr>
        <w:t xml:space="preserve"> 1</w:t>
      </w:r>
      <w:r w:rsidR="00FD1AC7">
        <w:rPr>
          <w:rFonts w:ascii="Arial" w:hAnsi="Arial" w:cs="Arial"/>
          <w:sz w:val="20"/>
          <w:szCs w:val="20"/>
        </w:rPr>
        <w:t>10</w:t>
      </w:r>
    </w:p>
    <w:p w:rsidR="004338B6" w:rsidRPr="00FD1AC7" w:rsidRDefault="004338B6" w:rsidP="00C625DB">
      <w:pPr>
        <w:numPr>
          <w:ilvl w:val="2"/>
          <w:numId w:val="1"/>
        </w:numPr>
        <w:tabs>
          <w:tab w:val="clear" w:pos="0"/>
          <w:tab w:val="left" w:pos="1276"/>
          <w:tab w:val="left" w:leader="dot" w:pos="9356"/>
        </w:tabs>
        <w:spacing w:after="0" w:line="240" w:lineRule="auto"/>
        <w:ind w:left="993"/>
        <w:rPr>
          <w:rFonts w:ascii="Arial" w:hAnsi="Arial" w:cs="Arial"/>
          <w:i/>
          <w:sz w:val="20"/>
          <w:szCs w:val="20"/>
        </w:rPr>
      </w:pPr>
      <w:r w:rsidRPr="00E40A0A">
        <w:rPr>
          <w:rFonts w:ascii="Arial" w:hAnsi="Arial" w:cs="Arial"/>
          <w:i/>
          <w:sz w:val="20"/>
          <w:szCs w:val="20"/>
        </w:rPr>
        <w:t>Schimbările climatice..............................................................................................................</w:t>
      </w:r>
      <w:r w:rsidR="00C20CCA" w:rsidRPr="00E40A0A">
        <w:rPr>
          <w:rFonts w:ascii="Arial" w:hAnsi="Arial" w:cs="Arial"/>
          <w:i/>
          <w:sz w:val="20"/>
          <w:szCs w:val="20"/>
        </w:rPr>
        <w:t xml:space="preserve">  </w:t>
      </w:r>
      <w:r w:rsidR="00C20CCA" w:rsidRPr="00E40A0A">
        <w:rPr>
          <w:rFonts w:ascii="Arial" w:hAnsi="Arial" w:cs="Arial"/>
          <w:sz w:val="20"/>
          <w:szCs w:val="20"/>
        </w:rPr>
        <w:t>1</w:t>
      </w:r>
      <w:r w:rsidR="00FD1AC7">
        <w:rPr>
          <w:rFonts w:ascii="Arial" w:hAnsi="Arial" w:cs="Arial"/>
          <w:sz w:val="20"/>
          <w:szCs w:val="20"/>
        </w:rPr>
        <w:t>11</w:t>
      </w:r>
    </w:p>
    <w:p w:rsidR="004338B6" w:rsidRPr="00E40A0A" w:rsidRDefault="004338B6" w:rsidP="00C625DB">
      <w:pPr>
        <w:numPr>
          <w:ilvl w:val="0"/>
          <w:numId w:val="1"/>
        </w:numPr>
        <w:tabs>
          <w:tab w:val="left" w:pos="540"/>
          <w:tab w:val="left" w:leader="dot" w:pos="9356"/>
        </w:tabs>
        <w:spacing w:after="0" w:line="240" w:lineRule="auto"/>
        <w:rPr>
          <w:rFonts w:ascii="Arial" w:hAnsi="Arial" w:cs="Arial"/>
          <w:b/>
          <w:sz w:val="20"/>
          <w:szCs w:val="20"/>
        </w:rPr>
      </w:pPr>
      <w:r w:rsidRPr="00E40A0A">
        <w:rPr>
          <w:rFonts w:ascii="Arial" w:hAnsi="Arial" w:cs="Arial"/>
          <w:b/>
          <w:sz w:val="20"/>
          <w:szCs w:val="20"/>
        </w:rPr>
        <w:t xml:space="preserve">RESURSELE MATERIALE ŞI DEŞEURILE </w:t>
      </w:r>
      <w:r w:rsidRPr="00E40A0A">
        <w:rPr>
          <w:rFonts w:ascii="Arial" w:hAnsi="Arial" w:cs="Arial"/>
          <w:b/>
          <w:sz w:val="20"/>
          <w:szCs w:val="20"/>
        </w:rPr>
        <w:tab/>
      </w:r>
      <w:r w:rsidR="005444A6" w:rsidRPr="00E40A0A">
        <w:rPr>
          <w:rFonts w:ascii="Arial" w:hAnsi="Arial" w:cs="Arial"/>
          <w:b/>
          <w:sz w:val="20"/>
          <w:szCs w:val="20"/>
        </w:rPr>
        <w:t xml:space="preserve">  1</w:t>
      </w:r>
      <w:r w:rsidR="00FD1AC7">
        <w:rPr>
          <w:rFonts w:ascii="Arial" w:hAnsi="Arial" w:cs="Arial"/>
          <w:b/>
          <w:sz w:val="20"/>
          <w:szCs w:val="20"/>
        </w:rPr>
        <w:t>11</w:t>
      </w:r>
    </w:p>
    <w:p w:rsidR="004338B6" w:rsidRPr="00E40A0A" w:rsidRDefault="004338B6" w:rsidP="00C625DB">
      <w:pPr>
        <w:numPr>
          <w:ilvl w:val="1"/>
          <w:numId w:val="1"/>
        </w:numPr>
        <w:tabs>
          <w:tab w:val="left" w:leader="dot" w:pos="9356"/>
        </w:tabs>
        <w:spacing w:after="0" w:line="240" w:lineRule="auto"/>
        <w:ind w:left="851" w:hanging="482"/>
        <w:rPr>
          <w:rFonts w:ascii="Arial" w:hAnsi="Arial" w:cs="Arial"/>
          <w:b/>
          <w:sz w:val="20"/>
          <w:szCs w:val="20"/>
        </w:rPr>
      </w:pPr>
      <w:r w:rsidRPr="00E40A0A">
        <w:rPr>
          <w:rFonts w:ascii="Arial" w:hAnsi="Arial" w:cs="Arial"/>
          <w:b/>
          <w:sz w:val="20"/>
          <w:szCs w:val="20"/>
        </w:rPr>
        <w:t>Generarea şi gestionarea deşeurilor: tendinţe, impacturi şi prognoze .....................</w:t>
      </w:r>
      <w:r w:rsidR="005444A6" w:rsidRPr="00E40A0A">
        <w:rPr>
          <w:rFonts w:ascii="Arial" w:hAnsi="Arial" w:cs="Arial"/>
          <w:b/>
          <w:sz w:val="20"/>
          <w:szCs w:val="20"/>
        </w:rPr>
        <w:t>..........</w:t>
      </w:r>
      <w:r w:rsidRPr="00E40A0A">
        <w:rPr>
          <w:rFonts w:ascii="Arial" w:hAnsi="Arial" w:cs="Arial"/>
          <w:b/>
          <w:sz w:val="20"/>
          <w:szCs w:val="20"/>
        </w:rPr>
        <w:t xml:space="preserve">  </w:t>
      </w:r>
      <w:r w:rsidR="005444A6" w:rsidRPr="00E40A0A">
        <w:rPr>
          <w:rFonts w:ascii="Arial" w:hAnsi="Arial" w:cs="Arial"/>
          <w:b/>
          <w:sz w:val="20"/>
          <w:szCs w:val="20"/>
        </w:rPr>
        <w:t xml:space="preserve">  1</w:t>
      </w:r>
      <w:r w:rsidR="00FD1AC7">
        <w:rPr>
          <w:rFonts w:ascii="Arial" w:hAnsi="Arial" w:cs="Arial"/>
          <w:b/>
          <w:sz w:val="20"/>
          <w:szCs w:val="20"/>
        </w:rPr>
        <w:t>11</w:t>
      </w:r>
    </w:p>
    <w:p w:rsidR="004338B6" w:rsidRPr="00E40A0A" w:rsidRDefault="004338B6" w:rsidP="00C625DB">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E40A0A">
        <w:rPr>
          <w:rFonts w:ascii="Arial" w:hAnsi="Arial" w:cs="Arial"/>
          <w:i/>
          <w:sz w:val="20"/>
          <w:szCs w:val="20"/>
        </w:rPr>
        <w:t>Generarea şi gestionarea deşeurilor municipale...................................................................</w:t>
      </w:r>
      <w:r w:rsidR="005444A6" w:rsidRPr="00E40A0A">
        <w:rPr>
          <w:rFonts w:ascii="Arial" w:hAnsi="Arial" w:cs="Arial"/>
          <w:sz w:val="20"/>
          <w:szCs w:val="20"/>
        </w:rPr>
        <w:t xml:space="preserve">  1</w:t>
      </w:r>
      <w:r w:rsidR="00FD1AC7">
        <w:rPr>
          <w:rFonts w:ascii="Arial" w:hAnsi="Arial" w:cs="Arial"/>
          <w:sz w:val="20"/>
          <w:szCs w:val="20"/>
        </w:rPr>
        <w:t>11</w:t>
      </w:r>
    </w:p>
    <w:p w:rsidR="004338B6" w:rsidRPr="00E40A0A" w:rsidRDefault="004338B6" w:rsidP="00C625DB">
      <w:pPr>
        <w:numPr>
          <w:ilvl w:val="2"/>
          <w:numId w:val="1"/>
        </w:numPr>
        <w:tabs>
          <w:tab w:val="clear" w:pos="0"/>
          <w:tab w:val="left" w:pos="1358"/>
          <w:tab w:val="left" w:leader="dot" w:pos="9356"/>
        </w:tabs>
        <w:spacing w:after="0" w:line="240" w:lineRule="auto"/>
        <w:ind w:left="993"/>
        <w:rPr>
          <w:rFonts w:ascii="Arial" w:hAnsi="Arial" w:cs="Arial"/>
          <w:sz w:val="20"/>
          <w:szCs w:val="20"/>
        </w:rPr>
      </w:pPr>
      <w:r w:rsidRPr="00E40A0A">
        <w:rPr>
          <w:rFonts w:ascii="Arial" w:hAnsi="Arial" w:cs="Arial"/>
          <w:i/>
          <w:sz w:val="20"/>
          <w:szCs w:val="20"/>
        </w:rPr>
        <w:t>Generarea şi gestionarea deşeurilor industriale</w:t>
      </w:r>
      <w:r w:rsidRPr="00E40A0A">
        <w:rPr>
          <w:rFonts w:ascii="Arial" w:hAnsi="Arial" w:cs="Arial"/>
          <w:i/>
          <w:sz w:val="20"/>
          <w:szCs w:val="20"/>
        </w:rPr>
        <w:tab/>
      </w:r>
      <w:r w:rsidRPr="00E40A0A">
        <w:rPr>
          <w:rFonts w:ascii="Arial" w:hAnsi="Arial" w:cs="Arial"/>
          <w:sz w:val="20"/>
          <w:szCs w:val="20"/>
        </w:rPr>
        <w:t xml:space="preserve"> </w:t>
      </w:r>
      <w:r w:rsidR="005444A6" w:rsidRPr="00E40A0A">
        <w:rPr>
          <w:rFonts w:ascii="Arial" w:hAnsi="Arial" w:cs="Arial"/>
          <w:sz w:val="20"/>
          <w:szCs w:val="20"/>
        </w:rPr>
        <w:t xml:space="preserve"> 1</w:t>
      </w:r>
      <w:r w:rsidR="00FD1AC7">
        <w:rPr>
          <w:rFonts w:ascii="Arial" w:hAnsi="Arial" w:cs="Arial"/>
          <w:sz w:val="20"/>
          <w:szCs w:val="20"/>
        </w:rPr>
        <w:t>26</w:t>
      </w:r>
    </w:p>
    <w:p w:rsidR="004338B6" w:rsidRPr="00E40A0A" w:rsidRDefault="004338B6" w:rsidP="00C625DB">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E40A0A">
        <w:rPr>
          <w:rFonts w:ascii="Arial" w:hAnsi="Arial" w:cs="Arial"/>
          <w:i/>
          <w:sz w:val="20"/>
          <w:szCs w:val="20"/>
        </w:rPr>
        <w:t xml:space="preserve">Fluxuri speciale de deşeuri.................................................................................................... </w:t>
      </w:r>
      <w:r w:rsidR="005444A6" w:rsidRPr="00E40A0A">
        <w:rPr>
          <w:rFonts w:ascii="Arial" w:hAnsi="Arial" w:cs="Arial"/>
          <w:sz w:val="20"/>
          <w:szCs w:val="20"/>
        </w:rPr>
        <w:t xml:space="preserve"> 1</w:t>
      </w:r>
      <w:r w:rsidR="00FD1AC7">
        <w:rPr>
          <w:rFonts w:ascii="Arial" w:hAnsi="Arial" w:cs="Arial"/>
          <w:sz w:val="20"/>
          <w:szCs w:val="20"/>
        </w:rPr>
        <w:t>28</w:t>
      </w:r>
    </w:p>
    <w:p w:rsidR="004338B6" w:rsidRPr="00E40A0A" w:rsidRDefault="004338B6" w:rsidP="00C625DB">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E40A0A">
        <w:rPr>
          <w:rFonts w:ascii="Arial" w:hAnsi="Arial" w:cs="Arial"/>
          <w:sz w:val="20"/>
          <w:szCs w:val="20"/>
        </w:rPr>
        <w:t xml:space="preserve">Deşeuri de echipamente electrice şi electronice (DEEE) </w:t>
      </w:r>
      <w:r w:rsidRPr="00E40A0A">
        <w:rPr>
          <w:rFonts w:ascii="Arial" w:hAnsi="Arial" w:cs="Arial"/>
          <w:sz w:val="20"/>
          <w:szCs w:val="20"/>
        </w:rPr>
        <w:tab/>
      </w:r>
      <w:r w:rsidR="005444A6" w:rsidRPr="00E40A0A">
        <w:rPr>
          <w:rFonts w:ascii="Arial" w:hAnsi="Arial" w:cs="Arial"/>
          <w:sz w:val="20"/>
          <w:szCs w:val="20"/>
        </w:rPr>
        <w:t xml:space="preserve">  1</w:t>
      </w:r>
      <w:r w:rsidR="00FD1AC7">
        <w:rPr>
          <w:rFonts w:ascii="Arial" w:hAnsi="Arial" w:cs="Arial"/>
          <w:sz w:val="20"/>
          <w:szCs w:val="20"/>
        </w:rPr>
        <w:t>28</w:t>
      </w:r>
    </w:p>
    <w:p w:rsidR="004338B6" w:rsidRPr="00E40A0A" w:rsidRDefault="004338B6" w:rsidP="00C625DB">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E40A0A">
        <w:rPr>
          <w:rFonts w:ascii="Arial" w:hAnsi="Arial" w:cs="Arial"/>
          <w:sz w:val="20"/>
          <w:szCs w:val="20"/>
        </w:rPr>
        <w:t xml:space="preserve">Deşeuri de ambalaje </w:t>
      </w:r>
      <w:r w:rsidRPr="00E40A0A">
        <w:rPr>
          <w:rFonts w:ascii="Arial" w:hAnsi="Arial" w:cs="Arial"/>
          <w:sz w:val="20"/>
          <w:szCs w:val="20"/>
        </w:rPr>
        <w:tab/>
      </w:r>
      <w:r w:rsidR="005444A6" w:rsidRPr="00E40A0A">
        <w:rPr>
          <w:rFonts w:ascii="Arial" w:hAnsi="Arial" w:cs="Arial"/>
          <w:sz w:val="20"/>
          <w:szCs w:val="20"/>
        </w:rPr>
        <w:t xml:space="preserve">  1</w:t>
      </w:r>
      <w:r w:rsidR="00FD1AC7">
        <w:rPr>
          <w:rFonts w:ascii="Arial" w:hAnsi="Arial" w:cs="Arial"/>
          <w:sz w:val="20"/>
          <w:szCs w:val="20"/>
        </w:rPr>
        <w:t>29</w:t>
      </w:r>
    </w:p>
    <w:p w:rsidR="004338B6" w:rsidRPr="00E40A0A" w:rsidRDefault="004338B6" w:rsidP="00C625DB">
      <w:pPr>
        <w:numPr>
          <w:ilvl w:val="3"/>
          <w:numId w:val="1"/>
        </w:numPr>
        <w:tabs>
          <w:tab w:val="clear" w:pos="2215"/>
          <w:tab w:val="num" w:pos="1843"/>
          <w:tab w:val="left" w:leader="dot" w:pos="9356"/>
        </w:tabs>
        <w:spacing w:after="0" w:line="240" w:lineRule="auto"/>
        <w:ind w:left="1624" w:hanging="844"/>
        <w:rPr>
          <w:rFonts w:ascii="Arial" w:hAnsi="Arial" w:cs="Arial"/>
          <w:sz w:val="20"/>
          <w:szCs w:val="20"/>
        </w:rPr>
      </w:pPr>
      <w:r w:rsidRPr="00E40A0A">
        <w:rPr>
          <w:rFonts w:ascii="Arial" w:hAnsi="Arial" w:cs="Arial"/>
          <w:sz w:val="20"/>
          <w:szCs w:val="20"/>
        </w:rPr>
        <w:t xml:space="preserve">Vehicule scoase din uz (VSU) </w:t>
      </w:r>
      <w:r w:rsidRPr="00E40A0A">
        <w:rPr>
          <w:rFonts w:ascii="Arial" w:hAnsi="Arial" w:cs="Arial"/>
          <w:sz w:val="20"/>
          <w:szCs w:val="20"/>
        </w:rPr>
        <w:tab/>
      </w:r>
      <w:r w:rsidR="005444A6" w:rsidRPr="00E40A0A">
        <w:rPr>
          <w:rFonts w:ascii="Arial" w:hAnsi="Arial" w:cs="Arial"/>
          <w:sz w:val="20"/>
          <w:szCs w:val="20"/>
        </w:rPr>
        <w:t xml:space="preserve">  1</w:t>
      </w:r>
      <w:r w:rsidR="00FD1AC7">
        <w:rPr>
          <w:rFonts w:ascii="Arial" w:hAnsi="Arial" w:cs="Arial"/>
          <w:sz w:val="20"/>
          <w:szCs w:val="20"/>
        </w:rPr>
        <w:t>30</w:t>
      </w:r>
    </w:p>
    <w:p w:rsidR="004338B6" w:rsidRPr="00E40A0A" w:rsidRDefault="004338B6" w:rsidP="00C625DB">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E40A0A">
        <w:rPr>
          <w:rFonts w:ascii="Arial" w:hAnsi="Arial" w:cs="Arial"/>
          <w:i/>
          <w:sz w:val="20"/>
          <w:szCs w:val="20"/>
        </w:rPr>
        <w:t>Impacturi şi presiuni privind deşeurile</w:t>
      </w:r>
      <w:r w:rsidRPr="00E40A0A">
        <w:rPr>
          <w:rFonts w:ascii="Arial" w:hAnsi="Arial" w:cs="Arial"/>
          <w:i/>
          <w:sz w:val="20"/>
          <w:szCs w:val="20"/>
        </w:rPr>
        <w:tab/>
        <w:t xml:space="preserve"> </w:t>
      </w:r>
      <w:r w:rsidR="005444A6" w:rsidRPr="00E40A0A">
        <w:rPr>
          <w:rFonts w:ascii="Arial" w:hAnsi="Arial" w:cs="Arial"/>
          <w:sz w:val="20"/>
          <w:szCs w:val="20"/>
        </w:rPr>
        <w:t xml:space="preserve"> 1</w:t>
      </w:r>
      <w:r w:rsidR="00FD1AC7">
        <w:rPr>
          <w:rFonts w:ascii="Arial" w:hAnsi="Arial" w:cs="Arial"/>
          <w:sz w:val="20"/>
          <w:szCs w:val="20"/>
        </w:rPr>
        <w:t>32</w:t>
      </w:r>
    </w:p>
    <w:p w:rsidR="004338B6" w:rsidRPr="00E40A0A" w:rsidRDefault="004338B6" w:rsidP="00C625DB">
      <w:pPr>
        <w:numPr>
          <w:ilvl w:val="2"/>
          <w:numId w:val="1"/>
        </w:numPr>
        <w:tabs>
          <w:tab w:val="clear" w:pos="0"/>
          <w:tab w:val="left" w:pos="1358"/>
          <w:tab w:val="left" w:leader="dot" w:pos="9356"/>
        </w:tabs>
        <w:spacing w:after="0" w:line="240" w:lineRule="auto"/>
        <w:ind w:left="993"/>
        <w:rPr>
          <w:rFonts w:ascii="Arial" w:hAnsi="Arial" w:cs="Arial"/>
          <w:i/>
          <w:sz w:val="20"/>
          <w:szCs w:val="20"/>
        </w:rPr>
      </w:pPr>
      <w:r w:rsidRPr="00E40A0A">
        <w:rPr>
          <w:rFonts w:ascii="Arial" w:hAnsi="Arial" w:cs="Arial"/>
          <w:i/>
          <w:sz w:val="20"/>
          <w:szCs w:val="20"/>
        </w:rPr>
        <w:t>Tendinţe şi prognoze privind generarea deşeurilor...............................................................</w:t>
      </w:r>
      <w:r w:rsidRPr="00E40A0A">
        <w:rPr>
          <w:rFonts w:ascii="Arial" w:hAnsi="Arial" w:cs="Arial"/>
          <w:sz w:val="20"/>
          <w:szCs w:val="20"/>
        </w:rPr>
        <w:t xml:space="preserve"> </w:t>
      </w:r>
      <w:r w:rsidR="005444A6" w:rsidRPr="00E40A0A">
        <w:rPr>
          <w:rFonts w:ascii="Arial" w:hAnsi="Arial" w:cs="Arial"/>
          <w:sz w:val="20"/>
          <w:szCs w:val="20"/>
        </w:rPr>
        <w:t xml:space="preserve">  1</w:t>
      </w:r>
      <w:r w:rsidR="00FD1AC7">
        <w:rPr>
          <w:rFonts w:ascii="Arial" w:hAnsi="Arial" w:cs="Arial"/>
          <w:sz w:val="20"/>
          <w:szCs w:val="20"/>
        </w:rPr>
        <w:t>36</w:t>
      </w:r>
    </w:p>
    <w:p w:rsidR="004338B6" w:rsidRPr="00E40A0A" w:rsidRDefault="004338B6" w:rsidP="00C625DB">
      <w:pPr>
        <w:tabs>
          <w:tab w:val="left" w:pos="540"/>
          <w:tab w:val="left" w:leader="dot" w:pos="9356"/>
        </w:tabs>
        <w:spacing w:after="0" w:line="240" w:lineRule="auto"/>
        <w:rPr>
          <w:rFonts w:ascii="Arial" w:hAnsi="Arial" w:cs="Arial"/>
          <w:sz w:val="20"/>
          <w:szCs w:val="20"/>
        </w:rPr>
      </w:pPr>
      <w:r w:rsidRPr="00E40A0A">
        <w:rPr>
          <w:rFonts w:ascii="Arial" w:hAnsi="Arial" w:cs="Arial"/>
          <w:b/>
          <w:sz w:val="20"/>
          <w:szCs w:val="20"/>
        </w:rPr>
        <w:t xml:space="preserve">VIII. MEDIUL URBAN, SĂNĂTATEA ŞI CALITATEA VIEŢII </w:t>
      </w:r>
      <w:r w:rsidRPr="00E40A0A">
        <w:rPr>
          <w:rFonts w:ascii="Arial" w:hAnsi="Arial" w:cs="Arial"/>
          <w:b/>
          <w:sz w:val="20"/>
          <w:szCs w:val="20"/>
        </w:rPr>
        <w:tab/>
        <w:t xml:space="preserve">  </w:t>
      </w:r>
      <w:r w:rsidR="005444A6" w:rsidRPr="00E40A0A">
        <w:rPr>
          <w:rFonts w:ascii="Arial" w:hAnsi="Arial" w:cs="Arial"/>
          <w:b/>
          <w:sz w:val="20"/>
          <w:szCs w:val="20"/>
        </w:rPr>
        <w:t>1</w:t>
      </w:r>
      <w:r w:rsidR="00FD1AC7">
        <w:rPr>
          <w:rFonts w:ascii="Arial" w:hAnsi="Arial" w:cs="Arial"/>
          <w:b/>
          <w:sz w:val="20"/>
          <w:szCs w:val="20"/>
        </w:rPr>
        <w:t>36</w:t>
      </w:r>
      <w:r w:rsidRPr="00E40A0A">
        <w:rPr>
          <w:rFonts w:ascii="Arial" w:hAnsi="Arial" w:cs="Arial"/>
          <w:b/>
          <w:sz w:val="20"/>
          <w:szCs w:val="20"/>
        </w:rPr>
        <w:t xml:space="preserve">    VIII.1. Mediul urban şi calitatea vieţii: stare şi consecinţe   </w:t>
      </w:r>
      <w:r w:rsidRPr="00E40A0A">
        <w:rPr>
          <w:rFonts w:ascii="Arial" w:hAnsi="Arial" w:cs="Arial"/>
          <w:b/>
          <w:sz w:val="20"/>
          <w:szCs w:val="20"/>
        </w:rPr>
        <w:tab/>
      </w:r>
      <w:r w:rsidR="005444A6" w:rsidRPr="00E40A0A">
        <w:rPr>
          <w:rFonts w:ascii="Arial" w:hAnsi="Arial" w:cs="Arial"/>
          <w:b/>
          <w:sz w:val="20"/>
          <w:szCs w:val="20"/>
        </w:rPr>
        <w:t xml:space="preserve">  1</w:t>
      </w:r>
      <w:r w:rsidR="00FD1AC7">
        <w:rPr>
          <w:rFonts w:ascii="Arial" w:hAnsi="Arial" w:cs="Arial"/>
          <w:b/>
          <w:sz w:val="20"/>
          <w:szCs w:val="20"/>
        </w:rPr>
        <w:t>36</w:t>
      </w:r>
    </w:p>
    <w:p w:rsidR="004338B6" w:rsidRPr="00E40A0A" w:rsidRDefault="004338B6" w:rsidP="00C625DB">
      <w:pPr>
        <w:tabs>
          <w:tab w:val="left" w:pos="1276"/>
          <w:tab w:val="left" w:leader="dot" w:pos="9356"/>
        </w:tabs>
        <w:spacing w:after="0" w:line="240" w:lineRule="auto"/>
        <w:rPr>
          <w:rFonts w:ascii="Arial" w:hAnsi="Arial" w:cs="Arial"/>
          <w:sz w:val="20"/>
          <w:szCs w:val="20"/>
        </w:rPr>
      </w:pPr>
      <w:r w:rsidRPr="00E40A0A">
        <w:rPr>
          <w:rFonts w:ascii="Arial" w:hAnsi="Arial" w:cs="Arial"/>
          <w:i/>
          <w:sz w:val="20"/>
          <w:szCs w:val="20"/>
        </w:rPr>
        <w:t xml:space="preserve">         VIII.1.1.Calitatea aerului din aglomerările urbane şi efectele asupra sănătăţii.............................</w:t>
      </w:r>
      <w:r w:rsidR="005444A6" w:rsidRPr="00E40A0A">
        <w:rPr>
          <w:rFonts w:ascii="Arial" w:hAnsi="Arial" w:cs="Arial"/>
          <w:i/>
          <w:sz w:val="20"/>
          <w:szCs w:val="20"/>
        </w:rPr>
        <w:t xml:space="preserve">.......    </w:t>
      </w:r>
      <w:r w:rsidR="005444A6" w:rsidRPr="00E40A0A">
        <w:rPr>
          <w:rFonts w:ascii="Arial" w:hAnsi="Arial" w:cs="Arial"/>
          <w:sz w:val="20"/>
          <w:szCs w:val="20"/>
        </w:rPr>
        <w:t>1</w:t>
      </w:r>
      <w:r w:rsidR="00FD1AC7">
        <w:rPr>
          <w:rFonts w:ascii="Arial" w:hAnsi="Arial" w:cs="Arial"/>
          <w:sz w:val="20"/>
          <w:szCs w:val="20"/>
        </w:rPr>
        <w:t>36</w:t>
      </w:r>
    </w:p>
    <w:p w:rsidR="004338B6" w:rsidRPr="00E40A0A" w:rsidRDefault="004338B6" w:rsidP="00C625DB">
      <w:pPr>
        <w:tabs>
          <w:tab w:val="left" w:leader="dot" w:pos="9356"/>
        </w:tabs>
        <w:spacing w:after="0" w:line="240" w:lineRule="auto"/>
        <w:rPr>
          <w:rFonts w:ascii="Arial" w:hAnsi="Arial" w:cs="Arial"/>
          <w:sz w:val="20"/>
          <w:szCs w:val="20"/>
        </w:rPr>
      </w:pPr>
      <w:r w:rsidRPr="00E40A0A">
        <w:rPr>
          <w:rFonts w:ascii="Arial" w:hAnsi="Arial" w:cs="Arial"/>
          <w:sz w:val="20"/>
          <w:szCs w:val="20"/>
        </w:rPr>
        <w:t xml:space="preserve">              VIII.1.1.1.Depăşiri ale concentraţiei medii anuale de PM10, NO2, SO2 şi O3 în anumite aglomerări </w:t>
      </w:r>
    </w:p>
    <w:p w:rsidR="004338B6" w:rsidRPr="00E40A0A" w:rsidRDefault="004338B6" w:rsidP="00C625DB">
      <w:pPr>
        <w:tabs>
          <w:tab w:val="left" w:leader="dot" w:pos="9356"/>
        </w:tabs>
        <w:spacing w:after="0" w:line="240" w:lineRule="auto"/>
        <w:rPr>
          <w:rFonts w:ascii="Arial" w:hAnsi="Arial" w:cs="Arial"/>
          <w:sz w:val="20"/>
          <w:szCs w:val="20"/>
        </w:rPr>
      </w:pPr>
      <w:r w:rsidRPr="00E40A0A">
        <w:rPr>
          <w:rFonts w:ascii="Arial" w:hAnsi="Arial" w:cs="Arial"/>
          <w:sz w:val="20"/>
          <w:szCs w:val="20"/>
        </w:rPr>
        <w:t xml:space="preserve">                            urbane ......................................................................................................................</w:t>
      </w:r>
      <w:r w:rsidR="005444A6" w:rsidRPr="00E40A0A">
        <w:rPr>
          <w:rFonts w:ascii="Arial" w:hAnsi="Arial" w:cs="Arial"/>
          <w:sz w:val="20"/>
          <w:szCs w:val="20"/>
        </w:rPr>
        <w:t>.</w:t>
      </w:r>
      <w:r w:rsidRPr="00E40A0A">
        <w:rPr>
          <w:rFonts w:ascii="Arial" w:hAnsi="Arial" w:cs="Arial"/>
          <w:sz w:val="20"/>
          <w:szCs w:val="20"/>
        </w:rPr>
        <w:t xml:space="preserve">   </w:t>
      </w:r>
      <w:r w:rsidR="005444A6" w:rsidRPr="00E40A0A">
        <w:rPr>
          <w:rFonts w:ascii="Arial" w:hAnsi="Arial" w:cs="Arial"/>
          <w:sz w:val="20"/>
          <w:szCs w:val="20"/>
        </w:rPr>
        <w:t xml:space="preserve">        1</w:t>
      </w:r>
      <w:r w:rsidR="00FD1AC7">
        <w:rPr>
          <w:rFonts w:ascii="Arial" w:hAnsi="Arial" w:cs="Arial"/>
          <w:sz w:val="20"/>
          <w:szCs w:val="20"/>
        </w:rPr>
        <w:t>36</w:t>
      </w:r>
    </w:p>
    <w:p w:rsidR="004338B6" w:rsidRPr="00E40A0A" w:rsidRDefault="004338B6" w:rsidP="00C625DB">
      <w:pPr>
        <w:tabs>
          <w:tab w:val="left" w:pos="1276"/>
          <w:tab w:val="left" w:leader="dot" w:pos="9356"/>
        </w:tabs>
        <w:spacing w:after="0" w:line="240" w:lineRule="auto"/>
        <w:rPr>
          <w:rFonts w:ascii="Arial" w:hAnsi="Arial" w:cs="Arial"/>
          <w:sz w:val="20"/>
          <w:szCs w:val="20"/>
        </w:rPr>
      </w:pPr>
      <w:r w:rsidRPr="00E40A0A">
        <w:rPr>
          <w:rFonts w:ascii="Arial" w:hAnsi="Arial" w:cs="Arial"/>
          <w:i/>
          <w:sz w:val="20"/>
          <w:szCs w:val="20"/>
        </w:rPr>
        <w:t xml:space="preserve">         VIII.1.2. Poluarea fonică şi efectele asupra sănătăţii şi calităţii vieţii.......................................... </w:t>
      </w:r>
      <w:r w:rsidR="005444A6" w:rsidRPr="00E40A0A">
        <w:rPr>
          <w:rFonts w:ascii="Arial" w:hAnsi="Arial" w:cs="Arial"/>
          <w:i/>
          <w:sz w:val="20"/>
          <w:szCs w:val="20"/>
        </w:rPr>
        <w:t>.......</w:t>
      </w:r>
      <w:r w:rsidRPr="00E40A0A">
        <w:rPr>
          <w:rFonts w:ascii="Arial" w:hAnsi="Arial" w:cs="Arial"/>
          <w:i/>
          <w:sz w:val="20"/>
          <w:szCs w:val="20"/>
        </w:rPr>
        <w:t xml:space="preserve"> </w:t>
      </w:r>
      <w:r w:rsidR="005444A6" w:rsidRPr="00E40A0A">
        <w:rPr>
          <w:rFonts w:ascii="Arial" w:hAnsi="Arial" w:cs="Arial"/>
          <w:sz w:val="20"/>
          <w:szCs w:val="20"/>
        </w:rPr>
        <w:t xml:space="preserve">    1</w:t>
      </w:r>
      <w:r w:rsidR="00FD1AC7">
        <w:rPr>
          <w:rFonts w:ascii="Arial" w:hAnsi="Arial" w:cs="Arial"/>
          <w:sz w:val="20"/>
          <w:szCs w:val="20"/>
        </w:rPr>
        <w:t>40</w:t>
      </w:r>
    </w:p>
    <w:p w:rsidR="004338B6" w:rsidRPr="00E40A0A" w:rsidRDefault="004338B6" w:rsidP="00C625DB">
      <w:pPr>
        <w:tabs>
          <w:tab w:val="left" w:leader="dot" w:pos="9356"/>
        </w:tabs>
        <w:spacing w:after="0" w:line="240" w:lineRule="auto"/>
        <w:rPr>
          <w:rFonts w:ascii="Arial" w:hAnsi="Arial" w:cs="Arial"/>
          <w:sz w:val="20"/>
          <w:szCs w:val="20"/>
        </w:rPr>
      </w:pPr>
      <w:r w:rsidRPr="00E40A0A">
        <w:rPr>
          <w:rFonts w:ascii="Arial" w:hAnsi="Arial" w:cs="Arial"/>
          <w:i/>
          <w:sz w:val="20"/>
          <w:szCs w:val="20"/>
        </w:rPr>
        <w:t xml:space="preserve">               </w:t>
      </w:r>
      <w:r w:rsidRPr="00E40A0A">
        <w:rPr>
          <w:rFonts w:ascii="Arial" w:hAnsi="Arial" w:cs="Arial"/>
          <w:sz w:val="20"/>
          <w:szCs w:val="20"/>
        </w:rPr>
        <w:t>VIII.1.2.1.Expunerea la poluarea sonoră a aglomerărilor urbane cu peste 250.000 locuitori</w:t>
      </w:r>
      <w:r w:rsidRPr="00E40A0A">
        <w:rPr>
          <w:rFonts w:ascii="Arial" w:hAnsi="Arial" w:cs="Arial"/>
          <w:i/>
          <w:sz w:val="20"/>
          <w:szCs w:val="20"/>
        </w:rPr>
        <w:t xml:space="preserve"> ...... </w:t>
      </w:r>
      <w:r w:rsidR="005444A6" w:rsidRPr="00E40A0A">
        <w:rPr>
          <w:rFonts w:ascii="Arial" w:hAnsi="Arial" w:cs="Arial"/>
          <w:sz w:val="20"/>
          <w:szCs w:val="20"/>
        </w:rPr>
        <w:t xml:space="preserve">     14</w:t>
      </w:r>
      <w:r w:rsidR="00FD1AC7">
        <w:rPr>
          <w:rFonts w:ascii="Arial" w:hAnsi="Arial" w:cs="Arial"/>
          <w:sz w:val="20"/>
          <w:szCs w:val="20"/>
        </w:rPr>
        <w:t>0</w:t>
      </w:r>
    </w:p>
    <w:p w:rsidR="004338B6" w:rsidRPr="00E40A0A" w:rsidRDefault="004338B6" w:rsidP="00C625DB">
      <w:pPr>
        <w:tabs>
          <w:tab w:val="left" w:pos="1276"/>
          <w:tab w:val="left" w:leader="dot" w:pos="9356"/>
        </w:tabs>
        <w:spacing w:after="0" w:line="240" w:lineRule="auto"/>
        <w:ind w:left="170"/>
        <w:rPr>
          <w:rFonts w:ascii="Arial" w:hAnsi="Arial" w:cs="Arial"/>
          <w:sz w:val="20"/>
          <w:szCs w:val="20"/>
        </w:rPr>
      </w:pPr>
      <w:r w:rsidRPr="00E40A0A">
        <w:rPr>
          <w:rFonts w:ascii="Arial" w:hAnsi="Arial" w:cs="Arial"/>
          <w:i/>
          <w:sz w:val="20"/>
          <w:szCs w:val="20"/>
        </w:rPr>
        <w:t xml:space="preserve">      VIII.1.3.Calitatea apei potabile şi efectele asupra sănătăţii..........................................................  </w:t>
      </w:r>
      <w:r w:rsidR="005444A6" w:rsidRPr="00E40A0A">
        <w:rPr>
          <w:rFonts w:ascii="Arial" w:hAnsi="Arial" w:cs="Arial"/>
          <w:i/>
          <w:sz w:val="20"/>
          <w:szCs w:val="20"/>
        </w:rPr>
        <w:t xml:space="preserve">         </w:t>
      </w:r>
      <w:r w:rsidR="005444A6" w:rsidRPr="00E40A0A">
        <w:rPr>
          <w:rFonts w:ascii="Arial" w:hAnsi="Arial" w:cs="Arial"/>
          <w:sz w:val="20"/>
          <w:szCs w:val="20"/>
        </w:rPr>
        <w:t xml:space="preserve"> 1</w:t>
      </w:r>
      <w:r w:rsidR="00FD1AC7">
        <w:rPr>
          <w:rFonts w:ascii="Arial" w:hAnsi="Arial" w:cs="Arial"/>
          <w:sz w:val="20"/>
          <w:szCs w:val="20"/>
        </w:rPr>
        <w:t>46</w:t>
      </w:r>
    </w:p>
    <w:p w:rsidR="004338B6" w:rsidRPr="00E40A0A" w:rsidRDefault="004338B6" w:rsidP="00C625DB">
      <w:pPr>
        <w:tabs>
          <w:tab w:val="left" w:pos="1276"/>
          <w:tab w:val="left" w:leader="dot" w:pos="9356"/>
        </w:tabs>
        <w:spacing w:after="0" w:line="240" w:lineRule="auto"/>
        <w:ind w:left="170"/>
        <w:rPr>
          <w:rFonts w:ascii="Arial" w:hAnsi="Arial" w:cs="Arial"/>
          <w:sz w:val="20"/>
          <w:szCs w:val="20"/>
        </w:rPr>
      </w:pPr>
      <w:r w:rsidRPr="00E40A0A">
        <w:rPr>
          <w:rFonts w:ascii="Arial" w:hAnsi="Arial" w:cs="Arial"/>
          <w:i/>
          <w:sz w:val="20"/>
          <w:szCs w:val="20"/>
        </w:rPr>
        <w:t xml:space="preserve">      VIII.1.4. Spaţiile verzi şi efectele asupra sănătăţii şi calităţii vieţii</w:t>
      </w:r>
      <w:r w:rsidRPr="00E40A0A">
        <w:rPr>
          <w:rFonts w:ascii="Arial" w:hAnsi="Arial" w:cs="Arial"/>
          <w:i/>
          <w:sz w:val="20"/>
          <w:szCs w:val="20"/>
        </w:rPr>
        <w:tab/>
      </w:r>
      <w:r w:rsidR="005444A6" w:rsidRPr="00E40A0A">
        <w:rPr>
          <w:rFonts w:ascii="Arial" w:hAnsi="Arial" w:cs="Arial"/>
          <w:i/>
          <w:sz w:val="20"/>
          <w:szCs w:val="20"/>
        </w:rPr>
        <w:t xml:space="preserve">  </w:t>
      </w:r>
      <w:r w:rsidR="00257D97">
        <w:rPr>
          <w:rFonts w:ascii="Arial" w:hAnsi="Arial" w:cs="Arial"/>
          <w:sz w:val="20"/>
          <w:szCs w:val="20"/>
        </w:rPr>
        <w:t>148</w:t>
      </w:r>
    </w:p>
    <w:p w:rsidR="004338B6" w:rsidRPr="00E40A0A" w:rsidRDefault="004338B6" w:rsidP="00C625DB">
      <w:pPr>
        <w:tabs>
          <w:tab w:val="left" w:leader="dot" w:pos="9356"/>
        </w:tabs>
        <w:spacing w:after="0" w:line="240" w:lineRule="auto"/>
        <w:rPr>
          <w:rFonts w:ascii="Arial" w:hAnsi="Arial" w:cs="Arial"/>
          <w:sz w:val="20"/>
          <w:szCs w:val="20"/>
          <w:lang w:val="fr-BE"/>
        </w:rPr>
      </w:pPr>
      <w:r w:rsidRPr="00E40A0A">
        <w:rPr>
          <w:rFonts w:ascii="Arial" w:hAnsi="Arial" w:cs="Arial"/>
          <w:sz w:val="20"/>
          <w:szCs w:val="20"/>
        </w:rPr>
        <w:t xml:space="preserve">                 VII</w:t>
      </w:r>
      <w:r w:rsidRPr="00E40A0A">
        <w:rPr>
          <w:rFonts w:ascii="Arial" w:hAnsi="Arial" w:cs="Arial"/>
          <w:sz w:val="20"/>
          <w:szCs w:val="20"/>
          <w:lang w:val="fr-BE"/>
        </w:rPr>
        <w:t>I.1.4.1.Suprafaţa ocupată de spaţiile verzi în aglomerările urbane …………………………</w:t>
      </w:r>
      <w:r w:rsidR="005444A6" w:rsidRPr="00E40A0A">
        <w:rPr>
          <w:rFonts w:ascii="Arial" w:hAnsi="Arial" w:cs="Arial"/>
          <w:sz w:val="20"/>
          <w:szCs w:val="20"/>
          <w:lang w:val="fr-BE"/>
        </w:rPr>
        <w:t>……</w:t>
      </w:r>
      <w:r w:rsidRPr="00E40A0A">
        <w:rPr>
          <w:rFonts w:ascii="Arial" w:hAnsi="Arial" w:cs="Arial"/>
          <w:sz w:val="20"/>
          <w:szCs w:val="20"/>
          <w:lang w:val="fr-BE"/>
        </w:rPr>
        <w:t xml:space="preserve"> </w:t>
      </w:r>
      <w:r w:rsidR="005444A6" w:rsidRPr="00E40A0A">
        <w:rPr>
          <w:rFonts w:ascii="Arial" w:hAnsi="Arial" w:cs="Arial"/>
          <w:sz w:val="20"/>
          <w:szCs w:val="20"/>
          <w:lang w:val="fr-BE"/>
        </w:rPr>
        <w:t xml:space="preserve"> 1</w:t>
      </w:r>
      <w:r w:rsidR="00257D97">
        <w:rPr>
          <w:rFonts w:ascii="Arial" w:hAnsi="Arial" w:cs="Arial"/>
          <w:sz w:val="20"/>
          <w:szCs w:val="20"/>
          <w:lang w:val="fr-BE"/>
        </w:rPr>
        <w:t>49</w:t>
      </w:r>
    </w:p>
    <w:p w:rsidR="004338B6" w:rsidRPr="00C625DB" w:rsidRDefault="004338B6" w:rsidP="00C625DB">
      <w:pPr>
        <w:tabs>
          <w:tab w:val="left" w:pos="1276"/>
          <w:tab w:val="left" w:leader="dot" w:pos="9356"/>
        </w:tabs>
        <w:spacing w:after="0" w:line="240" w:lineRule="auto"/>
        <w:ind w:left="170"/>
        <w:rPr>
          <w:rFonts w:ascii="Arial" w:hAnsi="Arial" w:cs="Arial"/>
          <w:sz w:val="20"/>
          <w:szCs w:val="20"/>
        </w:rPr>
      </w:pPr>
      <w:r w:rsidRPr="00E40A0A">
        <w:rPr>
          <w:rFonts w:ascii="Arial" w:hAnsi="Arial" w:cs="Arial"/>
          <w:i/>
          <w:sz w:val="20"/>
          <w:szCs w:val="20"/>
          <w:lang w:val="fr-BE"/>
        </w:rPr>
        <w:t xml:space="preserve">     </w:t>
      </w:r>
      <w:r w:rsidRPr="00E40A0A">
        <w:rPr>
          <w:rFonts w:ascii="Arial" w:hAnsi="Arial" w:cs="Arial"/>
          <w:i/>
          <w:sz w:val="20"/>
          <w:szCs w:val="20"/>
        </w:rPr>
        <w:t xml:space="preserve"> VIII.1.</w:t>
      </w:r>
      <w:r w:rsidRPr="00C625DB">
        <w:rPr>
          <w:rFonts w:ascii="Arial" w:hAnsi="Arial" w:cs="Arial"/>
          <w:i/>
          <w:sz w:val="20"/>
          <w:szCs w:val="20"/>
        </w:rPr>
        <w:t>5.Schimbările climatice şi efectele asupra mediului urban, sănătăţii şi calităţii vieţii</w:t>
      </w:r>
      <w:r w:rsidRPr="00C625DB">
        <w:rPr>
          <w:rFonts w:ascii="Arial" w:hAnsi="Arial" w:cs="Arial"/>
          <w:i/>
          <w:sz w:val="20"/>
          <w:szCs w:val="20"/>
        </w:rPr>
        <w:tab/>
        <w:t xml:space="preserve"> </w:t>
      </w:r>
      <w:r w:rsidR="005444A6" w:rsidRPr="00C625DB">
        <w:rPr>
          <w:rFonts w:ascii="Arial" w:hAnsi="Arial" w:cs="Arial"/>
          <w:i/>
          <w:sz w:val="20"/>
          <w:szCs w:val="20"/>
        </w:rPr>
        <w:t xml:space="preserve"> </w:t>
      </w:r>
      <w:r w:rsidR="005444A6" w:rsidRPr="00C625DB">
        <w:rPr>
          <w:rFonts w:ascii="Arial" w:hAnsi="Arial" w:cs="Arial"/>
          <w:sz w:val="20"/>
          <w:szCs w:val="20"/>
        </w:rPr>
        <w:t>1</w:t>
      </w:r>
      <w:r w:rsidR="00257D97">
        <w:rPr>
          <w:rFonts w:ascii="Arial" w:hAnsi="Arial" w:cs="Arial"/>
          <w:sz w:val="20"/>
          <w:szCs w:val="20"/>
        </w:rPr>
        <w:t>55</w:t>
      </w:r>
    </w:p>
    <w:p w:rsidR="004338B6" w:rsidRPr="00C625DB" w:rsidRDefault="004338B6" w:rsidP="00C625DB">
      <w:pPr>
        <w:tabs>
          <w:tab w:val="left" w:leader="dot" w:pos="9356"/>
        </w:tabs>
        <w:spacing w:after="0" w:line="240" w:lineRule="auto"/>
        <w:rPr>
          <w:rFonts w:ascii="Arial" w:hAnsi="Arial" w:cs="Arial"/>
          <w:sz w:val="20"/>
          <w:szCs w:val="20"/>
        </w:rPr>
      </w:pPr>
      <w:r w:rsidRPr="00C625DB">
        <w:rPr>
          <w:rFonts w:ascii="Arial" w:hAnsi="Arial" w:cs="Arial"/>
          <w:sz w:val="20"/>
          <w:szCs w:val="20"/>
        </w:rPr>
        <w:t xml:space="preserve">                 VIII.1.5.1. Rata de mortalitate în aglomerările urbane ca urmare a temperaturilor extreme în </w:t>
      </w:r>
    </w:p>
    <w:p w:rsidR="004338B6" w:rsidRPr="00C625DB" w:rsidRDefault="004338B6" w:rsidP="00C625DB">
      <w:pPr>
        <w:tabs>
          <w:tab w:val="left" w:leader="dot" w:pos="9356"/>
        </w:tabs>
        <w:spacing w:after="0" w:line="240" w:lineRule="auto"/>
        <w:rPr>
          <w:rFonts w:ascii="Arial" w:hAnsi="Arial" w:cs="Arial"/>
          <w:sz w:val="20"/>
          <w:szCs w:val="20"/>
        </w:rPr>
      </w:pPr>
      <w:r w:rsidRPr="00C625DB">
        <w:rPr>
          <w:rFonts w:ascii="Arial" w:hAnsi="Arial" w:cs="Arial"/>
          <w:sz w:val="20"/>
          <w:szCs w:val="20"/>
        </w:rPr>
        <w:t xml:space="preserve">                     perioada de vară </w:t>
      </w:r>
      <w:r w:rsidRPr="00C625DB">
        <w:rPr>
          <w:rFonts w:ascii="Arial" w:hAnsi="Arial" w:cs="Arial"/>
          <w:sz w:val="20"/>
          <w:szCs w:val="20"/>
        </w:rPr>
        <w:tab/>
      </w:r>
      <w:r w:rsidR="005444A6" w:rsidRPr="00C625DB">
        <w:rPr>
          <w:rFonts w:ascii="Arial" w:hAnsi="Arial" w:cs="Arial"/>
          <w:sz w:val="20"/>
          <w:szCs w:val="20"/>
        </w:rPr>
        <w:t xml:space="preserve">  1</w:t>
      </w:r>
      <w:r w:rsidR="00257D97">
        <w:rPr>
          <w:rFonts w:ascii="Arial" w:hAnsi="Arial" w:cs="Arial"/>
          <w:sz w:val="20"/>
          <w:szCs w:val="20"/>
        </w:rPr>
        <w:t>56</w:t>
      </w:r>
    </w:p>
    <w:p w:rsidR="004338B6" w:rsidRPr="00C625DB" w:rsidRDefault="004338B6" w:rsidP="00C625DB">
      <w:pPr>
        <w:tabs>
          <w:tab w:val="left" w:leader="dot" w:pos="9356"/>
        </w:tabs>
        <w:spacing w:after="0" w:line="240" w:lineRule="auto"/>
        <w:ind w:left="1135"/>
        <w:rPr>
          <w:rFonts w:ascii="Arial" w:hAnsi="Arial" w:cs="Arial"/>
          <w:sz w:val="20"/>
          <w:szCs w:val="20"/>
        </w:rPr>
      </w:pPr>
      <w:r w:rsidRPr="00C625DB">
        <w:rPr>
          <w:rFonts w:ascii="Arial" w:hAnsi="Arial" w:cs="Arial"/>
          <w:sz w:val="20"/>
          <w:szCs w:val="20"/>
        </w:rPr>
        <w:t xml:space="preserve">VIII.1.5.2. Expunerea populaţiei din aglomerările urbane la riscul de inundaţii </w:t>
      </w:r>
      <w:r w:rsidRPr="00C625DB">
        <w:rPr>
          <w:rFonts w:ascii="Arial" w:hAnsi="Arial" w:cs="Arial"/>
          <w:sz w:val="20"/>
          <w:szCs w:val="20"/>
        </w:rPr>
        <w:tab/>
        <w:t xml:space="preserve"> </w:t>
      </w:r>
      <w:r w:rsidR="005444A6" w:rsidRPr="00C625DB">
        <w:rPr>
          <w:rFonts w:ascii="Arial" w:hAnsi="Arial" w:cs="Arial"/>
          <w:sz w:val="20"/>
          <w:szCs w:val="20"/>
        </w:rPr>
        <w:t xml:space="preserve"> 1</w:t>
      </w:r>
      <w:r w:rsidR="00257D97">
        <w:rPr>
          <w:rFonts w:ascii="Arial" w:hAnsi="Arial" w:cs="Arial"/>
          <w:sz w:val="20"/>
          <w:szCs w:val="20"/>
        </w:rPr>
        <w:t>57</w:t>
      </w:r>
    </w:p>
    <w:p w:rsidR="004338B6" w:rsidRPr="00C625DB" w:rsidRDefault="004338B6" w:rsidP="00C625DB">
      <w:pPr>
        <w:tabs>
          <w:tab w:val="left" w:pos="540"/>
          <w:tab w:val="left" w:leader="dot" w:pos="9356"/>
        </w:tabs>
        <w:spacing w:after="0" w:line="240" w:lineRule="auto"/>
        <w:rPr>
          <w:rFonts w:ascii="Arial" w:hAnsi="Arial" w:cs="Arial"/>
          <w:color w:val="000000"/>
          <w:sz w:val="20"/>
          <w:szCs w:val="20"/>
        </w:rPr>
      </w:pPr>
      <w:r w:rsidRPr="00C625DB">
        <w:rPr>
          <w:rFonts w:ascii="Arial" w:hAnsi="Arial" w:cs="Arial"/>
          <w:b/>
          <w:color w:val="000000"/>
          <w:sz w:val="20"/>
          <w:szCs w:val="20"/>
        </w:rPr>
        <w:t>IX.RADIOACTIVITATEA MEDIULUI .........................................................................</w:t>
      </w:r>
      <w:r w:rsidR="005444A6" w:rsidRPr="00C625DB">
        <w:rPr>
          <w:rFonts w:ascii="Arial" w:hAnsi="Arial" w:cs="Arial"/>
          <w:b/>
          <w:color w:val="000000"/>
          <w:sz w:val="20"/>
          <w:szCs w:val="20"/>
        </w:rPr>
        <w:t>.................................</w:t>
      </w:r>
      <w:r w:rsidRPr="00C625DB">
        <w:rPr>
          <w:rFonts w:ascii="Arial" w:hAnsi="Arial" w:cs="Arial"/>
          <w:b/>
          <w:color w:val="000000"/>
          <w:sz w:val="20"/>
          <w:szCs w:val="20"/>
        </w:rPr>
        <w:t xml:space="preserve">   </w:t>
      </w:r>
      <w:r w:rsidR="005444A6" w:rsidRPr="00C625DB">
        <w:rPr>
          <w:rFonts w:ascii="Arial" w:hAnsi="Arial" w:cs="Arial"/>
          <w:b/>
          <w:color w:val="000000"/>
          <w:sz w:val="20"/>
          <w:szCs w:val="20"/>
        </w:rPr>
        <w:t xml:space="preserve">  1</w:t>
      </w:r>
      <w:r w:rsidR="00257D97">
        <w:rPr>
          <w:rFonts w:ascii="Arial" w:hAnsi="Arial" w:cs="Arial"/>
          <w:b/>
          <w:color w:val="000000"/>
          <w:sz w:val="20"/>
          <w:szCs w:val="20"/>
        </w:rPr>
        <w:t>57</w:t>
      </w:r>
    </w:p>
    <w:p w:rsidR="004338B6" w:rsidRPr="00C625DB" w:rsidRDefault="004338B6" w:rsidP="00C625DB">
      <w:pPr>
        <w:tabs>
          <w:tab w:val="left" w:leader="dot" w:pos="9356"/>
        </w:tabs>
        <w:spacing w:after="0" w:line="240" w:lineRule="auto"/>
        <w:ind w:left="567"/>
        <w:rPr>
          <w:rFonts w:ascii="Arial" w:hAnsi="Arial" w:cs="Arial"/>
          <w:color w:val="000000"/>
          <w:sz w:val="20"/>
          <w:szCs w:val="20"/>
        </w:rPr>
      </w:pPr>
      <w:r w:rsidRPr="00C625DB">
        <w:rPr>
          <w:rFonts w:ascii="Arial" w:hAnsi="Arial" w:cs="Arial"/>
          <w:b/>
          <w:color w:val="000000"/>
          <w:sz w:val="20"/>
          <w:szCs w:val="20"/>
        </w:rPr>
        <w:t xml:space="preserve">IX.1. Monitorizarea radioactivităţii factorilor de mediu </w:t>
      </w:r>
      <w:r w:rsidRPr="00C625DB">
        <w:rPr>
          <w:rFonts w:ascii="Arial" w:hAnsi="Arial" w:cs="Arial"/>
          <w:b/>
          <w:color w:val="000000"/>
          <w:sz w:val="20"/>
          <w:szCs w:val="20"/>
        </w:rPr>
        <w:tab/>
      </w:r>
      <w:r w:rsidR="005444A6" w:rsidRPr="00C625DB">
        <w:rPr>
          <w:rFonts w:ascii="Arial" w:hAnsi="Arial" w:cs="Arial"/>
          <w:b/>
          <w:color w:val="000000"/>
          <w:sz w:val="20"/>
          <w:szCs w:val="20"/>
        </w:rPr>
        <w:t xml:space="preserve">   1</w:t>
      </w:r>
      <w:r w:rsidR="00257D97">
        <w:rPr>
          <w:rFonts w:ascii="Arial" w:hAnsi="Arial" w:cs="Arial"/>
          <w:b/>
          <w:color w:val="000000"/>
          <w:sz w:val="20"/>
          <w:szCs w:val="20"/>
        </w:rPr>
        <w:t>57</w:t>
      </w:r>
    </w:p>
    <w:p w:rsidR="004338B6" w:rsidRPr="00C625DB" w:rsidRDefault="004338B6" w:rsidP="00C625DB">
      <w:pPr>
        <w:tabs>
          <w:tab w:val="left" w:pos="1276"/>
          <w:tab w:val="left" w:leader="dot" w:pos="9356"/>
        </w:tabs>
        <w:spacing w:after="0" w:line="240" w:lineRule="auto"/>
        <w:ind w:left="993"/>
        <w:rPr>
          <w:rFonts w:ascii="Arial" w:hAnsi="Arial" w:cs="Arial"/>
          <w:i/>
          <w:color w:val="000000"/>
          <w:sz w:val="20"/>
          <w:szCs w:val="20"/>
        </w:rPr>
      </w:pPr>
      <w:r w:rsidRPr="00C625DB">
        <w:rPr>
          <w:rFonts w:ascii="Arial" w:hAnsi="Arial" w:cs="Arial"/>
          <w:i/>
          <w:color w:val="000000"/>
          <w:sz w:val="20"/>
          <w:szCs w:val="20"/>
        </w:rPr>
        <w:t>IX</w:t>
      </w:r>
      <w:r w:rsidR="009A58CA">
        <w:rPr>
          <w:rFonts w:ascii="Arial" w:hAnsi="Arial" w:cs="Arial"/>
          <w:i/>
          <w:color w:val="000000"/>
          <w:sz w:val="20"/>
          <w:szCs w:val="20"/>
        </w:rPr>
        <w:t>.1.1.Radioactivitatea aerului  ……………………………………………………………..…………</w:t>
      </w:r>
      <w:r w:rsidR="005444A6" w:rsidRPr="00C625DB">
        <w:rPr>
          <w:rFonts w:ascii="Arial" w:hAnsi="Arial" w:cs="Arial"/>
          <w:i/>
          <w:color w:val="000000"/>
          <w:sz w:val="20"/>
          <w:szCs w:val="20"/>
        </w:rPr>
        <w:t xml:space="preserve">   1</w:t>
      </w:r>
      <w:r w:rsidR="00257D97">
        <w:rPr>
          <w:rFonts w:ascii="Arial" w:hAnsi="Arial" w:cs="Arial"/>
          <w:i/>
          <w:color w:val="000000"/>
          <w:sz w:val="20"/>
          <w:szCs w:val="20"/>
        </w:rPr>
        <w:t>57</w:t>
      </w:r>
    </w:p>
    <w:p w:rsidR="004338B6" w:rsidRPr="00C625DB" w:rsidRDefault="004338B6" w:rsidP="00C625DB">
      <w:pPr>
        <w:tabs>
          <w:tab w:val="left" w:pos="1276"/>
          <w:tab w:val="left" w:leader="dot" w:pos="9356"/>
        </w:tabs>
        <w:spacing w:after="0" w:line="240" w:lineRule="auto"/>
        <w:ind w:left="993"/>
        <w:rPr>
          <w:rFonts w:ascii="Arial" w:hAnsi="Arial" w:cs="Arial"/>
          <w:i/>
          <w:color w:val="000000"/>
          <w:sz w:val="20"/>
          <w:szCs w:val="20"/>
        </w:rPr>
      </w:pPr>
      <w:r w:rsidRPr="00C625DB">
        <w:rPr>
          <w:rFonts w:ascii="Arial" w:hAnsi="Arial" w:cs="Arial"/>
          <w:i/>
          <w:color w:val="000000"/>
          <w:sz w:val="20"/>
          <w:szCs w:val="20"/>
        </w:rPr>
        <w:t>IX.1.2. Radioctivitatea apelor  ...................................................................................................</w:t>
      </w:r>
      <w:r w:rsidR="005444A6" w:rsidRPr="00C625DB">
        <w:rPr>
          <w:rFonts w:ascii="Arial" w:hAnsi="Arial" w:cs="Arial"/>
          <w:i/>
          <w:color w:val="000000"/>
          <w:sz w:val="20"/>
          <w:szCs w:val="20"/>
        </w:rPr>
        <w:t xml:space="preserve">     1</w:t>
      </w:r>
      <w:r w:rsidR="00257D97">
        <w:rPr>
          <w:rFonts w:ascii="Arial" w:hAnsi="Arial" w:cs="Arial"/>
          <w:i/>
          <w:color w:val="000000"/>
          <w:sz w:val="20"/>
          <w:szCs w:val="20"/>
        </w:rPr>
        <w:t>59</w:t>
      </w:r>
    </w:p>
    <w:p w:rsidR="004338B6" w:rsidRPr="00C625DB" w:rsidRDefault="004338B6" w:rsidP="00C625DB">
      <w:pPr>
        <w:tabs>
          <w:tab w:val="left" w:pos="1276"/>
          <w:tab w:val="left" w:leader="dot" w:pos="9356"/>
        </w:tabs>
        <w:spacing w:after="0" w:line="240" w:lineRule="auto"/>
        <w:ind w:left="993"/>
        <w:rPr>
          <w:rFonts w:ascii="Arial" w:hAnsi="Arial" w:cs="Arial"/>
          <w:i/>
          <w:color w:val="000000"/>
          <w:sz w:val="20"/>
          <w:szCs w:val="20"/>
        </w:rPr>
      </w:pPr>
      <w:r w:rsidRPr="00C625DB">
        <w:rPr>
          <w:rFonts w:ascii="Arial" w:hAnsi="Arial" w:cs="Arial"/>
          <w:i/>
          <w:color w:val="000000"/>
          <w:sz w:val="20"/>
          <w:szCs w:val="20"/>
        </w:rPr>
        <w:t>IX.1.3. Radioactivitatea solului  .......................................................................</w:t>
      </w:r>
      <w:r w:rsidR="009A58CA">
        <w:rPr>
          <w:rFonts w:ascii="Arial" w:hAnsi="Arial" w:cs="Arial"/>
          <w:i/>
          <w:color w:val="000000"/>
          <w:sz w:val="20"/>
          <w:szCs w:val="20"/>
        </w:rPr>
        <w:t>..</w:t>
      </w:r>
      <w:r w:rsidRPr="00C625DB">
        <w:rPr>
          <w:rFonts w:ascii="Arial" w:hAnsi="Arial" w:cs="Arial"/>
          <w:i/>
          <w:color w:val="000000"/>
          <w:sz w:val="20"/>
          <w:szCs w:val="20"/>
        </w:rPr>
        <w:t>........................</w:t>
      </w:r>
      <w:r w:rsidR="005444A6" w:rsidRPr="00C625DB">
        <w:rPr>
          <w:rFonts w:ascii="Arial" w:hAnsi="Arial" w:cs="Arial"/>
          <w:i/>
          <w:color w:val="000000"/>
          <w:sz w:val="20"/>
          <w:szCs w:val="20"/>
        </w:rPr>
        <w:t xml:space="preserve">    1</w:t>
      </w:r>
      <w:r w:rsidR="00257D97">
        <w:rPr>
          <w:rFonts w:ascii="Arial" w:hAnsi="Arial" w:cs="Arial"/>
          <w:i/>
          <w:color w:val="000000"/>
          <w:sz w:val="20"/>
          <w:szCs w:val="20"/>
        </w:rPr>
        <w:t>59</w:t>
      </w:r>
    </w:p>
    <w:p w:rsidR="004338B6" w:rsidRPr="00C625DB" w:rsidRDefault="004338B6" w:rsidP="00C625DB">
      <w:pPr>
        <w:tabs>
          <w:tab w:val="left" w:pos="1276"/>
          <w:tab w:val="left" w:leader="dot" w:pos="9356"/>
        </w:tabs>
        <w:spacing w:after="0" w:line="240" w:lineRule="auto"/>
        <w:ind w:left="993"/>
        <w:rPr>
          <w:rFonts w:ascii="Arial" w:hAnsi="Arial" w:cs="Arial"/>
          <w:color w:val="000000"/>
          <w:sz w:val="20"/>
          <w:szCs w:val="20"/>
        </w:rPr>
      </w:pPr>
      <w:r w:rsidRPr="00C625DB">
        <w:rPr>
          <w:rFonts w:ascii="Arial" w:hAnsi="Arial" w:cs="Arial"/>
          <w:i/>
          <w:color w:val="000000"/>
          <w:sz w:val="20"/>
          <w:szCs w:val="20"/>
        </w:rPr>
        <w:t>IX.1.4. Radioactivitatea vegetației  ...................................................................</w:t>
      </w:r>
      <w:r w:rsidR="009A58CA">
        <w:rPr>
          <w:rFonts w:ascii="Arial" w:hAnsi="Arial" w:cs="Arial"/>
          <w:i/>
          <w:color w:val="000000"/>
          <w:sz w:val="20"/>
          <w:szCs w:val="20"/>
        </w:rPr>
        <w:t>..</w:t>
      </w:r>
      <w:r w:rsidRPr="00C625DB">
        <w:rPr>
          <w:rFonts w:ascii="Arial" w:hAnsi="Arial" w:cs="Arial"/>
          <w:i/>
          <w:color w:val="000000"/>
          <w:sz w:val="20"/>
          <w:szCs w:val="20"/>
        </w:rPr>
        <w:t>..........................</w:t>
      </w:r>
      <w:r w:rsidR="005444A6" w:rsidRPr="00C625DB">
        <w:rPr>
          <w:rFonts w:ascii="Arial" w:hAnsi="Arial" w:cs="Arial"/>
          <w:i/>
          <w:color w:val="000000"/>
          <w:sz w:val="20"/>
          <w:szCs w:val="20"/>
        </w:rPr>
        <w:t xml:space="preserve">  1</w:t>
      </w:r>
      <w:r w:rsidR="00257D97">
        <w:rPr>
          <w:rFonts w:ascii="Arial" w:hAnsi="Arial" w:cs="Arial"/>
          <w:i/>
          <w:color w:val="000000"/>
          <w:sz w:val="20"/>
          <w:szCs w:val="20"/>
        </w:rPr>
        <w:t>59</w:t>
      </w:r>
    </w:p>
    <w:p w:rsidR="004338B6" w:rsidRPr="00C625DB" w:rsidRDefault="004338B6" w:rsidP="00C625DB">
      <w:pPr>
        <w:tabs>
          <w:tab w:val="left" w:pos="540"/>
          <w:tab w:val="left" w:leader="dot" w:pos="9356"/>
        </w:tabs>
        <w:spacing w:after="0" w:line="240" w:lineRule="auto"/>
        <w:rPr>
          <w:rFonts w:ascii="Arial" w:hAnsi="Arial" w:cs="Arial"/>
          <w:sz w:val="20"/>
          <w:szCs w:val="20"/>
        </w:rPr>
      </w:pPr>
      <w:r w:rsidRPr="00C625DB">
        <w:rPr>
          <w:rFonts w:ascii="Arial" w:hAnsi="Arial" w:cs="Arial"/>
          <w:b/>
          <w:sz w:val="20"/>
          <w:szCs w:val="20"/>
        </w:rPr>
        <w:t xml:space="preserve">X.CONSUMUL ŞI MEDIUL ÎNCONJURĂTOR </w:t>
      </w:r>
      <w:r w:rsidRPr="00C625DB">
        <w:rPr>
          <w:rFonts w:ascii="Arial" w:hAnsi="Arial" w:cs="Arial"/>
          <w:b/>
          <w:sz w:val="20"/>
          <w:szCs w:val="20"/>
        </w:rPr>
        <w:tab/>
      </w:r>
      <w:r w:rsidR="009A58CA">
        <w:rPr>
          <w:rFonts w:ascii="Arial" w:hAnsi="Arial" w:cs="Arial"/>
          <w:b/>
          <w:sz w:val="20"/>
          <w:szCs w:val="20"/>
        </w:rPr>
        <w:t>.</w:t>
      </w:r>
      <w:r w:rsidR="005444A6" w:rsidRPr="00C625DB">
        <w:rPr>
          <w:rFonts w:ascii="Arial" w:hAnsi="Arial" w:cs="Arial"/>
          <w:b/>
          <w:sz w:val="20"/>
          <w:szCs w:val="20"/>
        </w:rPr>
        <w:t xml:space="preserve"> 1</w:t>
      </w:r>
      <w:r w:rsidR="00257D97">
        <w:rPr>
          <w:rFonts w:ascii="Arial" w:hAnsi="Arial" w:cs="Arial"/>
          <w:b/>
          <w:sz w:val="20"/>
          <w:szCs w:val="20"/>
        </w:rPr>
        <w:t>59</w:t>
      </w:r>
    </w:p>
    <w:p w:rsidR="004338B6" w:rsidRPr="00C625DB" w:rsidRDefault="004338B6" w:rsidP="00C625DB">
      <w:pPr>
        <w:tabs>
          <w:tab w:val="left" w:leader="dot" w:pos="9356"/>
        </w:tabs>
        <w:spacing w:after="0" w:line="240" w:lineRule="auto"/>
        <w:ind w:left="567"/>
        <w:rPr>
          <w:rFonts w:ascii="Arial" w:hAnsi="Arial" w:cs="Arial"/>
          <w:sz w:val="20"/>
          <w:szCs w:val="20"/>
        </w:rPr>
      </w:pPr>
      <w:r w:rsidRPr="00C625DB">
        <w:rPr>
          <w:rFonts w:ascii="Arial" w:hAnsi="Arial" w:cs="Arial"/>
          <w:b/>
          <w:sz w:val="20"/>
          <w:szCs w:val="20"/>
        </w:rPr>
        <w:t xml:space="preserve">X.1.Tendinţe în consum   </w:t>
      </w:r>
      <w:r w:rsidRPr="00C625DB">
        <w:rPr>
          <w:rFonts w:ascii="Arial" w:hAnsi="Arial" w:cs="Arial"/>
          <w:b/>
          <w:sz w:val="20"/>
          <w:szCs w:val="20"/>
        </w:rPr>
        <w:tab/>
      </w:r>
      <w:r w:rsidR="009A58CA">
        <w:rPr>
          <w:rFonts w:ascii="Arial" w:hAnsi="Arial" w:cs="Arial"/>
          <w:b/>
          <w:sz w:val="20"/>
          <w:szCs w:val="20"/>
        </w:rPr>
        <w:t>.</w:t>
      </w:r>
      <w:r w:rsidRPr="00C625DB">
        <w:rPr>
          <w:rFonts w:ascii="Arial" w:hAnsi="Arial" w:cs="Arial"/>
          <w:b/>
          <w:sz w:val="20"/>
          <w:szCs w:val="20"/>
        </w:rPr>
        <w:t xml:space="preserve"> </w:t>
      </w:r>
      <w:r w:rsidR="005444A6" w:rsidRPr="00C625DB">
        <w:rPr>
          <w:rFonts w:ascii="Arial" w:hAnsi="Arial" w:cs="Arial"/>
          <w:b/>
          <w:sz w:val="20"/>
          <w:szCs w:val="20"/>
        </w:rPr>
        <w:t>1</w:t>
      </w:r>
      <w:r w:rsidR="00257D97">
        <w:rPr>
          <w:rFonts w:ascii="Arial" w:hAnsi="Arial" w:cs="Arial"/>
          <w:b/>
          <w:sz w:val="20"/>
          <w:szCs w:val="20"/>
        </w:rPr>
        <w:t>59</w:t>
      </w:r>
    </w:p>
    <w:p w:rsidR="004338B6" w:rsidRPr="00C625DB" w:rsidRDefault="004338B6" w:rsidP="00C625DB">
      <w:pPr>
        <w:tabs>
          <w:tab w:val="left" w:pos="1276"/>
          <w:tab w:val="left" w:leader="dot" w:pos="9356"/>
        </w:tabs>
        <w:spacing w:after="0" w:line="240" w:lineRule="auto"/>
        <w:ind w:left="170"/>
        <w:rPr>
          <w:rFonts w:ascii="Arial" w:hAnsi="Arial" w:cs="Arial"/>
          <w:sz w:val="20"/>
          <w:szCs w:val="20"/>
        </w:rPr>
      </w:pPr>
      <w:r w:rsidRPr="00C625DB">
        <w:rPr>
          <w:rFonts w:ascii="Arial" w:hAnsi="Arial" w:cs="Arial"/>
          <w:i/>
          <w:sz w:val="20"/>
          <w:szCs w:val="20"/>
        </w:rPr>
        <w:t xml:space="preserve">              X.1.1.Alimente şi băuturi </w:t>
      </w:r>
      <w:r w:rsidRPr="00C625DB">
        <w:rPr>
          <w:rFonts w:ascii="Arial" w:hAnsi="Arial" w:cs="Arial"/>
          <w:i/>
          <w:sz w:val="20"/>
          <w:szCs w:val="20"/>
        </w:rPr>
        <w:tab/>
      </w:r>
      <w:r w:rsidR="009A58CA">
        <w:rPr>
          <w:rFonts w:ascii="Arial" w:hAnsi="Arial" w:cs="Arial"/>
          <w:i/>
          <w:sz w:val="20"/>
          <w:szCs w:val="20"/>
        </w:rPr>
        <w:t>.</w:t>
      </w:r>
      <w:r w:rsidR="005444A6" w:rsidRPr="00C625DB">
        <w:rPr>
          <w:rFonts w:ascii="Arial" w:hAnsi="Arial" w:cs="Arial"/>
          <w:sz w:val="20"/>
          <w:szCs w:val="20"/>
        </w:rPr>
        <w:t xml:space="preserve"> 1</w:t>
      </w:r>
      <w:r w:rsidR="00257D97">
        <w:rPr>
          <w:rFonts w:ascii="Arial" w:hAnsi="Arial" w:cs="Arial"/>
          <w:sz w:val="20"/>
          <w:szCs w:val="20"/>
        </w:rPr>
        <w:t>59</w:t>
      </w:r>
    </w:p>
    <w:p w:rsidR="004338B6" w:rsidRPr="00C625DB" w:rsidRDefault="004338B6" w:rsidP="00C625DB">
      <w:pPr>
        <w:tabs>
          <w:tab w:val="left" w:pos="1276"/>
          <w:tab w:val="left" w:leader="dot" w:pos="9356"/>
        </w:tabs>
        <w:spacing w:after="0" w:line="240" w:lineRule="auto"/>
        <w:ind w:left="170"/>
        <w:rPr>
          <w:rFonts w:ascii="Arial" w:hAnsi="Arial" w:cs="Arial"/>
          <w:sz w:val="20"/>
          <w:szCs w:val="20"/>
        </w:rPr>
      </w:pPr>
      <w:r w:rsidRPr="00C625DB">
        <w:rPr>
          <w:rFonts w:ascii="Arial" w:hAnsi="Arial" w:cs="Arial"/>
          <w:i/>
          <w:sz w:val="20"/>
          <w:szCs w:val="20"/>
        </w:rPr>
        <w:t xml:space="preserve">              X.1.2.Locuinţe </w:t>
      </w:r>
      <w:r w:rsidRPr="00C625DB">
        <w:rPr>
          <w:rFonts w:ascii="Arial" w:hAnsi="Arial" w:cs="Arial"/>
          <w:i/>
          <w:sz w:val="20"/>
          <w:szCs w:val="20"/>
        </w:rPr>
        <w:tab/>
      </w:r>
      <w:r w:rsidR="009A58CA">
        <w:rPr>
          <w:rFonts w:ascii="Arial" w:hAnsi="Arial" w:cs="Arial"/>
          <w:i/>
          <w:sz w:val="20"/>
          <w:szCs w:val="20"/>
        </w:rPr>
        <w:t>.</w:t>
      </w:r>
      <w:r w:rsidR="005444A6" w:rsidRPr="00C625DB">
        <w:rPr>
          <w:rFonts w:ascii="Arial" w:hAnsi="Arial" w:cs="Arial"/>
          <w:i/>
          <w:sz w:val="20"/>
          <w:szCs w:val="20"/>
        </w:rPr>
        <w:t xml:space="preserve"> </w:t>
      </w:r>
      <w:r w:rsidR="00AC2817" w:rsidRPr="00C625DB">
        <w:rPr>
          <w:rFonts w:ascii="Arial" w:hAnsi="Arial" w:cs="Arial"/>
          <w:sz w:val="20"/>
          <w:szCs w:val="20"/>
        </w:rPr>
        <w:t>1</w:t>
      </w:r>
      <w:r w:rsidR="00257D97">
        <w:rPr>
          <w:rFonts w:ascii="Arial" w:hAnsi="Arial" w:cs="Arial"/>
          <w:sz w:val="20"/>
          <w:szCs w:val="20"/>
        </w:rPr>
        <w:t>59</w:t>
      </w:r>
    </w:p>
    <w:p w:rsidR="004338B6" w:rsidRPr="00C625DB" w:rsidRDefault="004338B6" w:rsidP="00C625DB">
      <w:pPr>
        <w:tabs>
          <w:tab w:val="left" w:pos="1276"/>
          <w:tab w:val="left" w:leader="dot" w:pos="9356"/>
        </w:tabs>
        <w:spacing w:after="0" w:line="240" w:lineRule="auto"/>
        <w:ind w:left="170"/>
        <w:rPr>
          <w:rFonts w:ascii="Arial" w:hAnsi="Arial" w:cs="Arial"/>
          <w:sz w:val="20"/>
          <w:szCs w:val="20"/>
        </w:rPr>
      </w:pPr>
      <w:r w:rsidRPr="00C625DB">
        <w:rPr>
          <w:rFonts w:ascii="Arial" w:hAnsi="Arial" w:cs="Arial"/>
          <w:i/>
          <w:sz w:val="20"/>
          <w:szCs w:val="20"/>
        </w:rPr>
        <w:t xml:space="preserve">              X.1.3.Mobilitate </w:t>
      </w:r>
      <w:r w:rsidRPr="00C625DB">
        <w:rPr>
          <w:rFonts w:ascii="Arial" w:hAnsi="Arial" w:cs="Arial"/>
          <w:i/>
          <w:sz w:val="20"/>
          <w:szCs w:val="20"/>
        </w:rPr>
        <w:tab/>
      </w:r>
      <w:r w:rsidR="009A58CA">
        <w:rPr>
          <w:rFonts w:ascii="Arial" w:hAnsi="Arial" w:cs="Arial"/>
          <w:i/>
          <w:sz w:val="20"/>
          <w:szCs w:val="20"/>
        </w:rPr>
        <w:t>.</w:t>
      </w:r>
      <w:r w:rsidRPr="00C625DB">
        <w:rPr>
          <w:rFonts w:ascii="Arial" w:hAnsi="Arial" w:cs="Arial"/>
          <w:sz w:val="20"/>
          <w:szCs w:val="20"/>
        </w:rPr>
        <w:t xml:space="preserve"> </w:t>
      </w:r>
      <w:r w:rsidR="00AC2817" w:rsidRPr="00C625DB">
        <w:rPr>
          <w:rFonts w:ascii="Arial" w:hAnsi="Arial" w:cs="Arial"/>
          <w:sz w:val="20"/>
          <w:szCs w:val="20"/>
        </w:rPr>
        <w:t>16</w:t>
      </w:r>
      <w:r w:rsidR="00257D97">
        <w:rPr>
          <w:rFonts w:ascii="Arial" w:hAnsi="Arial" w:cs="Arial"/>
          <w:sz w:val="20"/>
          <w:szCs w:val="20"/>
        </w:rPr>
        <w:t>0</w:t>
      </w:r>
    </w:p>
    <w:p w:rsidR="004338B6" w:rsidRPr="00C625DB" w:rsidRDefault="004338B6" w:rsidP="00C625DB">
      <w:pPr>
        <w:tabs>
          <w:tab w:val="left" w:leader="dot" w:pos="9356"/>
        </w:tabs>
        <w:spacing w:after="0" w:line="240" w:lineRule="auto"/>
        <w:ind w:left="1135"/>
        <w:rPr>
          <w:rFonts w:ascii="Arial" w:hAnsi="Arial" w:cs="Arial"/>
          <w:sz w:val="20"/>
          <w:szCs w:val="20"/>
        </w:rPr>
      </w:pPr>
      <w:r w:rsidRPr="00C625DB">
        <w:rPr>
          <w:rFonts w:ascii="Arial" w:hAnsi="Arial" w:cs="Arial"/>
          <w:sz w:val="20"/>
          <w:szCs w:val="20"/>
        </w:rPr>
        <w:t xml:space="preserve">   X.1.3.1.Transportul de pasageri </w:t>
      </w:r>
      <w:r w:rsidRPr="00C625DB">
        <w:rPr>
          <w:rFonts w:ascii="Arial" w:hAnsi="Arial" w:cs="Arial"/>
          <w:sz w:val="20"/>
          <w:szCs w:val="20"/>
        </w:rPr>
        <w:tab/>
      </w:r>
      <w:r w:rsidR="009A58CA">
        <w:rPr>
          <w:rFonts w:ascii="Arial" w:hAnsi="Arial" w:cs="Arial"/>
          <w:sz w:val="20"/>
          <w:szCs w:val="20"/>
        </w:rPr>
        <w:t>.</w:t>
      </w:r>
      <w:r w:rsidR="00AC2817" w:rsidRPr="00C625DB">
        <w:rPr>
          <w:rFonts w:ascii="Arial" w:hAnsi="Arial" w:cs="Arial"/>
          <w:sz w:val="20"/>
          <w:szCs w:val="20"/>
        </w:rPr>
        <w:t xml:space="preserve"> 16</w:t>
      </w:r>
      <w:r w:rsidR="00257D97">
        <w:rPr>
          <w:rFonts w:ascii="Arial" w:hAnsi="Arial" w:cs="Arial"/>
          <w:sz w:val="20"/>
          <w:szCs w:val="20"/>
        </w:rPr>
        <w:t>0</w:t>
      </w:r>
    </w:p>
    <w:p w:rsidR="004338B6" w:rsidRPr="00C625DB" w:rsidRDefault="004338B6" w:rsidP="00C625DB">
      <w:pPr>
        <w:tabs>
          <w:tab w:val="left" w:leader="dot" w:pos="9356"/>
        </w:tabs>
        <w:spacing w:after="0" w:line="240" w:lineRule="auto"/>
        <w:ind w:left="1135"/>
        <w:rPr>
          <w:rFonts w:ascii="Arial" w:hAnsi="Arial" w:cs="Arial"/>
          <w:sz w:val="20"/>
          <w:szCs w:val="20"/>
        </w:rPr>
      </w:pPr>
      <w:r w:rsidRPr="00C625DB">
        <w:rPr>
          <w:rFonts w:ascii="Arial" w:hAnsi="Arial" w:cs="Arial"/>
          <w:sz w:val="20"/>
          <w:szCs w:val="20"/>
        </w:rPr>
        <w:t xml:space="preserve">   X.1.3.2.Transportul de mărfuri ...............................................................................</w:t>
      </w:r>
      <w:r w:rsidR="009A58CA">
        <w:rPr>
          <w:rFonts w:ascii="Arial" w:hAnsi="Arial" w:cs="Arial"/>
          <w:sz w:val="20"/>
          <w:szCs w:val="20"/>
        </w:rPr>
        <w:t>.</w:t>
      </w:r>
      <w:r w:rsidRPr="00C625DB">
        <w:rPr>
          <w:rFonts w:ascii="Arial" w:hAnsi="Arial" w:cs="Arial"/>
          <w:sz w:val="20"/>
          <w:szCs w:val="20"/>
        </w:rPr>
        <w:t>..</w:t>
      </w:r>
      <w:r w:rsidR="00AC2817" w:rsidRPr="00C625DB">
        <w:rPr>
          <w:rFonts w:ascii="Arial" w:hAnsi="Arial" w:cs="Arial"/>
          <w:sz w:val="20"/>
          <w:szCs w:val="20"/>
        </w:rPr>
        <w:t>..............  1</w:t>
      </w:r>
      <w:r w:rsidR="00257D97">
        <w:rPr>
          <w:rFonts w:ascii="Arial" w:hAnsi="Arial" w:cs="Arial"/>
          <w:sz w:val="20"/>
          <w:szCs w:val="20"/>
        </w:rPr>
        <w:t>62</w:t>
      </w:r>
    </w:p>
    <w:p w:rsidR="004338B6" w:rsidRPr="00C625DB" w:rsidRDefault="004338B6" w:rsidP="00C625DB">
      <w:pPr>
        <w:tabs>
          <w:tab w:val="left" w:leader="dot" w:pos="9356"/>
        </w:tabs>
        <w:spacing w:after="0" w:line="240" w:lineRule="auto"/>
        <w:ind w:left="567"/>
        <w:rPr>
          <w:rFonts w:ascii="Arial" w:hAnsi="Arial" w:cs="Arial"/>
          <w:sz w:val="20"/>
          <w:szCs w:val="20"/>
        </w:rPr>
      </w:pPr>
      <w:r w:rsidRPr="00C625DB">
        <w:rPr>
          <w:rFonts w:ascii="Arial" w:hAnsi="Arial" w:cs="Arial"/>
          <w:b/>
          <w:sz w:val="20"/>
          <w:szCs w:val="20"/>
        </w:rPr>
        <w:t>X.2.Factori care influenţează consumul .........................................................................</w:t>
      </w:r>
      <w:r w:rsidR="009A58CA">
        <w:rPr>
          <w:rFonts w:ascii="Arial" w:hAnsi="Arial" w:cs="Arial"/>
          <w:b/>
          <w:sz w:val="20"/>
          <w:szCs w:val="20"/>
        </w:rPr>
        <w:t>.</w:t>
      </w:r>
      <w:r w:rsidRPr="00C625DB">
        <w:rPr>
          <w:rFonts w:ascii="Arial" w:hAnsi="Arial" w:cs="Arial"/>
          <w:b/>
          <w:sz w:val="20"/>
          <w:szCs w:val="20"/>
        </w:rPr>
        <w:t>..</w:t>
      </w:r>
      <w:r w:rsidR="00AC2817" w:rsidRPr="00C625DB">
        <w:rPr>
          <w:rFonts w:ascii="Arial" w:hAnsi="Arial" w:cs="Arial"/>
          <w:b/>
          <w:sz w:val="20"/>
          <w:szCs w:val="20"/>
        </w:rPr>
        <w:t>.............</w:t>
      </w:r>
      <w:r w:rsidRPr="00C625DB">
        <w:rPr>
          <w:rFonts w:ascii="Arial" w:hAnsi="Arial" w:cs="Arial"/>
          <w:b/>
          <w:sz w:val="20"/>
          <w:szCs w:val="20"/>
        </w:rPr>
        <w:t>.</w:t>
      </w:r>
      <w:r w:rsidRPr="00C625DB">
        <w:rPr>
          <w:rFonts w:ascii="Arial" w:hAnsi="Arial" w:cs="Arial"/>
          <w:sz w:val="20"/>
          <w:szCs w:val="20"/>
        </w:rPr>
        <w:t xml:space="preserve"> </w:t>
      </w:r>
      <w:r w:rsidR="00AC2817" w:rsidRPr="00C625DB">
        <w:rPr>
          <w:rFonts w:ascii="Arial" w:hAnsi="Arial" w:cs="Arial"/>
          <w:sz w:val="20"/>
          <w:szCs w:val="20"/>
        </w:rPr>
        <w:t xml:space="preserve"> 1</w:t>
      </w:r>
      <w:r w:rsidR="00257D97">
        <w:rPr>
          <w:rFonts w:ascii="Arial" w:hAnsi="Arial" w:cs="Arial"/>
          <w:sz w:val="20"/>
          <w:szCs w:val="20"/>
        </w:rPr>
        <w:t>6</w:t>
      </w:r>
      <w:r w:rsidR="00AC2817" w:rsidRPr="00C625DB">
        <w:rPr>
          <w:rFonts w:ascii="Arial" w:hAnsi="Arial" w:cs="Arial"/>
          <w:sz w:val="20"/>
          <w:szCs w:val="20"/>
        </w:rPr>
        <w:t>2</w:t>
      </w:r>
    </w:p>
    <w:p w:rsidR="004338B6" w:rsidRPr="00C625DB" w:rsidRDefault="004338B6" w:rsidP="00C625DB">
      <w:pPr>
        <w:tabs>
          <w:tab w:val="left" w:leader="dot" w:pos="9356"/>
        </w:tabs>
        <w:spacing w:after="0" w:line="240" w:lineRule="auto"/>
        <w:ind w:left="567"/>
        <w:rPr>
          <w:rFonts w:ascii="Arial" w:hAnsi="Arial" w:cs="Arial"/>
          <w:sz w:val="20"/>
          <w:szCs w:val="20"/>
        </w:rPr>
      </w:pPr>
      <w:r w:rsidRPr="00C625DB">
        <w:rPr>
          <w:rFonts w:ascii="Arial" w:hAnsi="Arial" w:cs="Arial"/>
          <w:b/>
          <w:sz w:val="20"/>
          <w:szCs w:val="20"/>
        </w:rPr>
        <w:t xml:space="preserve">X.3.Presiunile asupra mediului cauzate de consum </w:t>
      </w:r>
      <w:r w:rsidRPr="00C625DB">
        <w:rPr>
          <w:rFonts w:ascii="Arial" w:hAnsi="Arial" w:cs="Arial"/>
          <w:b/>
          <w:sz w:val="20"/>
          <w:szCs w:val="20"/>
        </w:rPr>
        <w:tab/>
      </w:r>
      <w:r w:rsidR="00AC2817" w:rsidRPr="00C625DB">
        <w:rPr>
          <w:rFonts w:ascii="Arial" w:hAnsi="Arial" w:cs="Arial"/>
          <w:b/>
          <w:sz w:val="20"/>
          <w:szCs w:val="20"/>
        </w:rPr>
        <w:t xml:space="preserve">  1</w:t>
      </w:r>
      <w:r w:rsidR="00257D97">
        <w:rPr>
          <w:rFonts w:ascii="Arial" w:hAnsi="Arial" w:cs="Arial"/>
          <w:b/>
          <w:sz w:val="20"/>
          <w:szCs w:val="20"/>
        </w:rPr>
        <w:t>64</w:t>
      </w:r>
    </w:p>
    <w:p w:rsidR="004338B6" w:rsidRPr="00C625DB" w:rsidRDefault="004338B6" w:rsidP="00C625DB">
      <w:pPr>
        <w:tabs>
          <w:tab w:val="left" w:pos="1276"/>
          <w:tab w:val="left" w:leader="dot" w:pos="9356"/>
        </w:tabs>
        <w:spacing w:after="0" w:line="240" w:lineRule="auto"/>
        <w:ind w:left="993" w:hanging="823"/>
        <w:rPr>
          <w:rFonts w:ascii="Arial" w:hAnsi="Arial" w:cs="Arial"/>
          <w:sz w:val="20"/>
          <w:szCs w:val="20"/>
        </w:rPr>
      </w:pPr>
      <w:r w:rsidRPr="00C625DB">
        <w:rPr>
          <w:rFonts w:ascii="Arial" w:hAnsi="Arial" w:cs="Arial"/>
          <w:i/>
          <w:sz w:val="20"/>
          <w:szCs w:val="20"/>
        </w:rPr>
        <w:lastRenderedPageBreak/>
        <w:t xml:space="preserve">               X.3.1.Emisii de gaze cu efect de seră din sectorul rezidenţial </w:t>
      </w:r>
      <w:r w:rsidRPr="00C625DB">
        <w:rPr>
          <w:rFonts w:ascii="Arial" w:hAnsi="Arial" w:cs="Arial"/>
          <w:i/>
          <w:sz w:val="20"/>
          <w:szCs w:val="20"/>
        </w:rPr>
        <w:tab/>
        <w:t xml:space="preserve">  </w:t>
      </w:r>
      <w:r w:rsidR="00AC2817" w:rsidRPr="00C625DB">
        <w:rPr>
          <w:rFonts w:ascii="Arial" w:hAnsi="Arial" w:cs="Arial"/>
          <w:i/>
          <w:sz w:val="20"/>
          <w:szCs w:val="20"/>
        </w:rPr>
        <w:t>1</w:t>
      </w:r>
      <w:r w:rsidR="00257D97">
        <w:rPr>
          <w:rFonts w:ascii="Arial" w:hAnsi="Arial" w:cs="Arial"/>
          <w:i/>
          <w:sz w:val="20"/>
          <w:szCs w:val="20"/>
        </w:rPr>
        <w:t>64</w:t>
      </w:r>
      <w:r w:rsidRPr="00C625DB">
        <w:rPr>
          <w:rFonts w:ascii="Arial" w:hAnsi="Arial" w:cs="Arial"/>
          <w:i/>
          <w:sz w:val="20"/>
          <w:szCs w:val="20"/>
        </w:rPr>
        <w:t xml:space="preserve">                        X.3.2.Consumul de energie pe locuitor ..........................................................</w:t>
      </w:r>
      <w:r w:rsidRPr="00C625DB">
        <w:rPr>
          <w:rFonts w:ascii="Arial" w:hAnsi="Arial" w:cs="Arial"/>
          <w:sz w:val="20"/>
          <w:szCs w:val="20"/>
        </w:rPr>
        <w:t xml:space="preserve"> </w:t>
      </w:r>
      <w:r w:rsidR="00AC2817" w:rsidRPr="00C625DB">
        <w:rPr>
          <w:rFonts w:ascii="Arial" w:hAnsi="Arial" w:cs="Arial"/>
          <w:sz w:val="20"/>
          <w:szCs w:val="20"/>
        </w:rPr>
        <w:t>............................   1</w:t>
      </w:r>
      <w:r w:rsidR="00257D97">
        <w:rPr>
          <w:rFonts w:ascii="Arial" w:hAnsi="Arial" w:cs="Arial"/>
          <w:sz w:val="20"/>
          <w:szCs w:val="20"/>
        </w:rPr>
        <w:t>64</w:t>
      </w:r>
    </w:p>
    <w:p w:rsidR="004338B6" w:rsidRPr="00C625DB" w:rsidRDefault="004338B6" w:rsidP="00C625DB">
      <w:pPr>
        <w:tabs>
          <w:tab w:val="left" w:pos="1276"/>
          <w:tab w:val="left" w:leader="dot" w:pos="9356"/>
        </w:tabs>
        <w:spacing w:after="0" w:line="240" w:lineRule="auto"/>
        <w:ind w:left="993" w:hanging="823"/>
        <w:rPr>
          <w:rFonts w:ascii="Arial" w:hAnsi="Arial" w:cs="Arial"/>
          <w:sz w:val="20"/>
          <w:szCs w:val="20"/>
        </w:rPr>
      </w:pPr>
      <w:r w:rsidRPr="00C625DB">
        <w:rPr>
          <w:rFonts w:ascii="Arial" w:hAnsi="Arial" w:cs="Arial"/>
          <w:i/>
          <w:sz w:val="20"/>
          <w:szCs w:val="20"/>
        </w:rPr>
        <w:t xml:space="preserve">               X.3.3 Utilizarea materialelor </w:t>
      </w:r>
      <w:r w:rsidRPr="00C625DB">
        <w:rPr>
          <w:rFonts w:ascii="Arial" w:hAnsi="Arial" w:cs="Arial"/>
          <w:i/>
          <w:sz w:val="20"/>
          <w:szCs w:val="20"/>
        </w:rPr>
        <w:tab/>
      </w:r>
      <w:r w:rsidR="00AC2817" w:rsidRPr="00C625DB">
        <w:rPr>
          <w:rFonts w:ascii="Arial" w:hAnsi="Arial" w:cs="Arial"/>
          <w:i/>
          <w:sz w:val="20"/>
          <w:szCs w:val="20"/>
        </w:rPr>
        <w:t xml:space="preserve">  </w:t>
      </w:r>
      <w:r w:rsidR="00AC2817" w:rsidRPr="00C625DB">
        <w:rPr>
          <w:rFonts w:ascii="Arial" w:hAnsi="Arial" w:cs="Arial"/>
          <w:sz w:val="20"/>
          <w:szCs w:val="20"/>
        </w:rPr>
        <w:t>1</w:t>
      </w:r>
      <w:r w:rsidR="00257D97">
        <w:rPr>
          <w:rFonts w:ascii="Arial" w:hAnsi="Arial" w:cs="Arial"/>
          <w:sz w:val="20"/>
          <w:szCs w:val="20"/>
        </w:rPr>
        <w:t>6</w:t>
      </w:r>
      <w:r w:rsidR="00AC2817" w:rsidRPr="00C625DB">
        <w:rPr>
          <w:rFonts w:ascii="Arial" w:hAnsi="Arial" w:cs="Arial"/>
          <w:sz w:val="20"/>
          <w:szCs w:val="20"/>
        </w:rPr>
        <w:t>4</w:t>
      </w:r>
    </w:p>
    <w:p w:rsidR="004338B6" w:rsidRPr="00C625DB" w:rsidRDefault="004338B6" w:rsidP="00C625DB">
      <w:pPr>
        <w:tabs>
          <w:tab w:val="left" w:leader="dot" w:pos="9356"/>
        </w:tabs>
        <w:spacing w:after="0" w:line="240" w:lineRule="auto"/>
        <w:ind w:left="567"/>
        <w:rPr>
          <w:rFonts w:ascii="Arial" w:hAnsi="Arial" w:cs="Arial"/>
          <w:sz w:val="20"/>
          <w:szCs w:val="20"/>
        </w:rPr>
      </w:pPr>
      <w:r w:rsidRPr="00C625DB">
        <w:rPr>
          <w:rFonts w:ascii="Arial" w:hAnsi="Arial" w:cs="Arial"/>
          <w:b/>
          <w:sz w:val="20"/>
          <w:szCs w:val="20"/>
        </w:rPr>
        <w:t>X.4.Prognoze, politici şi măsuri privind consumul şi mediul  ........................................</w:t>
      </w:r>
      <w:r w:rsidRPr="00C625DB">
        <w:rPr>
          <w:rFonts w:ascii="Arial" w:hAnsi="Arial" w:cs="Arial"/>
          <w:sz w:val="20"/>
          <w:szCs w:val="20"/>
        </w:rPr>
        <w:t xml:space="preserve"> </w:t>
      </w:r>
      <w:r w:rsidR="00AC2817" w:rsidRPr="00C625DB">
        <w:rPr>
          <w:rFonts w:ascii="Arial" w:hAnsi="Arial" w:cs="Arial"/>
          <w:sz w:val="20"/>
          <w:szCs w:val="20"/>
        </w:rPr>
        <w:t>..............</w:t>
      </w:r>
      <w:r w:rsidRPr="00C625DB">
        <w:rPr>
          <w:rFonts w:ascii="Arial" w:hAnsi="Arial" w:cs="Arial"/>
          <w:sz w:val="20"/>
          <w:szCs w:val="20"/>
        </w:rPr>
        <w:t xml:space="preserve"> </w:t>
      </w:r>
      <w:r w:rsidR="00AC2817" w:rsidRPr="00C625DB">
        <w:rPr>
          <w:rFonts w:ascii="Arial" w:hAnsi="Arial" w:cs="Arial"/>
          <w:sz w:val="20"/>
          <w:szCs w:val="20"/>
        </w:rPr>
        <w:t xml:space="preserve"> 1</w:t>
      </w:r>
      <w:r w:rsidR="00257D97">
        <w:rPr>
          <w:rFonts w:ascii="Arial" w:hAnsi="Arial" w:cs="Arial"/>
          <w:sz w:val="20"/>
          <w:szCs w:val="20"/>
        </w:rPr>
        <w:t>66</w:t>
      </w:r>
    </w:p>
    <w:p w:rsidR="004338B6" w:rsidRPr="00C625DB" w:rsidRDefault="004338B6" w:rsidP="00C625DB">
      <w:pPr>
        <w:spacing w:after="0" w:line="240" w:lineRule="auto"/>
        <w:rPr>
          <w:rFonts w:ascii="Arial" w:hAnsi="Arial" w:cs="Arial"/>
          <w:sz w:val="20"/>
          <w:szCs w:val="20"/>
        </w:rPr>
      </w:pPr>
    </w:p>
    <w:p w:rsidR="004338B6" w:rsidRPr="00C625DB" w:rsidRDefault="004338B6"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2A781B" w:rsidRPr="00C625DB" w:rsidRDefault="002A781B" w:rsidP="00C625DB">
      <w:pPr>
        <w:spacing w:after="0" w:line="240" w:lineRule="auto"/>
        <w:jc w:val="center"/>
        <w:rPr>
          <w:rFonts w:ascii="Arial" w:hAnsi="Arial" w:cs="Arial"/>
          <w:b/>
          <w:sz w:val="24"/>
          <w:szCs w:val="24"/>
        </w:rPr>
      </w:pPr>
    </w:p>
    <w:p w:rsidR="00DA49AF" w:rsidRPr="00C625DB" w:rsidRDefault="00DA49AF" w:rsidP="00C625DB">
      <w:pPr>
        <w:spacing w:after="0" w:line="240" w:lineRule="auto"/>
        <w:jc w:val="center"/>
        <w:rPr>
          <w:rFonts w:ascii="Arial" w:hAnsi="Arial" w:cs="Arial"/>
          <w:sz w:val="24"/>
          <w:szCs w:val="24"/>
        </w:rPr>
      </w:pPr>
    </w:p>
    <w:p w:rsidR="00DA49AF" w:rsidRPr="00C625DB" w:rsidRDefault="00DA49AF" w:rsidP="00C625DB">
      <w:pPr>
        <w:spacing w:after="0" w:line="240" w:lineRule="auto"/>
        <w:jc w:val="center"/>
        <w:rPr>
          <w:rFonts w:ascii="Arial" w:hAnsi="Arial" w:cs="Arial"/>
          <w:sz w:val="24"/>
          <w:szCs w:val="24"/>
        </w:rPr>
      </w:pPr>
    </w:p>
    <w:p w:rsidR="006E6DDF" w:rsidRPr="00C625DB" w:rsidRDefault="006E6DDF" w:rsidP="00C625DB">
      <w:pPr>
        <w:spacing w:after="0" w:line="240" w:lineRule="auto"/>
        <w:jc w:val="center"/>
        <w:rPr>
          <w:rFonts w:ascii="Arial" w:hAnsi="Arial" w:cs="Arial"/>
          <w:sz w:val="24"/>
          <w:szCs w:val="24"/>
        </w:rPr>
      </w:pPr>
    </w:p>
    <w:p w:rsidR="005B14CF" w:rsidRDefault="005B14C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D62ED1" w:rsidRDefault="00D62ED1" w:rsidP="00C625DB">
      <w:pPr>
        <w:tabs>
          <w:tab w:val="left" w:pos="1260"/>
          <w:tab w:val="left" w:leader="dot" w:pos="8820"/>
        </w:tabs>
        <w:spacing w:after="0" w:line="240" w:lineRule="auto"/>
        <w:jc w:val="both"/>
        <w:rPr>
          <w:rFonts w:ascii="Arial" w:hAnsi="Arial" w:cs="Arial"/>
          <w:b/>
          <w:sz w:val="24"/>
          <w:szCs w:val="24"/>
        </w:rPr>
      </w:pPr>
    </w:p>
    <w:p w:rsidR="00D62ED1" w:rsidRDefault="00D62ED1" w:rsidP="00C625DB">
      <w:pPr>
        <w:tabs>
          <w:tab w:val="left" w:pos="1260"/>
          <w:tab w:val="left" w:leader="dot" w:pos="8820"/>
        </w:tabs>
        <w:spacing w:after="0" w:line="240" w:lineRule="auto"/>
        <w:jc w:val="both"/>
        <w:rPr>
          <w:rFonts w:ascii="Arial" w:hAnsi="Arial" w:cs="Arial"/>
          <w:b/>
          <w:sz w:val="24"/>
          <w:szCs w:val="24"/>
        </w:rPr>
      </w:pPr>
    </w:p>
    <w:p w:rsidR="00D62ED1" w:rsidRDefault="00D62ED1" w:rsidP="00C625DB">
      <w:pPr>
        <w:tabs>
          <w:tab w:val="left" w:pos="1260"/>
          <w:tab w:val="left" w:leader="dot" w:pos="8820"/>
        </w:tabs>
        <w:spacing w:after="0" w:line="240" w:lineRule="auto"/>
        <w:jc w:val="both"/>
        <w:rPr>
          <w:rFonts w:ascii="Arial" w:hAnsi="Arial" w:cs="Arial"/>
          <w:b/>
          <w:sz w:val="24"/>
          <w:szCs w:val="24"/>
        </w:rPr>
      </w:pPr>
    </w:p>
    <w:p w:rsidR="00D62ED1" w:rsidRDefault="00D62ED1" w:rsidP="00C625DB">
      <w:pPr>
        <w:tabs>
          <w:tab w:val="left" w:pos="1260"/>
          <w:tab w:val="left" w:leader="dot" w:pos="8820"/>
        </w:tabs>
        <w:spacing w:after="0" w:line="240" w:lineRule="auto"/>
        <w:jc w:val="both"/>
        <w:rPr>
          <w:rFonts w:ascii="Arial" w:hAnsi="Arial" w:cs="Arial"/>
          <w:b/>
          <w:sz w:val="24"/>
          <w:szCs w:val="24"/>
        </w:rPr>
      </w:pPr>
    </w:p>
    <w:p w:rsidR="00D62ED1" w:rsidRDefault="00D62ED1" w:rsidP="00C625DB">
      <w:pPr>
        <w:tabs>
          <w:tab w:val="left" w:pos="1260"/>
          <w:tab w:val="left" w:leader="dot" w:pos="8820"/>
        </w:tabs>
        <w:spacing w:after="0" w:line="240" w:lineRule="auto"/>
        <w:jc w:val="both"/>
        <w:rPr>
          <w:rFonts w:ascii="Arial" w:hAnsi="Arial" w:cs="Arial"/>
          <w:b/>
          <w:sz w:val="24"/>
          <w:szCs w:val="24"/>
        </w:rPr>
      </w:pPr>
    </w:p>
    <w:p w:rsidR="00D62ED1" w:rsidRDefault="00D62ED1" w:rsidP="00C625DB">
      <w:pPr>
        <w:tabs>
          <w:tab w:val="left" w:pos="1260"/>
          <w:tab w:val="left" w:leader="dot" w:pos="8820"/>
        </w:tabs>
        <w:spacing w:after="0" w:line="240" w:lineRule="auto"/>
        <w:jc w:val="both"/>
        <w:rPr>
          <w:rFonts w:ascii="Arial" w:hAnsi="Arial" w:cs="Arial"/>
          <w:b/>
          <w:sz w:val="24"/>
          <w:szCs w:val="24"/>
        </w:rPr>
      </w:pPr>
    </w:p>
    <w:p w:rsidR="00D62ED1" w:rsidRDefault="00D62ED1" w:rsidP="00C625DB">
      <w:pPr>
        <w:tabs>
          <w:tab w:val="left" w:pos="1260"/>
          <w:tab w:val="left" w:leader="dot" w:pos="8820"/>
        </w:tabs>
        <w:spacing w:after="0" w:line="240" w:lineRule="auto"/>
        <w:jc w:val="both"/>
        <w:rPr>
          <w:rFonts w:ascii="Arial" w:hAnsi="Arial" w:cs="Arial"/>
          <w:b/>
          <w:sz w:val="24"/>
          <w:szCs w:val="24"/>
        </w:rPr>
      </w:pPr>
    </w:p>
    <w:p w:rsidR="00D62ED1" w:rsidRDefault="00D62ED1" w:rsidP="00C625DB">
      <w:pPr>
        <w:tabs>
          <w:tab w:val="left" w:pos="1260"/>
          <w:tab w:val="left" w:leader="dot" w:pos="8820"/>
        </w:tabs>
        <w:spacing w:after="0" w:line="240" w:lineRule="auto"/>
        <w:jc w:val="both"/>
        <w:rPr>
          <w:rFonts w:ascii="Arial" w:hAnsi="Arial" w:cs="Arial"/>
          <w:b/>
          <w:sz w:val="24"/>
          <w:szCs w:val="24"/>
        </w:rPr>
      </w:pPr>
    </w:p>
    <w:p w:rsidR="00D62ED1" w:rsidRDefault="00D62ED1"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Default="004C036F" w:rsidP="00C625DB">
      <w:pPr>
        <w:tabs>
          <w:tab w:val="left" w:pos="1260"/>
          <w:tab w:val="left" w:leader="dot" w:pos="8820"/>
        </w:tabs>
        <w:spacing w:after="0" w:line="240" w:lineRule="auto"/>
        <w:jc w:val="both"/>
        <w:rPr>
          <w:rFonts w:ascii="Arial" w:hAnsi="Arial" w:cs="Arial"/>
          <w:b/>
          <w:sz w:val="24"/>
          <w:szCs w:val="24"/>
        </w:rPr>
      </w:pPr>
    </w:p>
    <w:p w:rsidR="004C036F" w:rsidRPr="00C625DB" w:rsidRDefault="004C036F" w:rsidP="00C625DB">
      <w:pPr>
        <w:tabs>
          <w:tab w:val="left" w:pos="1260"/>
          <w:tab w:val="left" w:leader="dot" w:pos="8820"/>
        </w:tabs>
        <w:spacing w:after="0" w:line="240" w:lineRule="auto"/>
        <w:jc w:val="both"/>
        <w:rPr>
          <w:rFonts w:ascii="Arial" w:hAnsi="Arial" w:cs="Arial"/>
          <w:b/>
          <w:sz w:val="24"/>
          <w:szCs w:val="24"/>
        </w:rPr>
      </w:pPr>
    </w:p>
    <w:p w:rsidR="00977BAE" w:rsidRPr="00C625DB" w:rsidRDefault="00601DC2" w:rsidP="00C625DB">
      <w:pPr>
        <w:tabs>
          <w:tab w:val="left" w:pos="1260"/>
          <w:tab w:val="left" w:leader="dot" w:pos="8820"/>
        </w:tabs>
        <w:spacing w:after="0" w:line="240" w:lineRule="auto"/>
        <w:jc w:val="both"/>
        <w:rPr>
          <w:rFonts w:ascii="Arial" w:hAnsi="Arial" w:cs="Arial"/>
          <w:b/>
          <w:sz w:val="32"/>
          <w:szCs w:val="32"/>
        </w:rPr>
      </w:pPr>
      <w:r>
        <w:rPr>
          <w:rFonts w:ascii="Arial" w:hAnsi="Arial" w:cs="Arial"/>
          <w:b/>
          <w:sz w:val="32"/>
          <w:szCs w:val="32"/>
        </w:rPr>
        <w:lastRenderedPageBreak/>
        <w:t xml:space="preserve">    </w:t>
      </w:r>
      <w:r w:rsidR="00977BAE" w:rsidRPr="00C625DB">
        <w:rPr>
          <w:rFonts w:ascii="Arial" w:hAnsi="Arial" w:cs="Arial"/>
          <w:b/>
          <w:sz w:val="32"/>
          <w:szCs w:val="32"/>
        </w:rPr>
        <w:t xml:space="preserve">I. </w:t>
      </w:r>
      <w:r w:rsidR="005B14CF" w:rsidRPr="00C625DB">
        <w:rPr>
          <w:rFonts w:ascii="Arial" w:hAnsi="Arial" w:cs="Arial"/>
          <w:b/>
          <w:sz w:val="32"/>
          <w:szCs w:val="32"/>
        </w:rPr>
        <w:t xml:space="preserve">   </w:t>
      </w:r>
      <w:r w:rsidR="00977BAE" w:rsidRPr="00C625DB">
        <w:rPr>
          <w:rFonts w:ascii="Arial" w:hAnsi="Arial" w:cs="Arial"/>
          <w:b/>
          <w:sz w:val="32"/>
          <w:szCs w:val="32"/>
        </w:rPr>
        <w:t xml:space="preserve">CALITATEA ȘI POLUAREA AERULUI </w:t>
      </w:r>
      <w:r>
        <w:rPr>
          <w:rFonts w:ascii="Arial" w:hAnsi="Arial" w:cs="Arial"/>
          <w:b/>
          <w:sz w:val="32"/>
          <w:szCs w:val="32"/>
        </w:rPr>
        <w:t>Î</w:t>
      </w:r>
      <w:r w:rsidR="00977BAE" w:rsidRPr="00C625DB">
        <w:rPr>
          <w:rFonts w:ascii="Arial" w:hAnsi="Arial" w:cs="Arial"/>
          <w:b/>
          <w:sz w:val="32"/>
          <w:szCs w:val="32"/>
        </w:rPr>
        <w:t>NCONJURĂTOR</w:t>
      </w:r>
    </w:p>
    <w:p w:rsidR="00977BAE" w:rsidRPr="00601DC2" w:rsidRDefault="00977BAE" w:rsidP="00C625DB">
      <w:pPr>
        <w:tabs>
          <w:tab w:val="left" w:pos="1260"/>
          <w:tab w:val="left" w:leader="dot" w:pos="8820"/>
        </w:tabs>
        <w:spacing w:after="0" w:line="240" w:lineRule="auto"/>
        <w:jc w:val="both"/>
        <w:rPr>
          <w:rFonts w:ascii="Arial" w:hAnsi="Arial" w:cs="Arial"/>
          <w:b/>
          <w:sz w:val="24"/>
          <w:szCs w:val="24"/>
        </w:rPr>
      </w:pPr>
    </w:p>
    <w:p w:rsidR="00977BAE" w:rsidRPr="00601DC2" w:rsidRDefault="00977BAE" w:rsidP="00C625DB">
      <w:pPr>
        <w:tabs>
          <w:tab w:val="left" w:pos="1260"/>
          <w:tab w:val="left" w:leader="dot" w:pos="8820"/>
        </w:tabs>
        <w:spacing w:after="0" w:line="240" w:lineRule="auto"/>
        <w:jc w:val="both"/>
        <w:rPr>
          <w:rFonts w:ascii="Arial" w:hAnsi="Arial" w:cs="Arial"/>
          <w:b/>
          <w:i/>
          <w:sz w:val="24"/>
          <w:szCs w:val="24"/>
        </w:rPr>
      </w:pPr>
      <w:r w:rsidRPr="00601DC2">
        <w:rPr>
          <w:rFonts w:ascii="Arial" w:hAnsi="Arial" w:cs="Arial"/>
          <w:b/>
          <w:sz w:val="24"/>
          <w:szCs w:val="24"/>
        </w:rPr>
        <w:t xml:space="preserve">  </w:t>
      </w:r>
      <w:r w:rsidR="00601DC2" w:rsidRPr="00601DC2">
        <w:rPr>
          <w:rFonts w:ascii="Arial" w:hAnsi="Arial" w:cs="Arial"/>
          <w:b/>
          <w:sz w:val="24"/>
          <w:szCs w:val="24"/>
        </w:rPr>
        <w:t xml:space="preserve">        </w:t>
      </w:r>
      <w:r w:rsidRPr="00601DC2">
        <w:rPr>
          <w:rFonts w:ascii="Arial" w:hAnsi="Arial" w:cs="Arial"/>
          <w:b/>
          <w:sz w:val="24"/>
          <w:szCs w:val="24"/>
        </w:rPr>
        <w:t xml:space="preserve"> I.1. </w:t>
      </w:r>
      <w:r w:rsidR="00730E88" w:rsidRPr="00601DC2">
        <w:rPr>
          <w:rFonts w:ascii="Arial" w:hAnsi="Arial" w:cs="Arial"/>
          <w:b/>
          <w:sz w:val="24"/>
          <w:szCs w:val="24"/>
        </w:rPr>
        <w:t>C</w:t>
      </w:r>
      <w:r w:rsidRPr="00601DC2">
        <w:rPr>
          <w:rFonts w:ascii="Arial" w:hAnsi="Arial" w:cs="Arial"/>
          <w:b/>
          <w:sz w:val="24"/>
          <w:szCs w:val="24"/>
        </w:rPr>
        <w:t xml:space="preserve">alitatea aerului </w:t>
      </w:r>
      <w:r w:rsidR="00730E88" w:rsidRPr="00601DC2">
        <w:rPr>
          <w:rFonts w:ascii="Arial" w:hAnsi="Arial" w:cs="Arial"/>
          <w:b/>
          <w:sz w:val="24"/>
          <w:szCs w:val="24"/>
        </w:rPr>
        <w:t>î</w:t>
      </w:r>
      <w:r w:rsidRPr="00601DC2">
        <w:rPr>
          <w:rFonts w:ascii="Arial" w:hAnsi="Arial" w:cs="Arial"/>
          <w:b/>
          <w:sz w:val="24"/>
          <w:szCs w:val="24"/>
        </w:rPr>
        <w:t>nconjurător</w:t>
      </w:r>
      <w:r w:rsidR="0033334A" w:rsidRPr="00601DC2">
        <w:rPr>
          <w:rFonts w:ascii="Arial" w:hAnsi="Arial" w:cs="Arial"/>
          <w:b/>
          <w:sz w:val="24"/>
          <w:szCs w:val="24"/>
        </w:rPr>
        <w:t>: stare și consecințe</w:t>
      </w:r>
      <w:r w:rsidRPr="00601DC2">
        <w:rPr>
          <w:rFonts w:ascii="Arial" w:hAnsi="Arial" w:cs="Arial"/>
          <w:b/>
          <w:sz w:val="24"/>
          <w:szCs w:val="24"/>
        </w:rPr>
        <w:t xml:space="preserve"> </w:t>
      </w:r>
    </w:p>
    <w:p w:rsidR="00332B9C" w:rsidRPr="00717595" w:rsidRDefault="00332B9C" w:rsidP="00332B9C">
      <w:pPr>
        <w:tabs>
          <w:tab w:val="left" w:pos="1260"/>
          <w:tab w:val="left" w:leader="dot" w:pos="8820"/>
        </w:tabs>
        <w:ind w:left="720" w:right="31"/>
        <w:jc w:val="both"/>
        <w:rPr>
          <w:rFonts w:ascii="Arial" w:hAnsi="Arial" w:cs="Arial"/>
          <w:b/>
          <w:sz w:val="24"/>
          <w:szCs w:val="24"/>
        </w:rPr>
      </w:pPr>
      <w:r>
        <w:rPr>
          <w:rFonts w:ascii="Arial" w:hAnsi="Arial" w:cs="Arial"/>
          <w:b/>
          <w:i/>
          <w:sz w:val="24"/>
          <w:szCs w:val="24"/>
        </w:rPr>
        <w:t xml:space="preserve">   </w:t>
      </w:r>
      <w:r w:rsidRPr="00717595">
        <w:rPr>
          <w:rFonts w:ascii="Arial" w:hAnsi="Arial" w:cs="Arial"/>
          <w:b/>
          <w:i/>
          <w:sz w:val="24"/>
          <w:szCs w:val="24"/>
        </w:rPr>
        <w:t>I.1.1.Starea de calitate a aerului înconjurător</w:t>
      </w:r>
    </w:p>
    <w:p w:rsidR="00332B9C" w:rsidRPr="00717595" w:rsidRDefault="00332B9C" w:rsidP="00332B9C">
      <w:pPr>
        <w:autoSpaceDE w:val="0"/>
        <w:autoSpaceDN w:val="0"/>
        <w:adjustRightInd w:val="0"/>
        <w:ind w:firstLine="720"/>
        <w:jc w:val="both"/>
        <w:rPr>
          <w:rFonts w:ascii="Arial" w:hAnsi="Arial" w:cs="Arial"/>
          <w:sz w:val="24"/>
          <w:szCs w:val="24"/>
        </w:rPr>
      </w:pPr>
      <w:r w:rsidRPr="00717595">
        <w:rPr>
          <w:rFonts w:ascii="Arial" w:hAnsi="Arial" w:cs="Arial"/>
          <w:sz w:val="24"/>
          <w:szCs w:val="24"/>
        </w:rPr>
        <w:t xml:space="preserve">La nivelul anului 2016, calitatea aerului în judeţul </w:t>
      </w:r>
      <w:r w:rsidR="00217620">
        <w:rPr>
          <w:rFonts w:ascii="Arial" w:hAnsi="Arial" w:cs="Arial"/>
          <w:sz w:val="24"/>
          <w:szCs w:val="24"/>
        </w:rPr>
        <w:t>Brăila</w:t>
      </w:r>
      <w:r w:rsidRPr="00717595">
        <w:rPr>
          <w:rFonts w:ascii="Arial" w:hAnsi="Arial" w:cs="Arial"/>
          <w:sz w:val="24"/>
          <w:szCs w:val="24"/>
        </w:rPr>
        <w:t xml:space="preserve"> a fost monitorizată prin intermediul staţiilor automate de monitorizare a calităţii aerului care fac parte din Reţeaua Naţională de Monitorizare a Calităţii Aerului. </w:t>
      </w:r>
    </w:p>
    <w:p w:rsidR="00332B9C" w:rsidRPr="00717595" w:rsidRDefault="003D04DD" w:rsidP="00332B9C">
      <w:pPr>
        <w:autoSpaceDE w:val="0"/>
        <w:autoSpaceDN w:val="0"/>
        <w:adjustRightInd w:val="0"/>
        <w:jc w:val="center"/>
        <w:rPr>
          <w:rFonts w:ascii="Arial" w:hAnsi="Arial" w:cs="Arial"/>
          <w:sz w:val="24"/>
          <w:szCs w:val="24"/>
        </w:rPr>
      </w:pPr>
      <w:r w:rsidRPr="003D04DD">
        <w:rPr>
          <w:rFonts w:ascii="Arial" w:hAnsi="Arial" w:cs="Arial"/>
          <w:noProof/>
          <w:sz w:val="24"/>
          <w:szCs w:val="24"/>
          <w:lang w:val="en-GB"/>
        </w:rPr>
        <w:pict>
          <v:shapetype id="_x0000_t202" coordsize="21600,21600" o:spt="202" path="m,l,21600r21600,l21600,xe">
            <v:stroke joinstyle="miter"/>
            <v:path gradientshapeok="t" o:connecttype="rect"/>
          </v:shapetype>
          <v:shape id="_x0000_s1030" type="#_x0000_t202" style="position:absolute;left:0;text-align:left;margin-left:297.6pt;margin-top:279.15pt;width:157.5pt;height:121.5pt;z-index:251673600;mso-width-relative:margin;mso-height-relative:margin" strokecolor="white [3212]">
            <v:textbox>
              <w:txbxContent>
                <w:p w:rsidR="009A58CA" w:rsidRPr="0083241E" w:rsidRDefault="009A58CA" w:rsidP="00332B9C">
                  <w:pPr>
                    <w:rPr>
                      <w:b/>
                    </w:rPr>
                  </w:pPr>
                  <w:r w:rsidRPr="0083241E">
                    <w:rPr>
                      <w:b/>
                    </w:rPr>
                    <w:t>Legendă</w:t>
                  </w:r>
                </w:p>
                <w:p w:rsidR="009A58CA" w:rsidRPr="0083241E" w:rsidRDefault="009A58CA" w:rsidP="00332B9C">
                  <w:pPr>
                    <w:pStyle w:val="ListParagraph"/>
                    <w:spacing w:line="276" w:lineRule="auto"/>
                    <w:ind w:left="0"/>
                  </w:pPr>
                  <w:r w:rsidRPr="0083241E">
                    <w:t>BR 1 – stație de trafic</w:t>
                  </w:r>
                </w:p>
                <w:p w:rsidR="009A58CA" w:rsidRPr="0083241E" w:rsidRDefault="009A58CA" w:rsidP="00332B9C">
                  <w:pPr>
                    <w:pStyle w:val="ListParagraph"/>
                    <w:spacing w:line="276" w:lineRule="auto"/>
                    <w:ind w:left="0"/>
                  </w:pPr>
                  <w:r w:rsidRPr="0083241E">
                    <w:t>BR 2 – stație fond urban</w:t>
                  </w:r>
                </w:p>
                <w:p w:rsidR="009A58CA" w:rsidRPr="0083241E" w:rsidRDefault="009A58CA" w:rsidP="00332B9C">
                  <w:pPr>
                    <w:pStyle w:val="ListParagraph"/>
                    <w:spacing w:line="276" w:lineRule="auto"/>
                    <w:ind w:left="0"/>
                  </w:pPr>
                  <w:r w:rsidRPr="0083241E">
                    <w:t>BR 3 – stație fond suburban</w:t>
                  </w:r>
                </w:p>
                <w:p w:rsidR="009A58CA" w:rsidRDefault="009A58CA" w:rsidP="00332B9C">
                  <w:pPr>
                    <w:pStyle w:val="ListParagraph"/>
                    <w:spacing w:line="276" w:lineRule="auto"/>
                    <w:ind w:left="0"/>
                  </w:pPr>
                  <w:r w:rsidRPr="0083241E">
                    <w:t>BR 4 – stație industrial 1</w:t>
                  </w:r>
                </w:p>
                <w:p w:rsidR="009A58CA" w:rsidRDefault="009A58CA" w:rsidP="00332B9C">
                  <w:pPr>
                    <w:pStyle w:val="ListParagraph"/>
                    <w:spacing w:line="276" w:lineRule="auto"/>
                    <w:ind w:left="0"/>
                  </w:pPr>
                  <w:r w:rsidRPr="00456EC8">
                    <w:t>BR 5 – stație industrial 2</w:t>
                  </w:r>
                </w:p>
                <w:p w:rsidR="009A58CA" w:rsidRPr="00DC243A" w:rsidRDefault="009A58CA" w:rsidP="00332B9C"/>
              </w:txbxContent>
            </v:textbox>
          </v:shape>
        </w:pict>
      </w:r>
      <w:r w:rsidR="00332B9C" w:rsidRPr="00717595">
        <w:rPr>
          <w:rFonts w:ascii="Arial" w:hAnsi="Arial" w:cs="Arial"/>
          <w:noProof/>
          <w:sz w:val="24"/>
          <w:szCs w:val="24"/>
          <w:lang w:eastAsia="ro-RO"/>
        </w:rPr>
        <w:drawing>
          <wp:inline distT="0" distB="0" distL="0" distR="0">
            <wp:extent cx="5267325" cy="7099439"/>
            <wp:effectExtent l="19050" t="0" r="0" b="0"/>
            <wp:docPr id="122" name="Imagine 8" descr="pozitionare st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tionare statii.jpg"/>
                    <pic:cNvPicPr/>
                  </pic:nvPicPr>
                  <pic:blipFill>
                    <a:blip r:embed="rId8"/>
                    <a:stretch>
                      <a:fillRect/>
                    </a:stretch>
                  </pic:blipFill>
                  <pic:spPr>
                    <a:xfrm>
                      <a:off x="0" y="0"/>
                      <a:ext cx="5280878" cy="7117707"/>
                    </a:xfrm>
                    <a:prstGeom prst="rect">
                      <a:avLst/>
                    </a:prstGeom>
                  </pic:spPr>
                </pic:pic>
              </a:graphicData>
            </a:graphic>
          </wp:inline>
        </w:drawing>
      </w:r>
    </w:p>
    <w:p w:rsidR="00332B9C" w:rsidRPr="00717595" w:rsidRDefault="00332B9C" w:rsidP="00332B9C">
      <w:pPr>
        <w:tabs>
          <w:tab w:val="left" w:pos="1260"/>
          <w:tab w:val="left" w:leader="dot" w:pos="8820"/>
        </w:tabs>
        <w:ind w:right="31" w:firstLine="720"/>
        <w:jc w:val="both"/>
        <w:rPr>
          <w:rFonts w:ascii="Arial" w:hAnsi="Arial" w:cs="Arial"/>
          <w:sz w:val="24"/>
          <w:szCs w:val="24"/>
        </w:rPr>
      </w:pPr>
    </w:p>
    <w:p w:rsidR="00332B9C" w:rsidRPr="00717595" w:rsidRDefault="00332B9C" w:rsidP="00332B9C">
      <w:pPr>
        <w:tabs>
          <w:tab w:val="left" w:pos="1276"/>
          <w:tab w:val="left" w:leader="dot" w:pos="8820"/>
        </w:tabs>
        <w:ind w:right="31" w:firstLine="720"/>
        <w:jc w:val="both"/>
        <w:rPr>
          <w:rFonts w:ascii="Arial" w:hAnsi="Arial" w:cs="Arial"/>
          <w:sz w:val="24"/>
          <w:szCs w:val="24"/>
        </w:rPr>
      </w:pPr>
      <w:r w:rsidRPr="00717595">
        <w:rPr>
          <w:rFonts w:ascii="Arial" w:hAnsi="Arial" w:cs="Arial"/>
          <w:sz w:val="24"/>
          <w:szCs w:val="24"/>
        </w:rPr>
        <w:lastRenderedPageBreak/>
        <w:t>Reţeaua automată este formată din 5 puncte de prelevare a probelor, amplasate după cum urmează:</w:t>
      </w:r>
    </w:p>
    <w:p w:rsidR="00332B9C" w:rsidRPr="00717595" w:rsidRDefault="00332B9C" w:rsidP="00332B9C">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sidR="00217620">
        <w:rPr>
          <w:rFonts w:ascii="Arial" w:hAnsi="Arial" w:cs="Arial"/>
          <w:b/>
          <w:sz w:val="24"/>
          <w:szCs w:val="24"/>
        </w:rPr>
        <w:t>Brăila</w:t>
      </w:r>
      <w:r w:rsidRPr="00717595">
        <w:rPr>
          <w:rFonts w:ascii="Arial" w:hAnsi="Arial" w:cs="Arial"/>
          <w:b/>
          <w:sz w:val="24"/>
          <w:szCs w:val="24"/>
        </w:rPr>
        <w:t xml:space="preserve"> 1 - </w:t>
      </w:r>
      <w:r w:rsidRPr="00717595">
        <w:rPr>
          <w:rFonts w:ascii="Arial" w:hAnsi="Arial" w:cs="Arial"/>
          <w:bCs/>
          <w:sz w:val="24"/>
          <w:szCs w:val="24"/>
        </w:rPr>
        <w:t>Staţia de monitorizare a calităţii aerului de tip – trafic, care este amplasată pe Calea Galaţi, nr. 53, măsoară nivelul de poluare determinat de traficul intens din zonă. 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PM</w:t>
      </w:r>
      <w:r w:rsidRPr="009F4B16">
        <w:rPr>
          <w:rFonts w:ascii="Arial" w:hAnsi="Arial" w:cs="Arial"/>
          <w:bCs/>
          <w:sz w:val="24"/>
          <w:szCs w:val="24"/>
          <w:vertAlign w:val="subscript"/>
        </w:rPr>
        <w:t>10</w:t>
      </w:r>
      <w:r w:rsidRPr="00717595">
        <w:rPr>
          <w:rFonts w:ascii="Arial" w:hAnsi="Arial" w:cs="Arial"/>
          <w:bCs/>
          <w:sz w:val="24"/>
          <w:szCs w:val="24"/>
        </w:rPr>
        <w:t xml:space="preserve">, </w:t>
      </w:r>
      <w:r w:rsidR="00B32FD1">
        <w:rPr>
          <w:rFonts w:ascii="Arial" w:hAnsi="Arial" w:cs="Arial"/>
          <w:bCs/>
          <w:sz w:val="24"/>
          <w:szCs w:val="24"/>
        </w:rPr>
        <w:t>benzen.</w:t>
      </w:r>
    </w:p>
    <w:p w:rsidR="00332B9C" w:rsidRPr="00717595" w:rsidRDefault="00332B9C" w:rsidP="00332B9C">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sidR="007C1699">
        <w:rPr>
          <w:rFonts w:ascii="Arial" w:hAnsi="Arial" w:cs="Arial"/>
          <w:b/>
          <w:sz w:val="24"/>
          <w:szCs w:val="24"/>
        </w:rPr>
        <w:t>BR</w:t>
      </w:r>
      <w:r w:rsidRPr="00717595">
        <w:rPr>
          <w:rFonts w:ascii="Arial" w:hAnsi="Arial" w:cs="Arial"/>
          <w:b/>
          <w:sz w:val="24"/>
          <w:szCs w:val="24"/>
        </w:rPr>
        <w:t>aila 2 -</w:t>
      </w:r>
      <w:r w:rsidRPr="00717595">
        <w:rPr>
          <w:rFonts w:ascii="Arial" w:hAnsi="Arial" w:cs="Arial"/>
          <w:bCs/>
          <w:sz w:val="24"/>
          <w:szCs w:val="24"/>
        </w:rPr>
        <w:t>Staţia de monitorizare a calităţii aerului de tip – urban, care este amplasată în Piaţa Independenţei nr. 1, măsoară nivelul de poluare la expunerea populaţiei la combinaţii de poluanţi cu acţiune sinergică. 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O</w:t>
      </w:r>
      <w:r w:rsidRPr="00717595">
        <w:rPr>
          <w:rFonts w:ascii="Arial" w:hAnsi="Arial" w:cs="Arial"/>
          <w:bCs/>
          <w:sz w:val="24"/>
          <w:szCs w:val="24"/>
          <w:vertAlign w:val="subscript"/>
        </w:rPr>
        <w:t>3</w:t>
      </w:r>
      <w:r w:rsidRPr="00717595">
        <w:rPr>
          <w:rFonts w:ascii="Arial" w:hAnsi="Arial" w:cs="Arial"/>
          <w:bCs/>
          <w:sz w:val="24"/>
          <w:szCs w:val="24"/>
        </w:rPr>
        <w:t>, PM</w:t>
      </w:r>
      <w:r w:rsidRPr="009F4B16">
        <w:rPr>
          <w:rFonts w:ascii="Arial" w:hAnsi="Arial" w:cs="Arial"/>
          <w:bCs/>
          <w:sz w:val="24"/>
          <w:szCs w:val="24"/>
          <w:vertAlign w:val="subscript"/>
        </w:rPr>
        <w:t>10</w:t>
      </w:r>
      <w:r w:rsidRPr="00717595">
        <w:rPr>
          <w:rFonts w:ascii="Arial" w:hAnsi="Arial" w:cs="Arial"/>
          <w:bCs/>
          <w:sz w:val="24"/>
          <w:szCs w:val="24"/>
        </w:rPr>
        <w:t>, PM</w:t>
      </w:r>
      <w:r w:rsidRPr="00156E35">
        <w:rPr>
          <w:rFonts w:ascii="Arial" w:hAnsi="Arial" w:cs="Arial"/>
          <w:bCs/>
          <w:sz w:val="24"/>
          <w:szCs w:val="24"/>
          <w:vertAlign w:val="subscript"/>
        </w:rPr>
        <w:t>2,5</w:t>
      </w:r>
      <w:r w:rsidRPr="00717595">
        <w:rPr>
          <w:rFonts w:ascii="Arial" w:hAnsi="Arial" w:cs="Arial"/>
          <w:bCs/>
          <w:sz w:val="24"/>
          <w:szCs w:val="24"/>
        </w:rPr>
        <w:t xml:space="preserve">, </w:t>
      </w:r>
      <w:r w:rsidR="00B32FD1">
        <w:rPr>
          <w:rFonts w:ascii="Arial" w:hAnsi="Arial" w:cs="Arial"/>
          <w:bCs/>
          <w:sz w:val="24"/>
          <w:szCs w:val="24"/>
        </w:rPr>
        <w:t>benzen</w:t>
      </w:r>
      <w:r w:rsidRPr="00717595">
        <w:rPr>
          <w:rFonts w:ascii="Arial" w:hAnsi="Arial" w:cs="Arial"/>
          <w:bCs/>
          <w:sz w:val="24"/>
          <w:szCs w:val="24"/>
        </w:rPr>
        <w:t>, parametrii meteo.</w:t>
      </w:r>
    </w:p>
    <w:p w:rsidR="00332B9C" w:rsidRPr="00717595" w:rsidRDefault="00332B9C" w:rsidP="00332B9C">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sidR="00217620">
        <w:rPr>
          <w:rFonts w:ascii="Arial" w:hAnsi="Arial" w:cs="Arial"/>
          <w:b/>
          <w:sz w:val="24"/>
          <w:szCs w:val="24"/>
        </w:rPr>
        <w:t>Brăila</w:t>
      </w:r>
      <w:r w:rsidRPr="00717595">
        <w:rPr>
          <w:rFonts w:ascii="Arial" w:hAnsi="Arial" w:cs="Arial"/>
          <w:b/>
          <w:sz w:val="24"/>
          <w:szCs w:val="24"/>
        </w:rPr>
        <w:t xml:space="preserve"> 3 - </w:t>
      </w:r>
      <w:r w:rsidRPr="00717595">
        <w:rPr>
          <w:rFonts w:ascii="Arial" w:hAnsi="Arial" w:cs="Arial"/>
          <w:sz w:val="24"/>
          <w:szCs w:val="24"/>
        </w:rPr>
        <w:t xml:space="preserve">Staţia </w:t>
      </w:r>
      <w:r w:rsidRPr="00717595">
        <w:rPr>
          <w:rFonts w:ascii="Arial" w:hAnsi="Arial" w:cs="Arial"/>
          <w:bCs/>
          <w:sz w:val="24"/>
          <w:szCs w:val="24"/>
        </w:rPr>
        <w:t>de monitorizare a calităţii aerului de tip –</w:t>
      </w:r>
      <w:r w:rsidRPr="00717595">
        <w:rPr>
          <w:rFonts w:ascii="Arial" w:hAnsi="Arial" w:cs="Arial"/>
          <w:sz w:val="24"/>
          <w:szCs w:val="24"/>
        </w:rPr>
        <w:t xml:space="preserve"> suburban, care este situată în Comuna Cazasu, jud. </w:t>
      </w:r>
      <w:r w:rsidR="00217620">
        <w:rPr>
          <w:rFonts w:ascii="Arial" w:hAnsi="Arial" w:cs="Arial"/>
          <w:sz w:val="24"/>
          <w:szCs w:val="24"/>
        </w:rPr>
        <w:t>Brăila</w:t>
      </w:r>
      <w:r w:rsidRPr="00717595">
        <w:rPr>
          <w:rFonts w:ascii="Arial" w:hAnsi="Arial" w:cs="Arial"/>
          <w:sz w:val="24"/>
          <w:szCs w:val="24"/>
        </w:rPr>
        <w:t xml:space="preserve">, </w:t>
      </w:r>
      <w:r w:rsidRPr="00717595">
        <w:rPr>
          <w:rFonts w:ascii="Arial" w:hAnsi="Arial" w:cs="Arial"/>
          <w:bCs/>
          <w:sz w:val="24"/>
          <w:szCs w:val="24"/>
        </w:rPr>
        <w:t>măsoară nivelul de poluare la expunerea populaţiei şi vegetaţiei de la maginea aglomerării. 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O</w:t>
      </w:r>
      <w:r w:rsidRPr="00717595">
        <w:rPr>
          <w:rFonts w:ascii="Arial" w:hAnsi="Arial" w:cs="Arial"/>
          <w:bCs/>
          <w:sz w:val="24"/>
          <w:szCs w:val="24"/>
          <w:vertAlign w:val="subscript"/>
        </w:rPr>
        <w:t>3</w:t>
      </w:r>
      <w:r w:rsidRPr="00717595">
        <w:rPr>
          <w:rFonts w:ascii="Arial" w:hAnsi="Arial" w:cs="Arial"/>
          <w:bCs/>
          <w:sz w:val="24"/>
          <w:szCs w:val="24"/>
        </w:rPr>
        <w:t xml:space="preserve">, PM10, </w:t>
      </w:r>
      <w:r w:rsidR="00B32FD1">
        <w:rPr>
          <w:rFonts w:ascii="Arial" w:hAnsi="Arial" w:cs="Arial"/>
          <w:bCs/>
          <w:sz w:val="24"/>
          <w:szCs w:val="24"/>
        </w:rPr>
        <w:t>benzen</w:t>
      </w:r>
      <w:r w:rsidRPr="00717595">
        <w:rPr>
          <w:rFonts w:ascii="Arial" w:hAnsi="Arial" w:cs="Arial"/>
          <w:bCs/>
          <w:sz w:val="24"/>
          <w:szCs w:val="24"/>
        </w:rPr>
        <w:t>, parametrii meteo.</w:t>
      </w:r>
    </w:p>
    <w:p w:rsidR="00332B9C" w:rsidRPr="00717595" w:rsidRDefault="00332B9C" w:rsidP="00332B9C">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sidR="00217620">
        <w:rPr>
          <w:rFonts w:ascii="Arial" w:hAnsi="Arial" w:cs="Arial"/>
          <w:b/>
          <w:sz w:val="24"/>
          <w:szCs w:val="24"/>
        </w:rPr>
        <w:t>Brăila</w:t>
      </w:r>
      <w:r w:rsidRPr="00717595">
        <w:rPr>
          <w:rFonts w:ascii="Arial" w:hAnsi="Arial" w:cs="Arial"/>
          <w:b/>
          <w:sz w:val="24"/>
          <w:szCs w:val="24"/>
        </w:rPr>
        <w:t xml:space="preserve"> 4 - </w:t>
      </w:r>
      <w:r w:rsidRPr="00717595">
        <w:rPr>
          <w:rFonts w:ascii="Arial" w:hAnsi="Arial" w:cs="Arial"/>
          <w:sz w:val="24"/>
          <w:szCs w:val="24"/>
        </w:rPr>
        <w:t xml:space="preserve">Staţia </w:t>
      </w:r>
      <w:r w:rsidRPr="00717595">
        <w:rPr>
          <w:rFonts w:ascii="Arial" w:hAnsi="Arial" w:cs="Arial"/>
          <w:bCs/>
          <w:sz w:val="24"/>
          <w:szCs w:val="24"/>
        </w:rPr>
        <w:t xml:space="preserve">de monitorizare a calităţii aerului de tip – industrial,care </w:t>
      </w:r>
      <w:r w:rsidRPr="00717595">
        <w:rPr>
          <w:rFonts w:ascii="Arial" w:hAnsi="Arial" w:cs="Arial"/>
          <w:sz w:val="24"/>
          <w:szCs w:val="24"/>
        </w:rPr>
        <w:t>este amplasată pe Şoseaua Baldovineşti (Staţia Nord), pentru determinarea nivelului de poluarea influenţat în special de surse industriale.</w:t>
      </w:r>
      <w:r w:rsidRPr="00717595">
        <w:rPr>
          <w:rFonts w:ascii="Arial" w:hAnsi="Arial" w:cs="Arial"/>
          <w:bCs/>
          <w:sz w:val="24"/>
          <w:szCs w:val="24"/>
        </w:rPr>
        <w:t>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O</w:t>
      </w:r>
      <w:r w:rsidRPr="00717595">
        <w:rPr>
          <w:rFonts w:ascii="Arial" w:hAnsi="Arial" w:cs="Arial"/>
          <w:bCs/>
          <w:sz w:val="24"/>
          <w:szCs w:val="24"/>
          <w:vertAlign w:val="subscript"/>
        </w:rPr>
        <w:t>3</w:t>
      </w:r>
      <w:r w:rsidRPr="00717595">
        <w:rPr>
          <w:rFonts w:ascii="Arial" w:hAnsi="Arial" w:cs="Arial"/>
          <w:bCs/>
          <w:sz w:val="24"/>
          <w:szCs w:val="24"/>
        </w:rPr>
        <w:t>, PM10, parametrii meteo.</w:t>
      </w:r>
    </w:p>
    <w:p w:rsidR="00332B9C" w:rsidRPr="00717595" w:rsidRDefault="00332B9C" w:rsidP="00332B9C">
      <w:pPr>
        <w:numPr>
          <w:ilvl w:val="0"/>
          <w:numId w:val="2"/>
        </w:numPr>
        <w:tabs>
          <w:tab w:val="left" w:pos="1440"/>
        </w:tabs>
        <w:spacing w:after="0" w:line="240" w:lineRule="auto"/>
        <w:jc w:val="both"/>
        <w:rPr>
          <w:rFonts w:ascii="Arial" w:hAnsi="Arial" w:cs="Arial"/>
          <w:sz w:val="24"/>
          <w:szCs w:val="24"/>
        </w:rPr>
      </w:pPr>
      <w:r w:rsidRPr="00717595">
        <w:rPr>
          <w:rFonts w:ascii="Arial" w:hAnsi="Arial" w:cs="Arial"/>
          <w:b/>
          <w:sz w:val="24"/>
          <w:szCs w:val="24"/>
        </w:rPr>
        <w:t xml:space="preserve">Staţia </w:t>
      </w:r>
      <w:r w:rsidR="00217620">
        <w:rPr>
          <w:rFonts w:ascii="Arial" w:hAnsi="Arial" w:cs="Arial"/>
          <w:b/>
          <w:sz w:val="24"/>
          <w:szCs w:val="24"/>
        </w:rPr>
        <w:t>Brăila</w:t>
      </w:r>
      <w:r w:rsidRPr="00717595">
        <w:rPr>
          <w:rFonts w:ascii="Arial" w:hAnsi="Arial" w:cs="Arial"/>
          <w:b/>
          <w:sz w:val="24"/>
          <w:szCs w:val="24"/>
        </w:rPr>
        <w:t xml:space="preserve"> 5 - </w:t>
      </w:r>
      <w:r w:rsidRPr="00717595">
        <w:rPr>
          <w:rFonts w:ascii="Arial" w:hAnsi="Arial" w:cs="Arial"/>
          <w:sz w:val="24"/>
          <w:szCs w:val="24"/>
        </w:rPr>
        <w:t xml:space="preserve">Staţia </w:t>
      </w:r>
      <w:r w:rsidRPr="00717595">
        <w:rPr>
          <w:rFonts w:ascii="Arial" w:hAnsi="Arial" w:cs="Arial"/>
          <w:bCs/>
          <w:sz w:val="24"/>
          <w:szCs w:val="24"/>
        </w:rPr>
        <w:t xml:space="preserve">de monitorizare a calităţii aerului de tip – industrial, care </w:t>
      </w:r>
      <w:r w:rsidRPr="00717595">
        <w:rPr>
          <w:rFonts w:ascii="Arial" w:hAnsi="Arial" w:cs="Arial"/>
          <w:sz w:val="24"/>
          <w:szCs w:val="24"/>
        </w:rPr>
        <w:t>este amplasată în Comuna Chiscani, în vecinătatea SC. CET S.A., pentru determinarea nivelului de poluarea influenţat în special de surse industriale.</w:t>
      </w:r>
      <w:r w:rsidRPr="00717595">
        <w:rPr>
          <w:rFonts w:ascii="Arial" w:hAnsi="Arial" w:cs="Arial"/>
          <w:bCs/>
          <w:sz w:val="24"/>
          <w:szCs w:val="24"/>
        </w:rPr>
        <w:t>Poluanţii monitorizaţi NO</w:t>
      </w:r>
      <w:r w:rsidRPr="00717595">
        <w:rPr>
          <w:rFonts w:ascii="Arial" w:hAnsi="Arial" w:cs="Arial"/>
          <w:bCs/>
          <w:sz w:val="24"/>
          <w:szCs w:val="24"/>
          <w:vertAlign w:val="subscript"/>
        </w:rPr>
        <w:t>x</w:t>
      </w:r>
      <w:r w:rsidRPr="00717595">
        <w:rPr>
          <w:rFonts w:ascii="Arial" w:hAnsi="Arial" w:cs="Arial"/>
          <w:bCs/>
          <w:sz w:val="24"/>
          <w:szCs w:val="24"/>
        </w:rPr>
        <w:t>, SO</w:t>
      </w:r>
      <w:r w:rsidRPr="00717595">
        <w:rPr>
          <w:rFonts w:ascii="Arial" w:hAnsi="Arial" w:cs="Arial"/>
          <w:bCs/>
          <w:sz w:val="24"/>
          <w:szCs w:val="24"/>
          <w:vertAlign w:val="subscript"/>
        </w:rPr>
        <w:t>2</w:t>
      </w:r>
      <w:r w:rsidRPr="00717595">
        <w:rPr>
          <w:rFonts w:ascii="Arial" w:hAnsi="Arial" w:cs="Arial"/>
          <w:bCs/>
          <w:sz w:val="24"/>
          <w:szCs w:val="24"/>
        </w:rPr>
        <w:t>, CO, O</w:t>
      </w:r>
      <w:r w:rsidRPr="00717595">
        <w:rPr>
          <w:rFonts w:ascii="Arial" w:hAnsi="Arial" w:cs="Arial"/>
          <w:bCs/>
          <w:sz w:val="24"/>
          <w:szCs w:val="24"/>
          <w:vertAlign w:val="subscript"/>
        </w:rPr>
        <w:t>3</w:t>
      </w:r>
      <w:r w:rsidRPr="00717595">
        <w:rPr>
          <w:rFonts w:ascii="Arial" w:hAnsi="Arial" w:cs="Arial"/>
          <w:bCs/>
          <w:sz w:val="24"/>
          <w:szCs w:val="24"/>
        </w:rPr>
        <w:t>, PM</w:t>
      </w:r>
      <w:r w:rsidRPr="009F4B16">
        <w:rPr>
          <w:rFonts w:ascii="Arial" w:hAnsi="Arial" w:cs="Arial"/>
          <w:bCs/>
          <w:sz w:val="24"/>
          <w:szCs w:val="24"/>
          <w:vertAlign w:val="subscript"/>
        </w:rPr>
        <w:t>10</w:t>
      </w:r>
      <w:r w:rsidRPr="00717595">
        <w:rPr>
          <w:rFonts w:ascii="Arial" w:hAnsi="Arial" w:cs="Arial"/>
          <w:bCs/>
          <w:sz w:val="24"/>
          <w:szCs w:val="24"/>
        </w:rPr>
        <w:t>, COV, parametrii meteo</w:t>
      </w:r>
    </w:p>
    <w:p w:rsidR="00332B9C" w:rsidRPr="00717595" w:rsidRDefault="00332B9C" w:rsidP="00332B9C">
      <w:pPr>
        <w:autoSpaceDE w:val="0"/>
        <w:autoSpaceDN w:val="0"/>
        <w:adjustRightInd w:val="0"/>
        <w:ind w:firstLine="720"/>
        <w:jc w:val="both"/>
        <w:rPr>
          <w:rFonts w:ascii="Arial" w:hAnsi="Arial" w:cs="Arial"/>
          <w:sz w:val="24"/>
          <w:szCs w:val="24"/>
        </w:rPr>
      </w:pPr>
      <w:r w:rsidRPr="00717595">
        <w:rPr>
          <w:rFonts w:ascii="Arial" w:hAnsi="Arial" w:cs="Arial"/>
          <w:sz w:val="24"/>
          <w:szCs w:val="24"/>
        </w:rPr>
        <w:t xml:space="preserve">Poluanţii monitorizaţi sunt cei prevăzuţi în legislaţia română, transpusă din legislaţia europeană, valorile limită impuse prin Legea 104/2011având scopul de a evita, preveni şi reduce efectele nocive asupra sănătăţii umane şi a mediului în întregul său. </w:t>
      </w:r>
    </w:p>
    <w:p w:rsidR="00332B9C" w:rsidRPr="00717595" w:rsidRDefault="00332B9C" w:rsidP="00332B9C">
      <w:pPr>
        <w:tabs>
          <w:tab w:val="left" w:leader="dot" w:pos="9356"/>
        </w:tabs>
        <w:jc w:val="both"/>
        <w:rPr>
          <w:rFonts w:ascii="Arial" w:hAnsi="Arial" w:cs="Arial"/>
          <w:sz w:val="24"/>
          <w:szCs w:val="24"/>
        </w:rPr>
      </w:pPr>
      <w:r>
        <w:rPr>
          <w:rFonts w:ascii="Arial" w:hAnsi="Arial" w:cs="Arial"/>
          <w:b/>
          <w:sz w:val="24"/>
          <w:szCs w:val="24"/>
        </w:rPr>
        <w:t xml:space="preserve">            </w:t>
      </w:r>
      <w:r w:rsidRPr="00717595">
        <w:rPr>
          <w:rFonts w:ascii="Arial" w:hAnsi="Arial" w:cs="Arial"/>
          <w:b/>
          <w:sz w:val="24"/>
          <w:szCs w:val="24"/>
        </w:rPr>
        <w:t xml:space="preserve">I.1.1.1. Nivelul concentraţiilor medii anuale ale poluanţilor atmosferici în aerul </w:t>
      </w:r>
      <w:r>
        <w:rPr>
          <w:rFonts w:ascii="Arial" w:hAnsi="Arial" w:cs="Arial"/>
          <w:b/>
          <w:sz w:val="24"/>
          <w:szCs w:val="24"/>
        </w:rPr>
        <w:t xml:space="preserve">    </w:t>
      </w:r>
      <w:r w:rsidRPr="00717595">
        <w:rPr>
          <w:rFonts w:ascii="Arial" w:hAnsi="Arial" w:cs="Arial"/>
          <w:b/>
          <w:sz w:val="24"/>
          <w:szCs w:val="24"/>
        </w:rPr>
        <w:t>înconjurător</w:t>
      </w:r>
    </w:p>
    <w:p w:rsidR="00332B9C" w:rsidRPr="00717595" w:rsidRDefault="00332B9C" w:rsidP="00332B9C">
      <w:pPr>
        <w:tabs>
          <w:tab w:val="left" w:pos="709"/>
        </w:tabs>
        <w:jc w:val="both"/>
        <w:rPr>
          <w:rFonts w:ascii="Arial" w:hAnsi="Arial" w:cs="Arial"/>
          <w:sz w:val="24"/>
          <w:szCs w:val="24"/>
        </w:rPr>
      </w:pPr>
      <w:r w:rsidRPr="00717595">
        <w:rPr>
          <w:rFonts w:ascii="Arial" w:hAnsi="Arial" w:cs="Arial"/>
          <w:sz w:val="24"/>
          <w:szCs w:val="24"/>
        </w:rPr>
        <w:tab/>
        <w:t xml:space="preserve">În Tabelul I.1.1.1. sunt prezentate datele statistice rezultate din staţiile automate de monitorizare a calităţii aerului din judeţul </w:t>
      </w:r>
      <w:r w:rsidR="00217620">
        <w:rPr>
          <w:rFonts w:ascii="Arial" w:hAnsi="Arial" w:cs="Arial"/>
          <w:sz w:val="24"/>
          <w:szCs w:val="24"/>
        </w:rPr>
        <w:t>Brăila</w:t>
      </w:r>
      <w:r w:rsidRPr="00717595">
        <w:rPr>
          <w:rFonts w:ascii="Arial" w:hAnsi="Arial" w:cs="Arial"/>
          <w:sz w:val="24"/>
          <w:szCs w:val="24"/>
        </w:rPr>
        <w:t>, în anul 2016.</w:t>
      </w:r>
    </w:p>
    <w:p w:rsidR="00332B9C" w:rsidRPr="002D37E6" w:rsidRDefault="00332B9C" w:rsidP="00332B9C">
      <w:pPr>
        <w:pStyle w:val="Title"/>
        <w:ind w:left="720"/>
        <w:jc w:val="left"/>
        <w:rPr>
          <w:rFonts w:ascii="Arial" w:hAnsi="Arial" w:cs="Arial"/>
          <w:b w:val="0"/>
        </w:rPr>
      </w:pPr>
      <w:r w:rsidRPr="00717595">
        <w:rPr>
          <w:rFonts w:ascii="Arial" w:hAnsi="Arial" w:cs="Arial"/>
        </w:rPr>
        <w:tab/>
      </w:r>
      <w:r w:rsidRPr="0071759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A7839">
        <w:rPr>
          <w:rFonts w:ascii="Arial" w:hAnsi="Arial" w:cs="Arial"/>
        </w:rPr>
        <w:t xml:space="preserve">             </w:t>
      </w:r>
      <w:r w:rsidRPr="002D37E6">
        <w:rPr>
          <w:rFonts w:ascii="Arial" w:hAnsi="Arial" w:cs="Arial"/>
          <w:b w:val="0"/>
        </w:rPr>
        <w:t>Tabelul I.1.1.1.</w:t>
      </w:r>
    </w:p>
    <w:tbl>
      <w:tblPr>
        <w:tblW w:w="2284" w:type="pct"/>
        <w:jc w:val="center"/>
        <w:tblInd w:w="2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280"/>
        <w:gridCol w:w="1182"/>
        <w:gridCol w:w="3016"/>
      </w:tblGrid>
      <w:tr w:rsidR="00332B9C" w:rsidRPr="00717595" w:rsidTr="00332B9C">
        <w:trPr>
          <w:trHeight w:val="255"/>
          <w:jc w:val="center"/>
        </w:trPr>
        <w:tc>
          <w:tcPr>
            <w:tcW w:w="1480" w:type="pct"/>
            <w:vMerge w:val="restart"/>
            <w:tcBorders>
              <w:top w:val="single" w:sz="12" w:space="0" w:color="000000"/>
              <w:left w:val="single" w:sz="12"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b/>
                <w:color w:val="000000"/>
              </w:rPr>
            </w:pPr>
            <w:r w:rsidRPr="002D0C2A">
              <w:rPr>
                <w:rFonts w:ascii="Arial" w:hAnsi="Arial" w:cs="Arial"/>
                <w:b/>
                <w:color w:val="000000"/>
              </w:rPr>
              <w:t>POLUANT</w:t>
            </w:r>
          </w:p>
        </w:tc>
        <w:tc>
          <w:tcPr>
            <w:tcW w:w="1260" w:type="pct"/>
            <w:vMerge w:val="restart"/>
            <w:tcBorders>
              <w:top w:val="single" w:sz="12"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b/>
                <w:color w:val="000000"/>
              </w:rPr>
            </w:pPr>
            <w:r w:rsidRPr="002D0C2A">
              <w:rPr>
                <w:rFonts w:ascii="Arial" w:hAnsi="Arial" w:cs="Arial"/>
                <w:b/>
                <w:color w:val="000000"/>
              </w:rPr>
              <w:t>Tip staţie</w:t>
            </w:r>
          </w:p>
        </w:tc>
        <w:tc>
          <w:tcPr>
            <w:tcW w:w="2260" w:type="pct"/>
            <w:tcBorders>
              <w:top w:val="single" w:sz="12" w:space="0" w:color="000000"/>
              <w:left w:val="single" w:sz="6" w:space="0" w:color="000000"/>
              <w:bottom w:val="single" w:sz="6" w:space="0" w:color="000000"/>
              <w:right w:val="single" w:sz="12"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b/>
                <w:color w:val="000000"/>
              </w:rPr>
            </w:pPr>
            <w:r w:rsidRPr="002D0C2A">
              <w:rPr>
                <w:rFonts w:ascii="Arial" w:hAnsi="Arial" w:cs="Arial"/>
                <w:b/>
                <w:color w:val="000000"/>
              </w:rPr>
              <w:t>Concentraţia medie anuală</w:t>
            </w:r>
          </w:p>
        </w:tc>
      </w:tr>
      <w:tr w:rsidR="00332B9C" w:rsidRPr="00717595" w:rsidTr="00332B9C">
        <w:trPr>
          <w:trHeight w:val="385"/>
          <w:jc w:val="center"/>
        </w:trPr>
        <w:tc>
          <w:tcPr>
            <w:tcW w:w="1480" w:type="pct"/>
            <w:vMerge/>
            <w:tcBorders>
              <w:top w:val="single" w:sz="12"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vMerge/>
            <w:tcBorders>
              <w:top w:val="single" w:sz="12" w:space="0" w:color="000000"/>
              <w:left w:val="single" w:sz="6"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156E35">
            <w:pPr>
              <w:tabs>
                <w:tab w:val="center" w:pos="4680"/>
                <w:tab w:val="right" w:pos="9000"/>
              </w:tabs>
              <w:spacing w:after="0"/>
              <w:jc w:val="center"/>
              <w:rPr>
                <w:rFonts w:ascii="Arial" w:hAnsi="Arial" w:cs="Arial"/>
                <w:b/>
                <w:color w:val="000000"/>
              </w:rPr>
            </w:pPr>
            <w:r w:rsidRPr="002D0C2A">
              <w:rPr>
                <w:rFonts w:ascii="Arial" w:hAnsi="Arial" w:cs="Arial"/>
                <w:b/>
                <w:color w:val="000000"/>
              </w:rPr>
              <w:t>2016</w:t>
            </w:r>
          </w:p>
        </w:tc>
      </w:tr>
      <w:tr w:rsidR="00332B9C" w:rsidRPr="00717595" w:rsidTr="00332B9C">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color w:val="000000"/>
                <w:vertAlign w:val="subscript"/>
              </w:rPr>
            </w:pPr>
            <w:r w:rsidRPr="002D0C2A">
              <w:rPr>
                <w:rFonts w:ascii="Arial" w:hAnsi="Arial" w:cs="Arial"/>
                <w:color w:val="000000"/>
              </w:rPr>
              <w:t>SO</w:t>
            </w:r>
            <w:r w:rsidRPr="002D0C2A">
              <w:rPr>
                <w:rFonts w:ascii="Arial" w:hAnsi="Arial" w:cs="Arial"/>
                <w:color w:val="000000"/>
                <w:vertAlign w:val="subscript"/>
              </w:rPr>
              <w:t>2</w:t>
            </w:r>
          </w:p>
          <w:p w:rsidR="00332B9C" w:rsidRPr="002D0C2A" w:rsidRDefault="00332B9C" w:rsidP="00156E35">
            <w:pPr>
              <w:tabs>
                <w:tab w:val="center" w:pos="4680"/>
                <w:tab w:val="right" w:pos="9000"/>
              </w:tabs>
              <w:spacing w:after="0"/>
              <w:jc w:val="center"/>
              <w:rPr>
                <w:rFonts w:ascii="Arial" w:hAnsi="Arial" w:cs="Arial"/>
                <w:color w:val="000000"/>
              </w:rPr>
            </w:pPr>
            <w:r w:rsidRPr="002D0C2A">
              <w:rPr>
                <w:rFonts w:ascii="Arial" w:hAnsi="Arial" w:cs="Arial"/>
                <w:color w:val="000000"/>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3</w:t>
            </w:r>
            <w:r w:rsidR="009F4B16" w:rsidRPr="002D0C2A">
              <w:rPr>
                <w:rFonts w:ascii="Arial" w:hAnsi="Arial" w:cs="Arial"/>
              </w:rPr>
              <w:t>,</w:t>
            </w:r>
            <w:r w:rsidRPr="002D0C2A">
              <w:rPr>
                <w:rFonts w:ascii="Arial" w:hAnsi="Arial" w:cs="Arial"/>
              </w:rPr>
              <w:t>59</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4</w:t>
            </w:r>
            <w:r w:rsidR="009F4B16" w:rsidRPr="002D0C2A">
              <w:rPr>
                <w:rFonts w:ascii="Arial" w:hAnsi="Arial" w:cs="Arial"/>
              </w:rPr>
              <w:t>,</w:t>
            </w:r>
            <w:r w:rsidRPr="002D0C2A">
              <w:rPr>
                <w:rFonts w:ascii="Arial" w:hAnsi="Arial" w:cs="Arial"/>
              </w:rPr>
              <w:t>50</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5</w:t>
            </w:r>
            <w:r w:rsidR="009F4B16" w:rsidRPr="002D0C2A">
              <w:rPr>
                <w:rFonts w:ascii="Arial" w:hAnsi="Arial" w:cs="Arial"/>
              </w:rPr>
              <w:t>,</w:t>
            </w:r>
            <w:r w:rsidRPr="002D0C2A">
              <w:rPr>
                <w:rFonts w:ascii="Arial" w:hAnsi="Arial" w:cs="Arial"/>
              </w:rPr>
              <w:t>09</w:t>
            </w:r>
          </w:p>
        </w:tc>
      </w:tr>
      <w:tr w:rsidR="00332B9C" w:rsidRPr="00717595" w:rsidTr="00332B9C">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color w:val="000000"/>
              </w:rPr>
            </w:pPr>
            <w:r w:rsidRPr="002D0C2A">
              <w:rPr>
                <w:rFonts w:ascii="Arial" w:hAnsi="Arial" w:cs="Arial"/>
                <w:color w:val="000000"/>
              </w:rPr>
              <w:t xml:space="preserve">PM10 </w:t>
            </w:r>
          </w:p>
          <w:p w:rsidR="00332B9C" w:rsidRPr="002D0C2A" w:rsidRDefault="00332B9C" w:rsidP="00156E35">
            <w:pPr>
              <w:tabs>
                <w:tab w:val="center" w:pos="4680"/>
                <w:tab w:val="right" w:pos="9000"/>
              </w:tabs>
              <w:spacing w:after="0"/>
              <w:jc w:val="center"/>
              <w:rPr>
                <w:rFonts w:ascii="Arial" w:hAnsi="Arial" w:cs="Arial"/>
                <w:color w:val="000000"/>
              </w:rPr>
            </w:pPr>
            <w:r w:rsidRPr="002D0C2A">
              <w:rPr>
                <w:rFonts w:ascii="Arial" w:hAnsi="Arial" w:cs="Arial"/>
                <w:color w:val="000000"/>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21</w:t>
            </w:r>
            <w:r w:rsidR="009F4B16" w:rsidRPr="002D0C2A">
              <w:rPr>
                <w:rFonts w:ascii="Arial" w:hAnsi="Arial" w:cs="Arial"/>
              </w:rPr>
              <w:t>,</w:t>
            </w:r>
            <w:r w:rsidRPr="002D0C2A">
              <w:rPr>
                <w:rFonts w:ascii="Arial" w:hAnsi="Arial" w:cs="Arial"/>
              </w:rPr>
              <w:t>91</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27</w:t>
            </w:r>
            <w:r w:rsidR="009F4B16" w:rsidRPr="002D0C2A">
              <w:rPr>
                <w:rFonts w:ascii="Arial" w:hAnsi="Arial" w:cs="Arial"/>
              </w:rPr>
              <w:t>,</w:t>
            </w:r>
            <w:r w:rsidRPr="002D0C2A">
              <w:rPr>
                <w:rFonts w:ascii="Arial" w:hAnsi="Arial" w:cs="Arial"/>
              </w:rPr>
              <w:t>93</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24</w:t>
            </w:r>
            <w:r w:rsidR="009F4B16" w:rsidRPr="002D0C2A">
              <w:rPr>
                <w:rFonts w:ascii="Arial" w:hAnsi="Arial" w:cs="Arial"/>
              </w:rPr>
              <w:t>,</w:t>
            </w:r>
            <w:r w:rsidRPr="002D0C2A">
              <w:rPr>
                <w:rFonts w:ascii="Arial" w:hAnsi="Arial" w:cs="Arial"/>
              </w:rPr>
              <w:t>31</w:t>
            </w:r>
          </w:p>
        </w:tc>
      </w:tr>
      <w:tr w:rsidR="00332B9C" w:rsidRPr="00717595" w:rsidTr="00332B9C">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color w:val="000000"/>
                <w:vertAlign w:val="subscript"/>
              </w:rPr>
            </w:pPr>
            <w:r w:rsidRPr="002D0C2A">
              <w:rPr>
                <w:rFonts w:ascii="Arial" w:hAnsi="Arial" w:cs="Arial"/>
                <w:color w:val="000000"/>
              </w:rPr>
              <w:t>O</w:t>
            </w:r>
            <w:r w:rsidRPr="002D0C2A">
              <w:rPr>
                <w:rFonts w:ascii="Arial" w:hAnsi="Arial" w:cs="Arial"/>
                <w:color w:val="000000"/>
                <w:vertAlign w:val="subscript"/>
              </w:rPr>
              <w:t xml:space="preserve">3 </w:t>
            </w:r>
          </w:p>
          <w:p w:rsidR="00332B9C" w:rsidRPr="002D0C2A" w:rsidRDefault="00332B9C" w:rsidP="00156E35">
            <w:pPr>
              <w:tabs>
                <w:tab w:val="center" w:pos="4680"/>
                <w:tab w:val="right" w:pos="9000"/>
              </w:tabs>
              <w:spacing w:after="0"/>
              <w:jc w:val="center"/>
              <w:rPr>
                <w:rFonts w:ascii="Arial" w:hAnsi="Arial" w:cs="Arial"/>
                <w:color w:val="000000"/>
              </w:rPr>
            </w:pPr>
            <w:r w:rsidRPr="002D0C2A">
              <w:rPr>
                <w:rFonts w:ascii="Arial" w:hAnsi="Arial" w:cs="Arial"/>
                <w:color w:val="000000"/>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36</w:t>
            </w:r>
            <w:r w:rsidR="009F4B16" w:rsidRPr="002D0C2A">
              <w:rPr>
                <w:rFonts w:ascii="Arial" w:hAnsi="Arial" w:cs="Arial"/>
              </w:rPr>
              <w:t>,</w:t>
            </w:r>
            <w:r w:rsidRPr="002D0C2A">
              <w:rPr>
                <w:rFonts w:ascii="Arial" w:hAnsi="Arial" w:cs="Arial"/>
              </w:rPr>
              <w:t>48</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156E35">
            <w:pPr>
              <w:spacing w:after="0"/>
              <w:jc w:val="center"/>
              <w:rPr>
                <w:rFonts w:ascii="Arial" w:hAnsi="Arial" w:cs="Arial"/>
              </w:rPr>
            </w:pPr>
            <w:r w:rsidRPr="002D0C2A">
              <w:rPr>
                <w:rFonts w:ascii="Arial" w:hAnsi="Arial" w:cs="Arial"/>
              </w:rPr>
              <w:t>50.25</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156E35">
            <w:pPr>
              <w:spacing w:after="0"/>
              <w:jc w:val="center"/>
              <w:rPr>
                <w:rFonts w:ascii="Arial" w:hAnsi="Arial" w:cs="Arial"/>
              </w:rPr>
            </w:pPr>
            <w:r w:rsidRPr="002D0C2A">
              <w:rPr>
                <w:rFonts w:ascii="Arial" w:hAnsi="Arial" w:cs="Arial"/>
              </w:rPr>
              <w:t>-</w:t>
            </w:r>
          </w:p>
        </w:tc>
      </w:tr>
      <w:tr w:rsidR="00332B9C" w:rsidRPr="00717595" w:rsidTr="00332B9C">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color w:val="000000"/>
                <w:vertAlign w:val="subscript"/>
              </w:rPr>
            </w:pPr>
            <w:r w:rsidRPr="002D0C2A">
              <w:rPr>
                <w:rFonts w:ascii="Arial" w:hAnsi="Arial" w:cs="Arial"/>
                <w:color w:val="000000"/>
              </w:rPr>
              <w:t>NO</w:t>
            </w:r>
            <w:r w:rsidRPr="002D0C2A">
              <w:rPr>
                <w:rFonts w:ascii="Arial" w:hAnsi="Arial" w:cs="Arial"/>
                <w:color w:val="000000"/>
                <w:vertAlign w:val="subscript"/>
              </w:rPr>
              <w:t xml:space="preserve">2 </w:t>
            </w:r>
          </w:p>
          <w:p w:rsidR="00332B9C" w:rsidRPr="002D0C2A" w:rsidRDefault="00332B9C" w:rsidP="00156E35">
            <w:pPr>
              <w:tabs>
                <w:tab w:val="center" w:pos="4680"/>
                <w:tab w:val="right" w:pos="9000"/>
              </w:tabs>
              <w:spacing w:after="0"/>
              <w:jc w:val="center"/>
              <w:rPr>
                <w:rFonts w:ascii="Arial" w:hAnsi="Arial" w:cs="Arial"/>
                <w:color w:val="000000"/>
              </w:rPr>
            </w:pPr>
            <w:r w:rsidRPr="002D0C2A">
              <w:rPr>
                <w:rFonts w:ascii="Arial" w:hAnsi="Arial" w:cs="Arial"/>
                <w:color w:val="000000"/>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20</w:t>
            </w:r>
            <w:r w:rsidR="009F4B16" w:rsidRPr="002D0C2A">
              <w:rPr>
                <w:rFonts w:ascii="Arial" w:hAnsi="Arial" w:cs="Arial"/>
              </w:rPr>
              <w:t>,</w:t>
            </w:r>
            <w:r w:rsidRPr="002D0C2A">
              <w:rPr>
                <w:rFonts w:ascii="Arial" w:hAnsi="Arial" w:cs="Arial"/>
              </w:rPr>
              <w:t>22</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12</w:t>
            </w:r>
            <w:r w:rsidR="009F4B16" w:rsidRPr="002D0C2A">
              <w:rPr>
                <w:rFonts w:ascii="Arial" w:hAnsi="Arial" w:cs="Arial"/>
              </w:rPr>
              <w:t>,</w:t>
            </w:r>
            <w:r w:rsidRPr="002D0C2A">
              <w:rPr>
                <w:rFonts w:ascii="Arial" w:hAnsi="Arial" w:cs="Arial"/>
              </w:rPr>
              <w:t>68</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20</w:t>
            </w:r>
            <w:r w:rsidR="009F4B16" w:rsidRPr="002D0C2A">
              <w:rPr>
                <w:rFonts w:ascii="Arial" w:hAnsi="Arial" w:cs="Arial"/>
              </w:rPr>
              <w:t>,</w:t>
            </w:r>
            <w:r w:rsidRPr="002D0C2A">
              <w:rPr>
                <w:rFonts w:ascii="Arial" w:hAnsi="Arial" w:cs="Arial"/>
              </w:rPr>
              <w:t>25</w:t>
            </w:r>
          </w:p>
        </w:tc>
      </w:tr>
      <w:tr w:rsidR="00332B9C" w:rsidRPr="00717595" w:rsidTr="00332B9C">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color w:val="000000"/>
                <w:vertAlign w:val="subscript"/>
              </w:rPr>
            </w:pPr>
            <w:r w:rsidRPr="002D0C2A">
              <w:rPr>
                <w:rFonts w:ascii="Arial" w:hAnsi="Arial" w:cs="Arial"/>
                <w:color w:val="000000"/>
              </w:rPr>
              <w:t>NO</w:t>
            </w:r>
            <w:r w:rsidRPr="002D0C2A">
              <w:rPr>
                <w:rFonts w:ascii="Arial" w:hAnsi="Arial" w:cs="Arial"/>
                <w:color w:val="000000"/>
                <w:vertAlign w:val="subscript"/>
              </w:rPr>
              <w:t xml:space="preserve">x </w:t>
            </w:r>
          </w:p>
          <w:p w:rsidR="00332B9C" w:rsidRPr="002D0C2A" w:rsidRDefault="00332B9C" w:rsidP="00156E35">
            <w:pPr>
              <w:tabs>
                <w:tab w:val="center" w:pos="4680"/>
                <w:tab w:val="right" w:pos="9000"/>
              </w:tabs>
              <w:spacing w:after="0"/>
              <w:jc w:val="center"/>
              <w:rPr>
                <w:rFonts w:ascii="Arial" w:hAnsi="Arial" w:cs="Arial"/>
                <w:color w:val="000000"/>
              </w:rPr>
            </w:pPr>
            <w:r w:rsidRPr="002D0C2A">
              <w:rPr>
                <w:rFonts w:ascii="Arial" w:hAnsi="Arial" w:cs="Arial"/>
                <w:color w:val="000000"/>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156E35">
            <w:pPr>
              <w:spacing w:after="0"/>
              <w:jc w:val="center"/>
              <w:rPr>
                <w:rFonts w:ascii="Arial" w:hAnsi="Arial" w:cs="Arial"/>
              </w:rPr>
            </w:pPr>
            <w:r w:rsidRPr="002D0C2A">
              <w:rPr>
                <w:rFonts w:ascii="Arial" w:hAnsi="Arial" w:cs="Arial"/>
              </w:rPr>
              <w:t>22,30</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156E35">
            <w:pPr>
              <w:spacing w:after="0"/>
              <w:jc w:val="center"/>
              <w:rPr>
                <w:rFonts w:ascii="Arial" w:hAnsi="Arial" w:cs="Arial"/>
              </w:rPr>
            </w:pPr>
            <w:r w:rsidRPr="002D0C2A">
              <w:rPr>
                <w:rFonts w:ascii="Arial" w:hAnsi="Arial" w:cs="Arial"/>
              </w:rPr>
              <w:t>19,78</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25</w:t>
            </w:r>
            <w:r w:rsidR="009F4B16" w:rsidRPr="002D0C2A">
              <w:rPr>
                <w:rFonts w:ascii="Arial" w:hAnsi="Arial" w:cs="Arial"/>
              </w:rPr>
              <w:t>,</w:t>
            </w:r>
            <w:r w:rsidRPr="002D0C2A">
              <w:rPr>
                <w:rFonts w:ascii="Arial" w:hAnsi="Arial" w:cs="Arial"/>
              </w:rPr>
              <w:t>23</w:t>
            </w:r>
          </w:p>
        </w:tc>
      </w:tr>
      <w:tr w:rsidR="00332B9C" w:rsidRPr="00717595" w:rsidTr="00332B9C">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color w:val="000000"/>
              </w:rPr>
            </w:pPr>
            <w:r w:rsidRPr="002D0C2A">
              <w:rPr>
                <w:rFonts w:ascii="Arial" w:hAnsi="Arial" w:cs="Arial"/>
                <w:color w:val="000000"/>
              </w:rPr>
              <w:lastRenderedPageBreak/>
              <w:t xml:space="preserve">CO </w:t>
            </w:r>
          </w:p>
          <w:p w:rsidR="00332B9C" w:rsidRPr="002D0C2A" w:rsidRDefault="00332B9C" w:rsidP="00156E35">
            <w:pPr>
              <w:tabs>
                <w:tab w:val="center" w:pos="4680"/>
                <w:tab w:val="right" w:pos="9000"/>
              </w:tabs>
              <w:spacing w:after="0"/>
              <w:jc w:val="center"/>
              <w:rPr>
                <w:rFonts w:ascii="Arial" w:hAnsi="Arial" w:cs="Arial"/>
                <w:color w:val="000000"/>
              </w:rPr>
            </w:pPr>
            <w:r w:rsidRPr="002D0C2A">
              <w:rPr>
                <w:rFonts w:ascii="Arial" w:hAnsi="Arial" w:cs="Arial"/>
                <w:color w:val="000000"/>
              </w:rPr>
              <w:t>(mg/mc)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0</w:t>
            </w:r>
            <w:r w:rsidR="009F4B16" w:rsidRPr="002D0C2A">
              <w:rPr>
                <w:rFonts w:ascii="Arial" w:hAnsi="Arial" w:cs="Arial"/>
              </w:rPr>
              <w:t>,</w:t>
            </w:r>
            <w:r w:rsidRPr="002D0C2A">
              <w:rPr>
                <w:rFonts w:ascii="Arial" w:hAnsi="Arial" w:cs="Arial"/>
              </w:rPr>
              <w:t>11</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0</w:t>
            </w:r>
            <w:r w:rsidR="009F4B16" w:rsidRPr="002D0C2A">
              <w:rPr>
                <w:rFonts w:ascii="Arial" w:hAnsi="Arial" w:cs="Arial"/>
              </w:rPr>
              <w:t>,</w:t>
            </w:r>
            <w:r w:rsidRPr="002D0C2A">
              <w:rPr>
                <w:rFonts w:ascii="Arial" w:hAnsi="Arial" w:cs="Arial"/>
              </w:rPr>
              <w:t>09</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0</w:t>
            </w:r>
            <w:r w:rsidR="009F4B16" w:rsidRPr="002D0C2A">
              <w:rPr>
                <w:rFonts w:ascii="Arial" w:hAnsi="Arial" w:cs="Arial"/>
              </w:rPr>
              <w:t>,</w:t>
            </w:r>
            <w:r w:rsidRPr="002D0C2A">
              <w:rPr>
                <w:rFonts w:ascii="Arial" w:hAnsi="Arial" w:cs="Arial"/>
              </w:rPr>
              <w:t>19</w:t>
            </w:r>
          </w:p>
        </w:tc>
      </w:tr>
      <w:tr w:rsidR="00332B9C" w:rsidRPr="00717595" w:rsidTr="00332B9C">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 xml:space="preserve">Pb </w:t>
            </w:r>
          </w:p>
          <w:p w:rsidR="00332B9C" w:rsidRPr="002D0C2A" w:rsidRDefault="00332B9C" w:rsidP="00156E35">
            <w:pPr>
              <w:spacing w:after="0"/>
              <w:jc w:val="center"/>
              <w:rPr>
                <w:rFonts w:ascii="Arial" w:hAnsi="Arial" w:cs="Arial"/>
              </w:rPr>
            </w:pPr>
            <w:r w:rsidRPr="002D0C2A">
              <w:rPr>
                <w:rFonts w:ascii="Arial" w:hAnsi="Arial" w:cs="Arial"/>
              </w:rPr>
              <w:t>(µg/mc)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156E35">
            <w:pPr>
              <w:spacing w:after="0"/>
              <w:jc w:val="center"/>
              <w:rPr>
                <w:rFonts w:ascii="Arial" w:hAnsi="Arial" w:cs="Arial"/>
              </w:rPr>
            </w:pPr>
            <w:r w:rsidRPr="002D0C2A">
              <w:rPr>
                <w:rFonts w:ascii="Arial" w:hAnsi="Arial" w:cs="Arial"/>
              </w:rPr>
              <w:t>-</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jc w:val="center"/>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tabs>
                <w:tab w:val="center" w:pos="4680"/>
                <w:tab w:val="right" w:pos="9000"/>
              </w:tabs>
              <w:spacing w:after="0"/>
              <w:jc w:val="center"/>
              <w:rPr>
                <w:rFonts w:ascii="Arial" w:hAnsi="Arial" w:cs="Arial"/>
              </w:rPr>
            </w:pPr>
            <w:r w:rsidRPr="002D0C2A">
              <w:rPr>
                <w:rFonts w:ascii="Arial" w:hAnsi="Arial" w:cs="Arial"/>
              </w:rPr>
              <w:t>In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156E35">
            <w:pPr>
              <w:spacing w:after="0"/>
              <w:jc w:val="center"/>
              <w:rPr>
                <w:rFonts w:ascii="Arial" w:hAnsi="Arial" w:cs="Arial"/>
              </w:rPr>
            </w:pPr>
            <w:r w:rsidRPr="002D0C2A">
              <w:rPr>
                <w:rFonts w:ascii="Arial" w:hAnsi="Arial" w:cs="Arial"/>
              </w:rPr>
              <w:t>-</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jc w:val="center"/>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156E35">
            <w:pPr>
              <w:spacing w:after="0"/>
              <w:jc w:val="center"/>
              <w:rPr>
                <w:rFonts w:ascii="Arial" w:hAnsi="Arial" w:cs="Arial"/>
              </w:rPr>
            </w:pPr>
            <w:r w:rsidRPr="002D0C2A">
              <w:rPr>
                <w:rFonts w:ascii="Arial" w:hAnsi="Arial" w:cs="Arial"/>
              </w:rPr>
              <w:t>-</w:t>
            </w:r>
          </w:p>
        </w:tc>
      </w:tr>
      <w:tr w:rsidR="00332B9C" w:rsidRPr="00717595" w:rsidTr="00332B9C">
        <w:trPr>
          <w:trHeight w:val="255"/>
          <w:jc w:val="center"/>
        </w:trPr>
        <w:tc>
          <w:tcPr>
            <w:tcW w:w="1480"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Benzen</w:t>
            </w:r>
          </w:p>
          <w:p w:rsidR="00332B9C" w:rsidRPr="002D0C2A" w:rsidRDefault="00332B9C" w:rsidP="00156E35">
            <w:pPr>
              <w:spacing w:after="0"/>
              <w:jc w:val="center"/>
              <w:rPr>
                <w:rFonts w:ascii="Arial" w:hAnsi="Arial" w:cs="Arial"/>
              </w:rPr>
            </w:pPr>
            <w:r w:rsidRPr="002D0C2A">
              <w:rPr>
                <w:rFonts w:ascii="Arial" w:hAnsi="Arial" w:cs="Arial"/>
              </w:rPr>
              <w:t xml:space="preserve"> (µg/mc)</w:t>
            </w: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Fd urban</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1</w:t>
            </w:r>
            <w:r w:rsidR="009F4B16" w:rsidRPr="002D0C2A">
              <w:rPr>
                <w:rFonts w:ascii="Arial" w:hAnsi="Arial" w:cs="Arial"/>
              </w:rPr>
              <w:t>,</w:t>
            </w:r>
            <w:r w:rsidRPr="002D0C2A">
              <w:rPr>
                <w:rFonts w:ascii="Arial" w:hAnsi="Arial" w:cs="Arial"/>
              </w:rPr>
              <w:t>2</w:t>
            </w:r>
          </w:p>
        </w:tc>
      </w:tr>
      <w:tr w:rsidR="00332B9C" w:rsidRPr="00717595" w:rsidTr="00332B9C">
        <w:trPr>
          <w:trHeight w:val="255"/>
          <w:jc w:val="center"/>
        </w:trPr>
        <w:tc>
          <w:tcPr>
            <w:tcW w:w="1480" w:type="pct"/>
            <w:vMerge/>
            <w:tcBorders>
              <w:top w:val="single" w:sz="6" w:space="0" w:color="000000"/>
              <w:left w:val="single" w:sz="12" w:space="0" w:color="000000"/>
              <w:bottom w:val="single" w:sz="6" w:space="0" w:color="000000"/>
              <w:right w:val="single" w:sz="6" w:space="0" w:color="000000"/>
            </w:tcBorders>
            <w:vAlign w:val="center"/>
          </w:tcPr>
          <w:p w:rsidR="00332B9C" w:rsidRPr="002D0C2A" w:rsidRDefault="00332B9C" w:rsidP="00156E35">
            <w:pPr>
              <w:spacing w:after="0"/>
              <w:jc w:val="center"/>
              <w:rPr>
                <w:rFonts w:ascii="Arial" w:hAnsi="Arial" w:cs="Arial"/>
              </w:rPr>
            </w:pPr>
          </w:p>
        </w:tc>
        <w:tc>
          <w:tcPr>
            <w:tcW w:w="1260" w:type="pct"/>
            <w:tcBorders>
              <w:top w:val="single" w:sz="6" w:space="0" w:color="000000"/>
              <w:left w:val="single" w:sz="6" w:space="0" w:color="000000"/>
              <w:bottom w:val="single" w:sz="6"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T</w:t>
            </w:r>
          </w:p>
        </w:tc>
        <w:tc>
          <w:tcPr>
            <w:tcW w:w="2260" w:type="pct"/>
            <w:tcBorders>
              <w:top w:val="single" w:sz="6" w:space="0" w:color="000000"/>
              <w:left w:val="single" w:sz="6" w:space="0" w:color="000000"/>
              <w:bottom w:val="single" w:sz="6" w:space="0" w:color="000000"/>
              <w:right w:val="single" w:sz="12" w:space="0" w:color="000000"/>
            </w:tcBorders>
            <w:vAlign w:val="center"/>
          </w:tcPr>
          <w:p w:rsidR="00332B9C" w:rsidRPr="002D0C2A" w:rsidRDefault="00332B9C" w:rsidP="009F4B16">
            <w:pPr>
              <w:spacing w:after="0"/>
              <w:jc w:val="center"/>
              <w:rPr>
                <w:rFonts w:ascii="Arial" w:hAnsi="Arial" w:cs="Arial"/>
              </w:rPr>
            </w:pPr>
            <w:r w:rsidRPr="002D0C2A">
              <w:rPr>
                <w:rFonts w:ascii="Arial" w:hAnsi="Arial" w:cs="Arial"/>
              </w:rPr>
              <w:t>1</w:t>
            </w:r>
            <w:r w:rsidR="009F4B16" w:rsidRPr="002D0C2A">
              <w:rPr>
                <w:rFonts w:ascii="Arial" w:hAnsi="Arial" w:cs="Arial"/>
              </w:rPr>
              <w:t>,</w:t>
            </w:r>
            <w:r w:rsidRPr="002D0C2A">
              <w:rPr>
                <w:rFonts w:ascii="Arial" w:hAnsi="Arial" w:cs="Arial"/>
              </w:rPr>
              <w:t>93</w:t>
            </w:r>
          </w:p>
        </w:tc>
      </w:tr>
      <w:tr w:rsidR="00332B9C" w:rsidRPr="00717595" w:rsidTr="00332B9C">
        <w:trPr>
          <w:trHeight w:val="255"/>
          <w:jc w:val="center"/>
        </w:trPr>
        <w:tc>
          <w:tcPr>
            <w:tcW w:w="1480" w:type="pct"/>
            <w:tcBorders>
              <w:top w:val="single" w:sz="6" w:space="0" w:color="000000"/>
              <w:left w:val="single" w:sz="12" w:space="0" w:color="000000"/>
              <w:bottom w:val="single" w:sz="12" w:space="0" w:color="000000"/>
              <w:right w:val="single" w:sz="6" w:space="0" w:color="000000"/>
            </w:tcBorders>
            <w:noWrap/>
            <w:vAlign w:val="center"/>
          </w:tcPr>
          <w:p w:rsidR="00332B9C" w:rsidRPr="002D0C2A" w:rsidRDefault="00332B9C" w:rsidP="00156E35">
            <w:pPr>
              <w:spacing w:after="0"/>
              <w:jc w:val="center"/>
              <w:rPr>
                <w:rFonts w:ascii="Arial" w:hAnsi="Arial" w:cs="Arial"/>
                <w:vertAlign w:val="subscript"/>
              </w:rPr>
            </w:pPr>
            <w:r w:rsidRPr="002D0C2A">
              <w:rPr>
                <w:rFonts w:ascii="Arial" w:hAnsi="Arial" w:cs="Arial"/>
              </w:rPr>
              <w:t>PM</w:t>
            </w:r>
            <w:r w:rsidRPr="002D0C2A">
              <w:rPr>
                <w:rFonts w:ascii="Arial" w:hAnsi="Arial" w:cs="Arial"/>
                <w:vertAlign w:val="subscript"/>
              </w:rPr>
              <w:t xml:space="preserve">2.5 </w:t>
            </w:r>
          </w:p>
          <w:p w:rsidR="00332B9C" w:rsidRPr="002D0C2A" w:rsidRDefault="00332B9C" w:rsidP="00156E35">
            <w:pPr>
              <w:spacing w:after="0"/>
              <w:jc w:val="center"/>
              <w:rPr>
                <w:rFonts w:ascii="Arial" w:hAnsi="Arial" w:cs="Arial"/>
              </w:rPr>
            </w:pPr>
            <w:r w:rsidRPr="002D0C2A">
              <w:rPr>
                <w:rFonts w:ascii="Arial" w:hAnsi="Arial" w:cs="Arial"/>
              </w:rPr>
              <w:t>(µg/mc)</w:t>
            </w:r>
          </w:p>
        </w:tc>
        <w:tc>
          <w:tcPr>
            <w:tcW w:w="1260" w:type="pct"/>
            <w:tcBorders>
              <w:top w:val="single" w:sz="6" w:space="0" w:color="000000"/>
              <w:left w:val="single" w:sz="6" w:space="0" w:color="000000"/>
              <w:bottom w:val="single" w:sz="12" w:space="0" w:color="000000"/>
              <w:right w:val="single" w:sz="6" w:space="0" w:color="000000"/>
            </w:tcBorders>
            <w:noWrap/>
            <w:vAlign w:val="center"/>
          </w:tcPr>
          <w:p w:rsidR="00332B9C" w:rsidRPr="002D0C2A" w:rsidRDefault="00332B9C" w:rsidP="00156E35">
            <w:pPr>
              <w:spacing w:after="0"/>
              <w:jc w:val="center"/>
              <w:rPr>
                <w:rFonts w:ascii="Arial" w:hAnsi="Arial" w:cs="Arial"/>
              </w:rPr>
            </w:pPr>
            <w:r w:rsidRPr="002D0C2A">
              <w:rPr>
                <w:rFonts w:ascii="Arial" w:hAnsi="Arial" w:cs="Arial"/>
              </w:rPr>
              <w:t>In</w:t>
            </w:r>
          </w:p>
        </w:tc>
        <w:tc>
          <w:tcPr>
            <w:tcW w:w="2260" w:type="pct"/>
            <w:tcBorders>
              <w:top w:val="single" w:sz="6" w:space="0" w:color="000000"/>
              <w:left w:val="single" w:sz="6" w:space="0" w:color="000000"/>
              <w:bottom w:val="single" w:sz="12" w:space="0" w:color="000000"/>
              <w:right w:val="single" w:sz="12" w:space="0" w:color="000000"/>
            </w:tcBorders>
            <w:vAlign w:val="center"/>
          </w:tcPr>
          <w:p w:rsidR="00332B9C" w:rsidRPr="002D0C2A" w:rsidRDefault="00332B9C" w:rsidP="00156E35">
            <w:pPr>
              <w:spacing w:after="0"/>
              <w:jc w:val="center"/>
              <w:rPr>
                <w:rFonts w:ascii="Arial" w:hAnsi="Arial" w:cs="Arial"/>
              </w:rPr>
            </w:pPr>
            <w:r w:rsidRPr="002D0C2A">
              <w:rPr>
                <w:rFonts w:ascii="Arial" w:hAnsi="Arial" w:cs="Arial"/>
              </w:rPr>
              <w:t>-</w:t>
            </w:r>
          </w:p>
        </w:tc>
      </w:tr>
    </w:tbl>
    <w:p w:rsidR="00332B9C" w:rsidRPr="00717595" w:rsidRDefault="00332B9C" w:rsidP="00156E35">
      <w:pPr>
        <w:tabs>
          <w:tab w:val="left" w:pos="1440"/>
        </w:tabs>
        <w:spacing w:after="0"/>
        <w:ind w:left="720"/>
        <w:jc w:val="both"/>
        <w:rPr>
          <w:rFonts w:ascii="Arial" w:hAnsi="Arial" w:cs="Arial"/>
          <w:sz w:val="24"/>
          <w:szCs w:val="24"/>
        </w:rPr>
      </w:pPr>
    </w:p>
    <w:p w:rsidR="00332B9C" w:rsidRPr="00717595" w:rsidRDefault="00332B9C" w:rsidP="007C1699">
      <w:pPr>
        <w:tabs>
          <w:tab w:val="left" w:pos="709"/>
        </w:tabs>
        <w:spacing w:line="240" w:lineRule="auto"/>
        <w:jc w:val="both"/>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t>Din cauza defecţiunilor apărute în cursul anului 2016 la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332B9C" w:rsidRPr="00717595" w:rsidRDefault="00332B9C" w:rsidP="007C1699">
      <w:pPr>
        <w:tabs>
          <w:tab w:val="left" w:pos="709"/>
        </w:tabs>
        <w:ind w:left="720" w:right="31"/>
        <w:rPr>
          <w:rFonts w:ascii="Arial" w:hAnsi="Arial" w:cs="Arial"/>
          <w:sz w:val="24"/>
          <w:szCs w:val="24"/>
        </w:rPr>
      </w:pPr>
      <w:r w:rsidRPr="00717595">
        <w:rPr>
          <w:rFonts w:ascii="Arial" w:hAnsi="Arial" w:cs="Arial"/>
          <w:b/>
          <w:sz w:val="24"/>
          <w:szCs w:val="24"/>
        </w:rPr>
        <w:t>I.1.1.1.1.Dioxidul de azot</w:t>
      </w:r>
      <w:r w:rsidRPr="00717595">
        <w:rPr>
          <w:rFonts w:ascii="Arial" w:hAnsi="Arial" w:cs="Arial"/>
          <w:noProof/>
          <w:sz w:val="24"/>
          <w:szCs w:val="24"/>
          <w:lang w:eastAsia="ro-RO"/>
        </w:rPr>
        <w:drawing>
          <wp:inline distT="0" distB="0" distL="0" distR="0">
            <wp:extent cx="5105400" cy="1504950"/>
            <wp:effectExtent l="0" t="0" r="0" b="0"/>
            <wp:docPr id="12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32B9C" w:rsidRPr="00EA10C5" w:rsidRDefault="00332B9C" w:rsidP="00332B9C">
      <w:pPr>
        <w:tabs>
          <w:tab w:val="num" w:pos="0"/>
        </w:tabs>
        <w:jc w:val="center"/>
        <w:rPr>
          <w:rFonts w:ascii="Arial" w:hAnsi="Arial" w:cs="Arial"/>
          <w:sz w:val="24"/>
          <w:szCs w:val="24"/>
        </w:rPr>
      </w:pPr>
      <w:r w:rsidRPr="00EA10C5">
        <w:rPr>
          <w:rFonts w:ascii="Arial" w:hAnsi="Arial" w:cs="Arial"/>
          <w:sz w:val="24"/>
          <w:szCs w:val="24"/>
        </w:rPr>
        <w:t>Fig.I.1.1.1.1.Concentraţia medie anuală a dioxidului de azot în anul 2016</w:t>
      </w:r>
    </w:p>
    <w:p w:rsidR="00332B9C" w:rsidRPr="00EA10C5" w:rsidRDefault="00332B9C" w:rsidP="00332B9C">
      <w:pPr>
        <w:tabs>
          <w:tab w:val="num" w:pos="0"/>
        </w:tabs>
        <w:ind w:firstLine="720"/>
        <w:jc w:val="center"/>
        <w:rPr>
          <w:rFonts w:ascii="Arial" w:hAnsi="Arial" w:cs="Arial"/>
          <w:sz w:val="24"/>
          <w:szCs w:val="24"/>
        </w:rPr>
      </w:pPr>
      <w:r w:rsidRPr="00EA10C5">
        <w:rPr>
          <w:rFonts w:ascii="Arial" w:hAnsi="Arial" w:cs="Arial"/>
          <w:sz w:val="24"/>
          <w:szCs w:val="24"/>
        </w:rPr>
        <w:tab/>
      </w:r>
      <w:r w:rsidRPr="00EA10C5">
        <w:rPr>
          <w:rFonts w:ascii="Arial" w:hAnsi="Arial" w:cs="Arial"/>
          <w:sz w:val="24"/>
          <w:szCs w:val="24"/>
        </w:rPr>
        <w:tab/>
      </w:r>
      <w:r w:rsidRPr="00EA10C5">
        <w:rPr>
          <w:rFonts w:ascii="Arial" w:hAnsi="Arial" w:cs="Arial"/>
          <w:sz w:val="24"/>
          <w:szCs w:val="24"/>
        </w:rPr>
        <w:tab/>
      </w:r>
      <w:r w:rsidRPr="00EA10C5">
        <w:rPr>
          <w:rFonts w:ascii="Arial" w:hAnsi="Arial" w:cs="Arial"/>
          <w:sz w:val="24"/>
          <w:szCs w:val="24"/>
        </w:rPr>
        <w:tab/>
      </w:r>
      <w:r w:rsidRPr="00EA10C5">
        <w:rPr>
          <w:rFonts w:ascii="Arial" w:hAnsi="Arial" w:cs="Arial"/>
          <w:sz w:val="24"/>
          <w:szCs w:val="24"/>
        </w:rPr>
        <w:tab/>
      </w:r>
      <w:r w:rsidRPr="00EA10C5">
        <w:rPr>
          <w:rFonts w:ascii="Arial" w:hAnsi="Arial" w:cs="Arial"/>
          <w:sz w:val="24"/>
          <w:szCs w:val="24"/>
        </w:rPr>
        <w:tab/>
        <w:t>Tabel I.1.1.1.1.</w:t>
      </w:r>
    </w:p>
    <w:tbl>
      <w:tblPr>
        <w:tblW w:w="0" w:type="auto"/>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080"/>
        <w:gridCol w:w="951"/>
        <w:gridCol w:w="1007"/>
        <w:gridCol w:w="951"/>
        <w:gridCol w:w="951"/>
      </w:tblGrid>
      <w:tr w:rsidR="00332B9C" w:rsidRPr="00717595" w:rsidTr="00332B9C">
        <w:trPr>
          <w:jc w:val="center"/>
        </w:trPr>
        <w:tc>
          <w:tcPr>
            <w:tcW w:w="2207" w:type="dxa"/>
            <w:shd w:val="clear" w:color="auto" w:fill="E6E6E6"/>
          </w:tcPr>
          <w:p w:rsidR="00332B9C" w:rsidRPr="002D0C2A" w:rsidRDefault="00332B9C" w:rsidP="00156E35">
            <w:pPr>
              <w:tabs>
                <w:tab w:val="num" w:pos="0"/>
              </w:tabs>
              <w:spacing w:after="0"/>
              <w:rPr>
                <w:rFonts w:ascii="Arial" w:hAnsi="Arial" w:cs="Arial"/>
              </w:rPr>
            </w:pPr>
            <w:r w:rsidRPr="002D0C2A">
              <w:rPr>
                <w:rFonts w:ascii="Arial" w:hAnsi="Arial" w:cs="Arial"/>
                <w:b/>
              </w:rPr>
              <w:t>NO</w:t>
            </w:r>
            <w:r w:rsidRPr="002D0C2A">
              <w:rPr>
                <w:rFonts w:ascii="Arial" w:hAnsi="Arial" w:cs="Arial"/>
                <w:b/>
                <w:vertAlign w:val="subscript"/>
              </w:rPr>
              <w:t>2</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1080" w:type="dxa"/>
            <w:shd w:val="clear" w:color="auto" w:fill="E6E6E6"/>
          </w:tcPr>
          <w:p w:rsidR="00332B9C" w:rsidRPr="002D0C2A" w:rsidRDefault="007C1699" w:rsidP="00156E35">
            <w:pPr>
              <w:spacing w:after="0"/>
              <w:jc w:val="center"/>
              <w:rPr>
                <w:rFonts w:ascii="Arial" w:hAnsi="Arial" w:cs="Arial"/>
                <w:b/>
              </w:rPr>
            </w:pPr>
            <w:r w:rsidRPr="002D0C2A">
              <w:rPr>
                <w:rFonts w:ascii="Arial" w:hAnsi="Arial" w:cs="Arial"/>
                <w:b/>
              </w:rPr>
              <w:t>BR</w:t>
            </w:r>
            <w:r w:rsidR="00332B9C" w:rsidRPr="002D0C2A">
              <w:rPr>
                <w:rFonts w:ascii="Arial" w:hAnsi="Arial" w:cs="Arial"/>
                <w:b/>
              </w:rPr>
              <w:t>1</w:t>
            </w:r>
          </w:p>
        </w:tc>
        <w:tc>
          <w:tcPr>
            <w:tcW w:w="951" w:type="dxa"/>
            <w:shd w:val="clear" w:color="auto" w:fill="E6E6E6"/>
          </w:tcPr>
          <w:p w:rsidR="00332B9C" w:rsidRPr="002D0C2A" w:rsidRDefault="007C1699" w:rsidP="00156E35">
            <w:pPr>
              <w:spacing w:after="0"/>
              <w:jc w:val="center"/>
              <w:rPr>
                <w:rFonts w:ascii="Arial" w:hAnsi="Arial" w:cs="Arial"/>
                <w:b/>
              </w:rPr>
            </w:pPr>
            <w:r w:rsidRPr="002D0C2A">
              <w:rPr>
                <w:rFonts w:ascii="Arial" w:hAnsi="Arial" w:cs="Arial"/>
                <w:b/>
              </w:rPr>
              <w:t>BR</w:t>
            </w:r>
            <w:r w:rsidR="00332B9C" w:rsidRPr="002D0C2A">
              <w:rPr>
                <w:rFonts w:ascii="Arial" w:hAnsi="Arial" w:cs="Arial"/>
                <w:b/>
              </w:rPr>
              <w:t>2</w:t>
            </w:r>
          </w:p>
        </w:tc>
        <w:tc>
          <w:tcPr>
            <w:tcW w:w="1007" w:type="dxa"/>
            <w:shd w:val="clear" w:color="auto" w:fill="E6E6E6"/>
          </w:tcPr>
          <w:p w:rsidR="00332B9C" w:rsidRPr="002D0C2A" w:rsidRDefault="007C1699" w:rsidP="00156E35">
            <w:pPr>
              <w:spacing w:after="0"/>
              <w:jc w:val="center"/>
              <w:rPr>
                <w:rFonts w:ascii="Arial" w:hAnsi="Arial" w:cs="Arial"/>
                <w:b/>
              </w:rPr>
            </w:pPr>
            <w:r w:rsidRPr="002D0C2A">
              <w:rPr>
                <w:rFonts w:ascii="Arial" w:hAnsi="Arial" w:cs="Arial"/>
                <w:b/>
              </w:rPr>
              <w:t>BR</w:t>
            </w:r>
            <w:r w:rsidR="00332B9C" w:rsidRPr="002D0C2A">
              <w:rPr>
                <w:rFonts w:ascii="Arial" w:hAnsi="Arial" w:cs="Arial"/>
                <w:b/>
              </w:rPr>
              <w:t>3</w:t>
            </w:r>
          </w:p>
        </w:tc>
        <w:tc>
          <w:tcPr>
            <w:tcW w:w="951" w:type="dxa"/>
            <w:shd w:val="clear" w:color="auto" w:fill="E6E6E6"/>
          </w:tcPr>
          <w:p w:rsidR="00332B9C" w:rsidRPr="002D0C2A" w:rsidRDefault="007C1699" w:rsidP="00156E35">
            <w:pPr>
              <w:spacing w:after="0"/>
              <w:jc w:val="center"/>
              <w:rPr>
                <w:rFonts w:ascii="Arial" w:hAnsi="Arial" w:cs="Arial"/>
                <w:b/>
              </w:rPr>
            </w:pPr>
            <w:r w:rsidRPr="002D0C2A">
              <w:rPr>
                <w:rFonts w:ascii="Arial" w:hAnsi="Arial" w:cs="Arial"/>
                <w:b/>
              </w:rPr>
              <w:t>BR</w:t>
            </w:r>
            <w:r w:rsidR="00332B9C" w:rsidRPr="002D0C2A">
              <w:rPr>
                <w:rFonts w:ascii="Arial" w:hAnsi="Arial" w:cs="Arial"/>
                <w:b/>
              </w:rPr>
              <w:t>4</w:t>
            </w:r>
          </w:p>
        </w:tc>
        <w:tc>
          <w:tcPr>
            <w:tcW w:w="951" w:type="dxa"/>
            <w:shd w:val="clear" w:color="auto" w:fill="E6E6E6"/>
          </w:tcPr>
          <w:p w:rsidR="00332B9C" w:rsidRPr="002D0C2A" w:rsidRDefault="007C1699" w:rsidP="00156E35">
            <w:pPr>
              <w:spacing w:after="0"/>
              <w:jc w:val="center"/>
              <w:rPr>
                <w:rFonts w:ascii="Arial" w:hAnsi="Arial" w:cs="Arial"/>
                <w:b/>
              </w:rPr>
            </w:pPr>
            <w:r w:rsidRPr="002D0C2A">
              <w:rPr>
                <w:rFonts w:ascii="Arial" w:hAnsi="Arial" w:cs="Arial"/>
                <w:b/>
              </w:rPr>
              <w:t>BR</w:t>
            </w:r>
            <w:r w:rsidR="00332B9C" w:rsidRPr="002D0C2A">
              <w:rPr>
                <w:rFonts w:ascii="Arial" w:hAnsi="Arial" w:cs="Arial"/>
                <w:b/>
              </w:rPr>
              <w:t>5</w:t>
            </w:r>
          </w:p>
        </w:tc>
      </w:tr>
      <w:tr w:rsidR="00332B9C" w:rsidRPr="00717595" w:rsidTr="00332B9C">
        <w:trPr>
          <w:jc w:val="center"/>
        </w:trPr>
        <w:tc>
          <w:tcPr>
            <w:tcW w:w="2207" w:type="dxa"/>
          </w:tcPr>
          <w:p w:rsidR="00332B9C" w:rsidRPr="002D0C2A" w:rsidRDefault="00332B9C" w:rsidP="00156E35">
            <w:pPr>
              <w:tabs>
                <w:tab w:val="num" w:pos="0"/>
              </w:tabs>
              <w:spacing w:after="0"/>
              <w:jc w:val="center"/>
              <w:rPr>
                <w:rFonts w:ascii="Arial" w:hAnsi="Arial" w:cs="Arial"/>
              </w:rPr>
            </w:pPr>
            <w:r w:rsidRPr="002D0C2A">
              <w:rPr>
                <w:rFonts w:ascii="Arial" w:hAnsi="Arial" w:cs="Arial"/>
              </w:rPr>
              <w:t>2016 Medii anuale</w:t>
            </w:r>
          </w:p>
        </w:tc>
        <w:tc>
          <w:tcPr>
            <w:tcW w:w="1080" w:type="dxa"/>
          </w:tcPr>
          <w:p w:rsidR="00332B9C" w:rsidRPr="002D0C2A" w:rsidRDefault="00332B9C" w:rsidP="007C1699">
            <w:pPr>
              <w:spacing w:after="0"/>
              <w:jc w:val="center"/>
              <w:rPr>
                <w:rFonts w:ascii="Arial" w:hAnsi="Arial" w:cs="Arial"/>
              </w:rPr>
            </w:pPr>
            <w:r w:rsidRPr="002D0C2A">
              <w:rPr>
                <w:rFonts w:ascii="Arial" w:hAnsi="Arial" w:cs="Arial"/>
              </w:rPr>
              <w:t>20</w:t>
            </w:r>
            <w:r w:rsidR="007C1699" w:rsidRPr="002D0C2A">
              <w:rPr>
                <w:rFonts w:ascii="Arial" w:hAnsi="Arial" w:cs="Arial"/>
              </w:rPr>
              <w:t>,</w:t>
            </w:r>
            <w:r w:rsidRPr="002D0C2A">
              <w:rPr>
                <w:rFonts w:ascii="Arial" w:hAnsi="Arial" w:cs="Arial"/>
              </w:rPr>
              <w:t>25</w:t>
            </w:r>
          </w:p>
        </w:tc>
        <w:tc>
          <w:tcPr>
            <w:tcW w:w="951" w:type="dxa"/>
          </w:tcPr>
          <w:p w:rsidR="00332B9C" w:rsidRPr="002D0C2A" w:rsidRDefault="00332B9C" w:rsidP="007C1699">
            <w:pPr>
              <w:spacing w:after="0"/>
              <w:jc w:val="center"/>
              <w:rPr>
                <w:rFonts w:ascii="Arial" w:hAnsi="Arial" w:cs="Arial"/>
              </w:rPr>
            </w:pPr>
            <w:r w:rsidRPr="002D0C2A">
              <w:rPr>
                <w:rFonts w:ascii="Arial" w:hAnsi="Arial" w:cs="Arial"/>
              </w:rPr>
              <w:t>20</w:t>
            </w:r>
            <w:r w:rsidR="007C1699" w:rsidRPr="002D0C2A">
              <w:rPr>
                <w:rFonts w:ascii="Arial" w:hAnsi="Arial" w:cs="Arial"/>
              </w:rPr>
              <w:t>,</w:t>
            </w:r>
            <w:r w:rsidRPr="002D0C2A">
              <w:rPr>
                <w:rFonts w:ascii="Arial" w:hAnsi="Arial" w:cs="Arial"/>
              </w:rPr>
              <w:t>22</w:t>
            </w:r>
          </w:p>
        </w:tc>
        <w:tc>
          <w:tcPr>
            <w:tcW w:w="1007" w:type="dxa"/>
          </w:tcPr>
          <w:p w:rsidR="00332B9C" w:rsidRPr="002D0C2A" w:rsidRDefault="00332B9C" w:rsidP="007C1699">
            <w:pPr>
              <w:spacing w:after="0"/>
              <w:jc w:val="center"/>
              <w:rPr>
                <w:rFonts w:ascii="Arial" w:hAnsi="Arial" w:cs="Arial"/>
              </w:rPr>
            </w:pPr>
            <w:r w:rsidRPr="002D0C2A">
              <w:rPr>
                <w:rFonts w:ascii="Arial" w:hAnsi="Arial" w:cs="Arial"/>
              </w:rPr>
              <w:t>17</w:t>
            </w:r>
            <w:r w:rsidR="007C1699" w:rsidRPr="002D0C2A">
              <w:rPr>
                <w:rFonts w:ascii="Arial" w:hAnsi="Arial" w:cs="Arial"/>
              </w:rPr>
              <w:t>,</w:t>
            </w:r>
            <w:r w:rsidRPr="002D0C2A">
              <w:rPr>
                <w:rFonts w:ascii="Arial" w:hAnsi="Arial" w:cs="Arial"/>
              </w:rPr>
              <w:t>68</w:t>
            </w:r>
          </w:p>
        </w:tc>
        <w:tc>
          <w:tcPr>
            <w:tcW w:w="951" w:type="dxa"/>
          </w:tcPr>
          <w:p w:rsidR="00332B9C" w:rsidRPr="002D0C2A" w:rsidRDefault="00332B9C" w:rsidP="007C1699">
            <w:pPr>
              <w:spacing w:after="0"/>
              <w:jc w:val="center"/>
              <w:rPr>
                <w:rFonts w:ascii="Arial" w:hAnsi="Arial" w:cs="Arial"/>
              </w:rPr>
            </w:pPr>
            <w:r w:rsidRPr="002D0C2A">
              <w:rPr>
                <w:rFonts w:ascii="Arial" w:hAnsi="Arial" w:cs="Arial"/>
              </w:rPr>
              <w:t>12</w:t>
            </w:r>
            <w:r w:rsidR="007C1699" w:rsidRPr="002D0C2A">
              <w:rPr>
                <w:rFonts w:ascii="Arial" w:hAnsi="Arial" w:cs="Arial"/>
              </w:rPr>
              <w:t>,</w:t>
            </w:r>
            <w:r w:rsidRPr="002D0C2A">
              <w:rPr>
                <w:rFonts w:ascii="Arial" w:hAnsi="Arial" w:cs="Arial"/>
              </w:rPr>
              <w:t>92</w:t>
            </w:r>
          </w:p>
        </w:tc>
        <w:tc>
          <w:tcPr>
            <w:tcW w:w="951" w:type="dxa"/>
          </w:tcPr>
          <w:p w:rsidR="00332B9C" w:rsidRPr="002D0C2A" w:rsidRDefault="00332B9C" w:rsidP="007C1699">
            <w:pPr>
              <w:spacing w:after="0"/>
              <w:jc w:val="center"/>
              <w:rPr>
                <w:rFonts w:ascii="Arial" w:hAnsi="Arial" w:cs="Arial"/>
              </w:rPr>
            </w:pPr>
            <w:r w:rsidRPr="002D0C2A">
              <w:rPr>
                <w:rFonts w:ascii="Arial" w:hAnsi="Arial" w:cs="Arial"/>
              </w:rPr>
              <w:t>12</w:t>
            </w:r>
            <w:r w:rsidR="007C1699" w:rsidRPr="002D0C2A">
              <w:rPr>
                <w:rFonts w:ascii="Arial" w:hAnsi="Arial" w:cs="Arial"/>
              </w:rPr>
              <w:t>,</w:t>
            </w:r>
            <w:r w:rsidRPr="002D0C2A">
              <w:rPr>
                <w:rFonts w:ascii="Arial" w:hAnsi="Arial" w:cs="Arial"/>
              </w:rPr>
              <w:t>45</w:t>
            </w:r>
          </w:p>
        </w:tc>
      </w:tr>
    </w:tbl>
    <w:p w:rsidR="002D37E6" w:rsidRDefault="002D37E6" w:rsidP="00156E35">
      <w:pPr>
        <w:tabs>
          <w:tab w:val="left" w:pos="709"/>
        </w:tabs>
        <w:spacing w:after="0"/>
        <w:ind w:right="31"/>
        <w:rPr>
          <w:rFonts w:ascii="Arial" w:hAnsi="Arial" w:cs="Arial"/>
          <w:sz w:val="24"/>
          <w:szCs w:val="24"/>
        </w:rPr>
      </w:pPr>
    </w:p>
    <w:p w:rsidR="00332B9C" w:rsidRPr="00717595" w:rsidRDefault="00332B9C" w:rsidP="007C1699">
      <w:pPr>
        <w:tabs>
          <w:tab w:val="left" w:pos="709"/>
        </w:tabs>
        <w:spacing w:line="240" w:lineRule="auto"/>
        <w:ind w:right="31"/>
        <w:rPr>
          <w:rFonts w:ascii="Arial" w:hAnsi="Arial" w:cs="Arial"/>
          <w:sz w:val="24"/>
          <w:szCs w:val="24"/>
        </w:rPr>
      </w:pPr>
      <w:r w:rsidRPr="00717595">
        <w:rPr>
          <w:rFonts w:ascii="Arial" w:hAnsi="Arial" w:cs="Arial"/>
          <w:sz w:val="24"/>
          <w:szCs w:val="24"/>
        </w:rPr>
        <w:tab/>
        <w:t xml:space="preserve">În anul 2016, valorile medii anuale în urma măsurătorilor sunt </w:t>
      </w:r>
      <w:r w:rsidR="00EA10C5">
        <w:rPr>
          <w:rFonts w:ascii="Arial" w:hAnsi="Arial" w:cs="Arial"/>
          <w:sz w:val="24"/>
          <w:szCs w:val="24"/>
        </w:rPr>
        <w:t xml:space="preserve">situate </w:t>
      </w:r>
      <w:r w:rsidRPr="00717595">
        <w:rPr>
          <w:rFonts w:ascii="Arial" w:hAnsi="Arial" w:cs="Arial"/>
          <w:sz w:val="24"/>
          <w:szCs w:val="24"/>
        </w:rPr>
        <w:t>sub valoarea limită de 40 µg/m</w:t>
      </w:r>
      <w:r w:rsidRPr="00717595">
        <w:rPr>
          <w:rFonts w:ascii="Arial" w:hAnsi="Arial" w:cs="Arial"/>
          <w:sz w:val="24"/>
          <w:szCs w:val="24"/>
          <w:vertAlign w:val="superscript"/>
        </w:rPr>
        <w:t>3</w:t>
      </w:r>
      <w:r w:rsidRPr="00717595">
        <w:rPr>
          <w:rFonts w:ascii="Arial" w:hAnsi="Arial" w:cs="Arial"/>
          <w:sz w:val="24"/>
          <w:szCs w:val="24"/>
        </w:rPr>
        <w:t xml:space="preserve"> admisă de către Legea 104/2011.</w:t>
      </w:r>
    </w:p>
    <w:p w:rsidR="00332B9C" w:rsidRPr="00717595" w:rsidRDefault="00332B9C" w:rsidP="007C1699">
      <w:pPr>
        <w:tabs>
          <w:tab w:val="left" w:pos="709"/>
        </w:tabs>
        <w:ind w:left="720" w:right="31"/>
        <w:rPr>
          <w:rFonts w:ascii="Arial" w:hAnsi="Arial" w:cs="Arial"/>
          <w:sz w:val="24"/>
          <w:szCs w:val="24"/>
        </w:rPr>
      </w:pPr>
      <w:r w:rsidRPr="00717595">
        <w:rPr>
          <w:rFonts w:ascii="Arial" w:hAnsi="Arial" w:cs="Arial"/>
          <w:b/>
          <w:sz w:val="24"/>
          <w:szCs w:val="24"/>
        </w:rPr>
        <w:t>I.1.1.1.2. Dioxid de sulf</w:t>
      </w:r>
      <w:r w:rsidRPr="00717595">
        <w:rPr>
          <w:rFonts w:ascii="Arial" w:hAnsi="Arial" w:cs="Arial"/>
          <w:noProof/>
          <w:sz w:val="24"/>
          <w:szCs w:val="24"/>
          <w:lang w:eastAsia="ro-RO"/>
        </w:rPr>
        <w:drawing>
          <wp:inline distT="0" distB="0" distL="0" distR="0">
            <wp:extent cx="5267325" cy="1809750"/>
            <wp:effectExtent l="0" t="0" r="0" b="0"/>
            <wp:docPr id="12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32B9C" w:rsidRPr="002D37E6" w:rsidRDefault="00332B9C" w:rsidP="00332B9C">
      <w:pPr>
        <w:tabs>
          <w:tab w:val="num" w:pos="0"/>
        </w:tabs>
        <w:jc w:val="center"/>
        <w:rPr>
          <w:rFonts w:ascii="Arial" w:hAnsi="Arial" w:cs="Arial"/>
          <w:sz w:val="24"/>
          <w:szCs w:val="24"/>
        </w:rPr>
      </w:pPr>
      <w:r w:rsidRPr="002D37E6">
        <w:rPr>
          <w:rFonts w:ascii="Arial" w:hAnsi="Arial" w:cs="Arial"/>
          <w:sz w:val="24"/>
          <w:szCs w:val="24"/>
        </w:rPr>
        <w:t>Fig. I.1.1.1.2. Concentraţia medie anuală a dioxidului de sulf în anul 2016</w:t>
      </w:r>
    </w:p>
    <w:p w:rsidR="00332B9C" w:rsidRPr="002D37E6" w:rsidRDefault="00332B9C" w:rsidP="00332B9C">
      <w:pPr>
        <w:tabs>
          <w:tab w:val="num" w:pos="0"/>
        </w:tabs>
        <w:ind w:firstLine="720"/>
        <w:rPr>
          <w:rFonts w:ascii="Arial" w:hAnsi="Arial" w:cs="Arial"/>
          <w:sz w:val="24"/>
          <w:szCs w:val="24"/>
        </w:rPr>
      </w:pPr>
      <w:r w:rsidRPr="00717595">
        <w:rPr>
          <w:rFonts w:ascii="Arial" w:hAnsi="Arial" w:cs="Arial"/>
          <w:sz w:val="24"/>
          <w:szCs w:val="24"/>
        </w:rPr>
        <w:lastRenderedPageBreak/>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000A7839">
        <w:rPr>
          <w:rFonts w:ascii="Arial" w:hAnsi="Arial" w:cs="Arial"/>
          <w:sz w:val="24"/>
          <w:szCs w:val="24"/>
        </w:rPr>
        <w:t xml:space="preserve">                               </w:t>
      </w:r>
      <w:r w:rsidRPr="002D37E6">
        <w:rPr>
          <w:rFonts w:ascii="Arial" w:hAnsi="Arial" w:cs="Arial"/>
          <w:sz w:val="24"/>
          <w:szCs w:val="24"/>
        </w:rPr>
        <w:t>Tabel I.1.1.1.2.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1080"/>
        <w:gridCol w:w="1167"/>
        <w:gridCol w:w="1167"/>
        <w:gridCol w:w="1265"/>
        <w:gridCol w:w="1265"/>
      </w:tblGrid>
      <w:tr w:rsidR="00332B9C" w:rsidRPr="00717595" w:rsidTr="00332B9C">
        <w:trPr>
          <w:jc w:val="center"/>
        </w:trPr>
        <w:tc>
          <w:tcPr>
            <w:tcW w:w="2480" w:type="dxa"/>
            <w:shd w:val="clear" w:color="auto" w:fill="E6E6E6"/>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b/>
                <w:sz w:val="24"/>
                <w:szCs w:val="24"/>
              </w:rPr>
              <w:t>SO</w:t>
            </w:r>
            <w:r w:rsidRPr="00717595">
              <w:rPr>
                <w:rFonts w:ascii="Arial" w:hAnsi="Arial" w:cs="Arial"/>
                <w:b/>
                <w:sz w:val="24"/>
                <w:szCs w:val="24"/>
                <w:vertAlign w:val="subscript"/>
              </w:rPr>
              <w:t>2</w:t>
            </w:r>
            <w:r w:rsidRPr="00717595">
              <w:rPr>
                <w:rFonts w:ascii="Arial" w:hAnsi="Arial" w:cs="Arial"/>
                <w:sz w:val="24"/>
                <w:szCs w:val="24"/>
              </w:rPr>
              <w:t xml:space="preserve">  (</w:t>
            </w:r>
            <w:r w:rsidRPr="00717595">
              <w:rPr>
                <w:rFonts w:ascii="Arial" w:hAnsi="Arial" w:cs="Arial"/>
                <w:sz w:val="24"/>
                <w:szCs w:val="24"/>
              </w:rPr>
              <w:sym w:font="Symbol" w:char="F06D"/>
            </w:r>
            <w:r w:rsidRPr="00717595">
              <w:rPr>
                <w:rFonts w:ascii="Arial" w:hAnsi="Arial" w:cs="Arial"/>
                <w:sz w:val="24"/>
                <w:szCs w:val="24"/>
              </w:rPr>
              <w:t>g/mc)</w:t>
            </w:r>
          </w:p>
        </w:tc>
        <w:tc>
          <w:tcPr>
            <w:tcW w:w="1080" w:type="dxa"/>
            <w:shd w:val="clear" w:color="auto" w:fill="E6E6E6"/>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1</w:t>
            </w:r>
          </w:p>
        </w:tc>
        <w:tc>
          <w:tcPr>
            <w:tcW w:w="1167" w:type="dxa"/>
            <w:shd w:val="clear" w:color="auto" w:fill="E6E6E6"/>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2</w:t>
            </w:r>
          </w:p>
        </w:tc>
        <w:tc>
          <w:tcPr>
            <w:tcW w:w="1167" w:type="dxa"/>
            <w:shd w:val="clear" w:color="auto" w:fill="E6E6E6"/>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3</w:t>
            </w:r>
          </w:p>
        </w:tc>
        <w:tc>
          <w:tcPr>
            <w:tcW w:w="1265" w:type="dxa"/>
            <w:shd w:val="clear" w:color="auto" w:fill="E6E6E6"/>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4</w:t>
            </w:r>
          </w:p>
        </w:tc>
        <w:tc>
          <w:tcPr>
            <w:tcW w:w="1265" w:type="dxa"/>
            <w:shd w:val="clear" w:color="auto" w:fill="E6E6E6"/>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5</w:t>
            </w:r>
          </w:p>
        </w:tc>
      </w:tr>
      <w:tr w:rsidR="00332B9C" w:rsidRPr="00717595" w:rsidTr="00332B9C">
        <w:trPr>
          <w:jc w:val="center"/>
        </w:trPr>
        <w:tc>
          <w:tcPr>
            <w:tcW w:w="2480" w:type="dxa"/>
          </w:tcPr>
          <w:p w:rsidR="00332B9C" w:rsidRPr="00717595" w:rsidRDefault="00332B9C" w:rsidP="002D0C2A">
            <w:pPr>
              <w:spacing w:after="0" w:line="240" w:lineRule="auto"/>
              <w:rPr>
                <w:rFonts w:ascii="Arial" w:hAnsi="Arial" w:cs="Arial"/>
                <w:sz w:val="24"/>
                <w:szCs w:val="24"/>
              </w:rPr>
            </w:pPr>
            <w:r w:rsidRPr="00717595">
              <w:rPr>
                <w:rFonts w:ascii="Arial" w:hAnsi="Arial" w:cs="Arial"/>
                <w:sz w:val="24"/>
                <w:szCs w:val="24"/>
              </w:rPr>
              <w:t>2016 Medii anuale</w:t>
            </w:r>
          </w:p>
        </w:tc>
        <w:tc>
          <w:tcPr>
            <w:tcW w:w="1080" w:type="dxa"/>
            <w:vAlign w:val="center"/>
          </w:tcPr>
          <w:p w:rsidR="00332B9C" w:rsidRPr="00717595" w:rsidRDefault="00332B9C" w:rsidP="002D0C2A">
            <w:pPr>
              <w:autoSpaceDE w:val="0"/>
              <w:autoSpaceDN w:val="0"/>
              <w:adjustRightInd w:val="0"/>
              <w:spacing w:after="0" w:line="240" w:lineRule="auto"/>
              <w:jc w:val="center"/>
              <w:rPr>
                <w:rFonts w:ascii="Arial" w:eastAsia="Times New Roman" w:hAnsi="Arial" w:cs="Arial"/>
                <w:bCs/>
                <w:color w:val="000000"/>
                <w:sz w:val="24"/>
                <w:szCs w:val="24"/>
                <w:lang w:eastAsia="ro-RO"/>
              </w:rPr>
            </w:pPr>
            <w:r w:rsidRPr="00717595">
              <w:rPr>
                <w:rFonts w:ascii="Arial" w:eastAsia="Times New Roman" w:hAnsi="Arial" w:cs="Arial"/>
                <w:bCs/>
                <w:color w:val="000000"/>
                <w:sz w:val="24"/>
                <w:szCs w:val="24"/>
                <w:lang w:eastAsia="ro-RO"/>
              </w:rPr>
              <w:t>5,09</w:t>
            </w:r>
          </w:p>
        </w:tc>
        <w:tc>
          <w:tcPr>
            <w:tcW w:w="1167" w:type="dxa"/>
            <w:vAlign w:val="center"/>
          </w:tcPr>
          <w:p w:rsidR="00332B9C" w:rsidRPr="00717595" w:rsidRDefault="00332B9C" w:rsidP="002D0C2A">
            <w:pPr>
              <w:autoSpaceDE w:val="0"/>
              <w:autoSpaceDN w:val="0"/>
              <w:adjustRightInd w:val="0"/>
              <w:spacing w:after="0" w:line="240" w:lineRule="auto"/>
              <w:jc w:val="center"/>
              <w:rPr>
                <w:rFonts w:ascii="Arial" w:eastAsia="Times New Roman" w:hAnsi="Arial" w:cs="Arial"/>
                <w:bCs/>
                <w:color w:val="000000"/>
                <w:sz w:val="24"/>
                <w:szCs w:val="24"/>
                <w:lang w:eastAsia="ro-RO"/>
              </w:rPr>
            </w:pPr>
            <w:r w:rsidRPr="00717595">
              <w:rPr>
                <w:rFonts w:ascii="Arial" w:eastAsia="Times New Roman" w:hAnsi="Arial" w:cs="Arial"/>
                <w:bCs/>
                <w:color w:val="000000"/>
                <w:sz w:val="24"/>
                <w:szCs w:val="24"/>
                <w:lang w:eastAsia="ro-RO"/>
              </w:rPr>
              <w:t>3,59</w:t>
            </w:r>
          </w:p>
        </w:tc>
        <w:tc>
          <w:tcPr>
            <w:tcW w:w="1167" w:type="dxa"/>
            <w:vAlign w:val="center"/>
          </w:tcPr>
          <w:p w:rsidR="00332B9C" w:rsidRPr="00717595" w:rsidRDefault="00332B9C" w:rsidP="002D0C2A">
            <w:pPr>
              <w:autoSpaceDE w:val="0"/>
              <w:autoSpaceDN w:val="0"/>
              <w:adjustRightInd w:val="0"/>
              <w:spacing w:after="0" w:line="240" w:lineRule="auto"/>
              <w:jc w:val="center"/>
              <w:rPr>
                <w:rFonts w:ascii="Arial" w:eastAsia="Times New Roman" w:hAnsi="Arial" w:cs="Arial"/>
                <w:bCs/>
                <w:color w:val="000000"/>
                <w:sz w:val="24"/>
                <w:szCs w:val="24"/>
                <w:lang w:eastAsia="ro-RO"/>
              </w:rPr>
            </w:pPr>
            <w:r w:rsidRPr="00717595">
              <w:rPr>
                <w:rFonts w:ascii="Arial" w:eastAsia="Times New Roman" w:hAnsi="Arial" w:cs="Arial"/>
                <w:bCs/>
                <w:color w:val="000000"/>
                <w:sz w:val="24"/>
                <w:szCs w:val="24"/>
                <w:lang w:eastAsia="ro-RO"/>
              </w:rPr>
              <w:t>2,77</w:t>
            </w:r>
          </w:p>
        </w:tc>
        <w:tc>
          <w:tcPr>
            <w:tcW w:w="1265" w:type="dxa"/>
            <w:vAlign w:val="center"/>
          </w:tcPr>
          <w:p w:rsidR="00332B9C" w:rsidRPr="00717595" w:rsidRDefault="00332B9C" w:rsidP="002D0C2A">
            <w:pPr>
              <w:autoSpaceDE w:val="0"/>
              <w:autoSpaceDN w:val="0"/>
              <w:adjustRightInd w:val="0"/>
              <w:spacing w:after="0" w:line="240" w:lineRule="auto"/>
              <w:jc w:val="center"/>
              <w:rPr>
                <w:rFonts w:ascii="Arial" w:eastAsia="Times New Roman" w:hAnsi="Arial" w:cs="Arial"/>
                <w:bCs/>
                <w:color w:val="000000"/>
                <w:sz w:val="24"/>
                <w:szCs w:val="24"/>
                <w:lang w:eastAsia="ro-RO"/>
              </w:rPr>
            </w:pPr>
            <w:r w:rsidRPr="00717595">
              <w:rPr>
                <w:rFonts w:ascii="Arial" w:eastAsia="Times New Roman" w:hAnsi="Arial" w:cs="Arial"/>
                <w:bCs/>
                <w:color w:val="000000"/>
                <w:sz w:val="24"/>
                <w:szCs w:val="24"/>
                <w:lang w:eastAsia="ro-RO"/>
              </w:rPr>
              <w:t>5,45</w:t>
            </w:r>
          </w:p>
        </w:tc>
        <w:tc>
          <w:tcPr>
            <w:tcW w:w="1265" w:type="dxa"/>
            <w:vAlign w:val="center"/>
          </w:tcPr>
          <w:p w:rsidR="00332B9C" w:rsidRPr="00717595" w:rsidRDefault="00332B9C" w:rsidP="002D0C2A">
            <w:pPr>
              <w:autoSpaceDE w:val="0"/>
              <w:autoSpaceDN w:val="0"/>
              <w:adjustRightInd w:val="0"/>
              <w:spacing w:after="0" w:line="240" w:lineRule="auto"/>
              <w:jc w:val="center"/>
              <w:rPr>
                <w:rFonts w:ascii="Arial" w:eastAsia="Times New Roman" w:hAnsi="Arial" w:cs="Arial"/>
                <w:bCs/>
                <w:color w:val="000000"/>
                <w:sz w:val="24"/>
                <w:szCs w:val="24"/>
                <w:lang w:eastAsia="ro-RO"/>
              </w:rPr>
            </w:pPr>
            <w:r w:rsidRPr="00717595">
              <w:rPr>
                <w:rFonts w:ascii="Arial" w:eastAsia="Times New Roman" w:hAnsi="Arial" w:cs="Arial"/>
                <w:bCs/>
                <w:color w:val="000000"/>
                <w:sz w:val="24"/>
                <w:szCs w:val="24"/>
                <w:lang w:eastAsia="ro-RO"/>
              </w:rPr>
              <w:t>3,56</w:t>
            </w:r>
          </w:p>
        </w:tc>
      </w:tr>
    </w:tbl>
    <w:p w:rsidR="00332B9C" w:rsidRPr="00717595" w:rsidRDefault="00332B9C" w:rsidP="00156E35">
      <w:pPr>
        <w:tabs>
          <w:tab w:val="num" w:pos="0"/>
        </w:tabs>
        <w:spacing w:after="0"/>
        <w:rPr>
          <w:rFonts w:ascii="Arial" w:hAnsi="Arial" w:cs="Arial"/>
          <w:color w:val="008000"/>
          <w:sz w:val="24"/>
          <w:szCs w:val="24"/>
          <w:highlight w:val="cyan"/>
        </w:rPr>
      </w:pPr>
    </w:p>
    <w:p w:rsidR="00332B9C" w:rsidRPr="00717595" w:rsidRDefault="00332B9C" w:rsidP="002D37E6">
      <w:pPr>
        <w:tabs>
          <w:tab w:val="num" w:pos="0"/>
        </w:tabs>
        <w:jc w:val="both"/>
        <w:rPr>
          <w:rFonts w:ascii="Arial" w:hAnsi="Arial" w:cs="Arial"/>
          <w:b/>
          <w:sz w:val="24"/>
          <w:szCs w:val="24"/>
        </w:rPr>
      </w:pPr>
      <w:r w:rsidRPr="00717595">
        <w:rPr>
          <w:rFonts w:ascii="Arial" w:hAnsi="Arial" w:cs="Arial"/>
          <w:sz w:val="24"/>
          <w:szCs w:val="24"/>
        </w:rPr>
        <w:tab/>
      </w:r>
      <w:r w:rsidRPr="00717595">
        <w:rPr>
          <w:rFonts w:ascii="Arial" w:hAnsi="Arial" w:cs="Arial"/>
          <w:b/>
          <w:sz w:val="24"/>
          <w:szCs w:val="24"/>
          <w:lang w:eastAsia="ro-RO"/>
        </w:rPr>
        <w:t>I.1.1.1.3.</w:t>
      </w:r>
      <w:r w:rsidRPr="00717595">
        <w:rPr>
          <w:rFonts w:ascii="Arial" w:hAnsi="Arial" w:cs="Arial"/>
          <w:b/>
          <w:sz w:val="24"/>
          <w:szCs w:val="24"/>
        </w:rPr>
        <w:t>Pulberi în suspensie – PM10 şi PM2,5 (gravimetric şi nefelometric)</w:t>
      </w:r>
    </w:p>
    <w:p w:rsidR="00332B9C" w:rsidRPr="00717595" w:rsidRDefault="00332B9C" w:rsidP="007C1699">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 xml:space="preserve">Pentru determinarea pulberilor </w:t>
      </w:r>
      <w:r w:rsidRPr="00717595">
        <w:rPr>
          <w:rFonts w:ascii="Arial" w:hAnsi="Arial" w:cs="Arial"/>
          <w:iCs/>
          <w:color w:val="000000"/>
          <w:sz w:val="24"/>
          <w:szCs w:val="24"/>
        </w:rPr>
        <w:t>PM</w:t>
      </w:r>
      <w:r w:rsidRPr="00717595">
        <w:rPr>
          <w:rFonts w:ascii="Arial" w:hAnsi="Arial" w:cs="Arial"/>
          <w:iCs/>
          <w:color w:val="000000"/>
          <w:sz w:val="24"/>
          <w:szCs w:val="24"/>
          <w:vertAlign w:val="subscript"/>
        </w:rPr>
        <w:t>10</w:t>
      </w:r>
      <w:r w:rsidRPr="00717595">
        <w:rPr>
          <w:rFonts w:ascii="Arial" w:hAnsi="Arial" w:cs="Arial"/>
          <w:sz w:val="24"/>
          <w:szCs w:val="24"/>
        </w:rPr>
        <w:t>, care constituie fracţia dimensională de interes toxicologic din aerosuspensia urbană, se aplică două metode: metoda automată (nefelometrie) şi metoda gravimetrică, care de altfel este metoda de referinţă.</w:t>
      </w:r>
    </w:p>
    <w:p w:rsidR="00332B9C" w:rsidRPr="00717595" w:rsidRDefault="00332B9C" w:rsidP="007C1699">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Măsurările automate (prin metoda nefelometrica) au scop informativ, iar depăşirile înregistrate pot fi confirmate/infirmate ulterior de către rezultatul analizei prin metoda de referinţă gravimetrică.</w:t>
      </w:r>
    </w:p>
    <w:p w:rsidR="00332B9C" w:rsidRPr="00717595" w:rsidRDefault="00332B9C" w:rsidP="007C1699">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Concentraţiile medii zilnice de particule în suspensie (</w:t>
      </w:r>
      <w:r w:rsidRPr="00717595">
        <w:rPr>
          <w:rFonts w:ascii="Arial" w:hAnsi="Arial" w:cs="Arial"/>
          <w:iCs/>
          <w:color w:val="000000"/>
          <w:sz w:val="24"/>
          <w:szCs w:val="24"/>
        </w:rPr>
        <w:t>PM</w:t>
      </w:r>
      <w:r w:rsidRPr="00717595">
        <w:rPr>
          <w:rFonts w:ascii="Arial" w:hAnsi="Arial" w:cs="Arial"/>
          <w:iCs/>
          <w:color w:val="000000"/>
          <w:sz w:val="24"/>
          <w:szCs w:val="24"/>
          <w:vertAlign w:val="subscript"/>
        </w:rPr>
        <w:t>10</w:t>
      </w:r>
      <w:r w:rsidRPr="00717595">
        <w:rPr>
          <w:rFonts w:ascii="Arial" w:hAnsi="Arial" w:cs="Arial"/>
          <w:sz w:val="24"/>
          <w:szCs w:val="24"/>
        </w:rPr>
        <w:t>şi PM2,5) sunt influenţate direct de factorii meteo: direcţia şi viteza vântului, precipitaţiile, temperatura aerului, etc., și de factorii geografici specifici zonei.</w:t>
      </w:r>
    </w:p>
    <w:p w:rsidR="00332B9C" w:rsidRDefault="00332B9C" w:rsidP="007C1699">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 xml:space="preserve">În anul 2016, rezultatele monitorizării calităţii aerului, în municipiul </w:t>
      </w:r>
      <w:r w:rsidR="00217620">
        <w:rPr>
          <w:rFonts w:ascii="Arial" w:hAnsi="Arial" w:cs="Arial"/>
          <w:sz w:val="24"/>
          <w:szCs w:val="24"/>
        </w:rPr>
        <w:t>Brăila</w:t>
      </w:r>
      <w:r w:rsidRPr="00717595">
        <w:rPr>
          <w:rFonts w:ascii="Arial" w:hAnsi="Arial" w:cs="Arial"/>
          <w:sz w:val="24"/>
          <w:szCs w:val="24"/>
        </w:rPr>
        <w:t xml:space="preserve">, nu au evidenţiat valori care să depăşească valoarea limită zilnică la indicatorul </w:t>
      </w:r>
      <w:r w:rsidRPr="00717595">
        <w:rPr>
          <w:rFonts w:ascii="Arial" w:hAnsi="Arial" w:cs="Arial"/>
          <w:i/>
          <w:sz w:val="24"/>
          <w:szCs w:val="24"/>
        </w:rPr>
        <w:t xml:space="preserve">particule în suspensie </w:t>
      </w:r>
      <w:r w:rsidRPr="00717595">
        <w:rPr>
          <w:rFonts w:ascii="Arial" w:hAnsi="Arial" w:cs="Arial"/>
          <w:i/>
          <w:iCs/>
          <w:color w:val="000000"/>
          <w:sz w:val="24"/>
          <w:szCs w:val="24"/>
        </w:rPr>
        <w:t>PM</w:t>
      </w:r>
      <w:r w:rsidRPr="00717595">
        <w:rPr>
          <w:rFonts w:ascii="Arial" w:hAnsi="Arial" w:cs="Arial"/>
          <w:i/>
          <w:iCs/>
          <w:color w:val="000000"/>
          <w:sz w:val="24"/>
          <w:szCs w:val="24"/>
          <w:vertAlign w:val="subscript"/>
        </w:rPr>
        <w:t>10</w:t>
      </w:r>
      <w:r w:rsidRPr="00717595">
        <w:rPr>
          <w:rFonts w:ascii="Arial" w:hAnsi="Arial" w:cs="Arial"/>
          <w:sz w:val="24"/>
          <w:szCs w:val="24"/>
        </w:rPr>
        <w:t>.</w:t>
      </w:r>
    </w:p>
    <w:p w:rsidR="007C1699" w:rsidRPr="00717595" w:rsidRDefault="007C1699" w:rsidP="007C1699">
      <w:pPr>
        <w:autoSpaceDE w:val="0"/>
        <w:autoSpaceDN w:val="0"/>
        <w:adjustRightInd w:val="0"/>
        <w:spacing w:after="0" w:line="240" w:lineRule="auto"/>
        <w:ind w:firstLine="720"/>
        <w:jc w:val="both"/>
        <w:rPr>
          <w:rFonts w:ascii="Arial" w:hAnsi="Arial" w:cs="Arial"/>
          <w:sz w:val="24"/>
          <w:szCs w:val="24"/>
        </w:rPr>
      </w:pPr>
    </w:p>
    <w:p w:rsidR="00332B9C" w:rsidRPr="00717595" w:rsidRDefault="00332B9C" w:rsidP="007C1699">
      <w:pPr>
        <w:tabs>
          <w:tab w:val="num" w:pos="0"/>
        </w:tabs>
        <w:jc w:val="center"/>
        <w:rPr>
          <w:rFonts w:ascii="Arial" w:hAnsi="Arial" w:cs="Arial"/>
          <w:sz w:val="24"/>
          <w:szCs w:val="24"/>
        </w:rPr>
      </w:pPr>
      <w:r w:rsidRPr="00717595">
        <w:rPr>
          <w:rFonts w:ascii="Arial" w:hAnsi="Arial" w:cs="Arial"/>
          <w:noProof/>
          <w:sz w:val="24"/>
          <w:szCs w:val="24"/>
          <w:lang w:eastAsia="ro-RO"/>
        </w:rPr>
        <w:drawing>
          <wp:inline distT="0" distB="0" distL="0" distR="0">
            <wp:extent cx="5429250" cy="2180674"/>
            <wp:effectExtent l="0" t="0" r="0" b="0"/>
            <wp:docPr id="12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32B9C" w:rsidRPr="00717595" w:rsidRDefault="00332B9C" w:rsidP="00332B9C">
      <w:pPr>
        <w:tabs>
          <w:tab w:val="left" w:pos="0"/>
        </w:tabs>
        <w:ind w:right="31"/>
        <w:jc w:val="center"/>
        <w:rPr>
          <w:rFonts w:ascii="Arial" w:hAnsi="Arial" w:cs="Arial"/>
          <w:b/>
          <w:sz w:val="24"/>
          <w:szCs w:val="24"/>
        </w:rPr>
      </w:pPr>
      <w:r w:rsidRPr="00717595">
        <w:rPr>
          <w:rFonts w:ascii="Arial" w:hAnsi="Arial" w:cs="Arial"/>
          <w:sz w:val="24"/>
          <w:szCs w:val="24"/>
        </w:rPr>
        <w:t>Fig.I.1.1.1.3.Concentraţia medie anuală PM</w:t>
      </w:r>
      <w:r w:rsidRPr="009F750E">
        <w:rPr>
          <w:rFonts w:ascii="Arial" w:hAnsi="Arial" w:cs="Arial"/>
          <w:sz w:val="24"/>
          <w:szCs w:val="24"/>
          <w:vertAlign w:val="subscript"/>
        </w:rPr>
        <w:t>10</w:t>
      </w:r>
      <w:r w:rsidRPr="00717595">
        <w:rPr>
          <w:rFonts w:ascii="Arial" w:hAnsi="Arial" w:cs="Arial"/>
          <w:sz w:val="24"/>
          <w:szCs w:val="24"/>
        </w:rPr>
        <w:t xml:space="preserve"> în anul 2016</w:t>
      </w:r>
    </w:p>
    <w:p w:rsidR="00332B9C" w:rsidRPr="00717595" w:rsidRDefault="00332B9C" w:rsidP="00332B9C">
      <w:pPr>
        <w:tabs>
          <w:tab w:val="num" w:pos="0"/>
        </w:tabs>
        <w:rPr>
          <w:rFonts w:ascii="Arial" w:hAnsi="Arial" w:cs="Arial"/>
          <w:sz w:val="24"/>
          <w:szCs w:val="24"/>
        </w:rPr>
      </w:pP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002D37E6">
        <w:rPr>
          <w:rFonts w:ascii="Arial" w:hAnsi="Arial" w:cs="Arial"/>
          <w:b/>
          <w:sz w:val="24"/>
          <w:szCs w:val="24"/>
        </w:rPr>
        <w:t xml:space="preserve">     </w:t>
      </w:r>
      <w:r w:rsidRPr="00717595">
        <w:rPr>
          <w:rFonts w:ascii="Arial" w:hAnsi="Arial" w:cs="Arial"/>
          <w:sz w:val="24"/>
          <w:szCs w:val="24"/>
        </w:rPr>
        <w:t>Tabel I.1.1.1.3.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332B9C" w:rsidRPr="00717595" w:rsidTr="002D0C2A">
        <w:trPr>
          <w:jc w:val="center"/>
        </w:trPr>
        <w:tc>
          <w:tcPr>
            <w:tcW w:w="3381" w:type="dxa"/>
            <w:vAlign w:val="center"/>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b/>
                <w:sz w:val="24"/>
                <w:szCs w:val="24"/>
              </w:rPr>
              <w:t>PM</w:t>
            </w:r>
            <w:r w:rsidRPr="009F750E">
              <w:rPr>
                <w:rFonts w:ascii="Arial" w:hAnsi="Arial" w:cs="Arial"/>
                <w:b/>
                <w:sz w:val="24"/>
                <w:szCs w:val="24"/>
                <w:vertAlign w:val="subscript"/>
              </w:rPr>
              <w:t>10</w:t>
            </w:r>
            <w:r w:rsidRPr="00717595">
              <w:rPr>
                <w:rFonts w:ascii="Arial" w:hAnsi="Arial" w:cs="Arial"/>
                <w:b/>
                <w:sz w:val="24"/>
                <w:szCs w:val="24"/>
              </w:rPr>
              <w:t xml:space="preserve"> nefelometric</w:t>
            </w:r>
            <w:r w:rsidRPr="00717595">
              <w:rPr>
                <w:rFonts w:ascii="Arial" w:hAnsi="Arial" w:cs="Arial"/>
                <w:sz w:val="24"/>
                <w:szCs w:val="24"/>
              </w:rPr>
              <w:t xml:space="preserve"> (</w:t>
            </w:r>
            <w:r w:rsidRPr="00717595">
              <w:rPr>
                <w:rFonts w:ascii="Arial" w:hAnsi="Arial" w:cs="Arial"/>
                <w:sz w:val="24"/>
                <w:szCs w:val="24"/>
              </w:rPr>
              <w:sym w:font="Symbol" w:char="F06D"/>
            </w:r>
            <w:r w:rsidRPr="00717595">
              <w:rPr>
                <w:rFonts w:ascii="Arial" w:hAnsi="Arial" w:cs="Arial"/>
                <w:sz w:val="24"/>
                <w:szCs w:val="24"/>
              </w:rPr>
              <w:t>g/mc)</w:t>
            </w:r>
          </w:p>
        </w:tc>
        <w:tc>
          <w:tcPr>
            <w:tcW w:w="951" w:type="dxa"/>
            <w:vAlign w:val="center"/>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1</w:t>
            </w:r>
          </w:p>
        </w:tc>
        <w:tc>
          <w:tcPr>
            <w:tcW w:w="951" w:type="dxa"/>
            <w:vAlign w:val="center"/>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2</w:t>
            </w:r>
          </w:p>
        </w:tc>
        <w:tc>
          <w:tcPr>
            <w:tcW w:w="951" w:type="dxa"/>
            <w:vAlign w:val="center"/>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3</w:t>
            </w:r>
          </w:p>
        </w:tc>
        <w:tc>
          <w:tcPr>
            <w:tcW w:w="951" w:type="dxa"/>
            <w:vAlign w:val="center"/>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4</w:t>
            </w:r>
          </w:p>
        </w:tc>
        <w:tc>
          <w:tcPr>
            <w:tcW w:w="951" w:type="dxa"/>
            <w:vAlign w:val="center"/>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5</w:t>
            </w:r>
          </w:p>
        </w:tc>
      </w:tr>
      <w:tr w:rsidR="00332B9C" w:rsidRPr="00717595" w:rsidTr="002D0C2A">
        <w:trPr>
          <w:jc w:val="center"/>
        </w:trPr>
        <w:tc>
          <w:tcPr>
            <w:tcW w:w="3381" w:type="dxa"/>
            <w:vAlign w:val="center"/>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2016 Medii anuale</w:t>
            </w:r>
          </w:p>
        </w:tc>
        <w:tc>
          <w:tcPr>
            <w:tcW w:w="951" w:type="dxa"/>
            <w:vAlign w:val="center"/>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24,61</w:t>
            </w:r>
          </w:p>
        </w:tc>
        <w:tc>
          <w:tcPr>
            <w:tcW w:w="951" w:type="dxa"/>
            <w:vAlign w:val="center"/>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21,91</w:t>
            </w:r>
          </w:p>
        </w:tc>
        <w:tc>
          <w:tcPr>
            <w:tcW w:w="951" w:type="dxa"/>
            <w:vAlign w:val="center"/>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30,85</w:t>
            </w:r>
          </w:p>
        </w:tc>
        <w:tc>
          <w:tcPr>
            <w:tcW w:w="951" w:type="dxa"/>
            <w:vAlign w:val="center"/>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22,46</w:t>
            </w:r>
          </w:p>
        </w:tc>
        <w:tc>
          <w:tcPr>
            <w:tcW w:w="951" w:type="dxa"/>
            <w:tcBorders>
              <w:bottom w:val="single" w:sz="4" w:space="0" w:color="auto"/>
            </w:tcBorders>
            <w:vAlign w:val="center"/>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33,4</w:t>
            </w:r>
          </w:p>
        </w:tc>
      </w:tr>
    </w:tbl>
    <w:p w:rsidR="00332B9C" w:rsidRPr="00717595" w:rsidRDefault="00332B9C" w:rsidP="00156E35">
      <w:pPr>
        <w:tabs>
          <w:tab w:val="left" w:pos="709"/>
        </w:tabs>
        <w:spacing w:after="0"/>
        <w:ind w:left="720" w:right="31"/>
        <w:rPr>
          <w:rFonts w:ascii="Arial" w:hAnsi="Arial" w:cs="Arial"/>
          <w:b/>
          <w:sz w:val="24"/>
          <w:szCs w:val="24"/>
        </w:rPr>
      </w:pPr>
    </w:p>
    <w:p w:rsidR="00332B9C" w:rsidRPr="00717595" w:rsidRDefault="00332B9C" w:rsidP="00332B9C">
      <w:pPr>
        <w:tabs>
          <w:tab w:val="left" w:pos="709"/>
        </w:tabs>
        <w:ind w:left="720" w:right="31"/>
        <w:rPr>
          <w:rFonts w:ascii="Arial" w:hAnsi="Arial" w:cs="Arial"/>
          <w:sz w:val="24"/>
          <w:szCs w:val="24"/>
        </w:rPr>
      </w:pPr>
      <w:r>
        <w:rPr>
          <w:rFonts w:ascii="Arial" w:hAnsi="Arial" w:cs="Arial"/>
          <w:b/>
          <w:sz w:val="24"/>
          <w:szCs w:val="24"/>
        </w:rPr>
        <w:t xml:space="preserve">          </w:t>
      </w:r>
      <w:r w:rsidRPr="00717595">
        <w:rPr>
          <w:rFonts w:ascii="Arial" w:hAnsi="Arial" w:cs="Arial"/>
          <w:b/>
          <w:sz w:val="24"/>
          <w:szCs w:val="24"/>
        </w:rPr>
        <w:t>I.1.1.1.4.Metale grele – plumb</w:t>
      </w:r>
    </w:p>
    <w:p w:rsidR="00332B9C" w:rsidRPr="00717595" w:rsidRDefault="00332B9C" w:rsidP="00332B9C">
      <w:pPr>
        <w:tabs>
          <w:tab w:val="num" w:pos="0"/>
        </w:tabs>
        <w:jc w:val="both"/>
        <w:rPr>
          <w:rFonts w:ascii="Arial" w:hAnsi="Arial" w:cs="Arial"/>
          <w:b/>
          <w:sz w:val="24"/>
          <w:szCs w:val="24"/>
        </w:rPr>
      </w:pPr>
      <w:r w:rsidRPr="00717595">
        <w:rPr>
          <w:rFonts w:ascii="Arial" w:hAnsi="Arial" w:cs="Arial"/>
          <w:sz w:val="24"/>
          <w:szCs w:val="24"/>
        </w:rPr>
        <w:tab/>
      </w:r>
      <w:r w:rsidRPr="00717595">
        <w:rPr>
          <w:rFonts w:ascii="Arial" w:hAnsi="Arial" w:cs="Arial"/>
          <w:sz w:val="24"/>
          <w:szCs w:val="24"/>
        </w:rPr>
        <w:tab/>
        <w:t>În anul 2016, nu s-au făcut determinări de plumb.</w:t>
      </w:r>
    </w:p>
    <w:p w:rsidR="00332B9C" w:rsidRPr="00717595" w:rsidRDefault="00332B9C" w:rsidP="00332B9C">
      <w:pPr>
        <w:tabs>
          <w:tab w:val="num" w:pos="0"/>
        </w:tabs>
        <w:ind w:firstLine="720"/>
        <w:rPr>
          <w:rFonts w:ascii="Arial" w:hAnsi="Arial" w:cs="Arial"/>
          <w:b/>
          <w:sz w:val="24"/>
          <w:szCs w:val="24"/>
        </w:rPr>
      </w:pPr>
      <w:r w:rsidRPr="00717595">
        <w:rPr>
          <w:rFonts w:ascii="Arial" w:hAnsi="Arial" w:cs="Arial"/>
          <w:b/>
          <w:sz w:val="24"/>
          <w:szCs w:val="24"/>
        </w:rPr>
        <w:tab/>
        <w:t>I.1.1.1.5. Monoxid de carbon</w:t>
      </w:r>
    </w:p>
    <w:p w:rsidR="00332B9C" w:rsidRPr="00717595" w:rsidRDefault="00332B9C" w:rsidP="00332B9C">
      <w:pPr>
        <w:tabs>
          <w:tab w:val="num" w:pos="0"/>
        </w:tabs>
        <w:jc w:val="center"/>
        <w:rPr>
          <w:rFonts w:ascii="Arial" w:hAnsi="Arial" w:cs="Arial"/>
          <w:sz w:val="24"/>
          <w:szCs w:val="24"/>
        </w:rPr>
      </w:pPr>
      <w:r w:rsidRPr="00717595">
        <w:rPr>
          <w:rFonts w:ascii="Arial" w:hAnsi="Arial" w:cs="Arial"/>
          <w:noProof/>
          <w:sz w:val="24"/>
          <w:szCs w:val="24"/>
          <w:lang w:eastAsia="ro-RO"/>
        </w:rPr>
        <w:lastRenderedPageBreak/>
        <w:drawing>
          <wp:inline distT="0" distB="0" distL="0" distR="0">
            <wp:extent cx="5010150" cy="1828800"/>
            <wp:effectExtent l="0" t="0" r="0" b="0"/>
            <wp:docPr id="126"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2B9C" w:rsidRPr="00717595" w:rsidRDefault="00332B9C" w:rsidP="00332B9C">
      <w:pPr>
        <w:jc w:val="center"/>
        <w:rPr>
          <w:rFonts w:ascii="Arial" w:hAnsi="Arial" w:cs="Arial"/>
          <w:sz w:val="24"/>
          <w:szCs w:val="24"/>
        </w:rPr>
      </w:pPr>
      <w:r w:rsidRPr="00717595">
        <w:rPr>
          <w:rFonts w:ascii="Arial" w:hAnsi="Arial" w:cs="Arial"/>
          <w:sz w:val="24"/>
          <w:szCs w:val="24"/>
        </w:rPr>
        <w:t>Fig. I.1.1.1.5. Concentraţia medie anuală a monoxidului de carbon</w:t>
      </w:r>
      <w:r w:rsidR="009F750E">
        <w:rPr>
          <w:rFonts w:ascii="Arial" w:hAnsi="Arial" w:cs="Arial"/>
          <w:sz w:val="24"/>
          <w:szCs w:val="24"/>
        </w:rPr>
        <w:t xml:space="preserve"> 2016</w:t>
      </w:r>
    </w:p>
    <w:p w:rsidR="00332B9C" w:rsidRPr="00717595" w:rsidRDefault="00332B9C" w:rsidP="00332B9C">
      <w:pPr>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t>Tabel I.1.1.1.5.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1080"/>
        <w:gridCol w:w="1167"/>
        <w:gridCol w:w="1029"/>
        <w:gridCol w:w="951"/>
        <w:gridCol w:w="1101"/>
      </w:tblGrid>
      <w:tr w:rsidR="00332B9C" w:rsidRPr="00717595" w:rsidTr="00332B9C">
        <w:trPr>
          <w:jc w:val="center"/>
        </w:trPr>
        <w:tc>
          <w:tcPr>
            <w:tcW w:w="2204"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b/>
                <w:sz w:val="24"/>
                <w:szCs w:val="24"/>
              </w:rPr>
              <w:t>CO</w:t>
            </w:r>
            <w:r w:rsidRPr="00717595">
              <w:rPr>
                <w:rFonts w:ascii="Arial" w:hAnsi="Arial" w:cs="Arial"/>
                <w:sz w:val="24"/>
                <w:szCs w:val="24"/>
              </w:rPr>
              <w:t xml:space="preserve">    (mg/mc)</w:t>
            </w:r>
          </w:p>
        </w:tc>
        <w:tc>
          <w:tcPr>
            <w:tcW w:w="1080"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1</w:t>
            </w:r>
          </w:p>
        </w:tc>
        <w:tc>
          <w:tcPr>
            <w:tcW w:w="1167"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2</w:t>
            </w:r>
          </w:p>
        </w:tc>
        <w:tc>
          <w:tcPr>
            <w:tcW w:w="1029"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3</w:t>
            </w:r>
          </w:p>
        </w:tc>
        <w:tc>
          <w:tcPr>
            <w:tcW w:w="951"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4</w:t>
            </w:r>
          </w:p>
        </w:tc>
        <w:tc>
          <w:tcPr>
            <w:tcW w:w="1101"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5</w:t>
            </w:r>
          </w:p>
        </w:tc>
      </w:tr>
      <w:tr w:rsidR="00332B9C" w:rsidRPr="00717595" w:rsidTr="00332B9C">
        <w:trPr>
          <w:jc w:val="center"/>
        </w:trPr>
        <w:tc>
          <w:tcPr>
            <w:tcW w:w="2204" w:type="dxa"/>
          </w:tcPr>
          <w:p w:rsidR="00332B9C" w:rsidRPr="00717595" w:rsidRDefault="00332B9C" w:rsidP="002D0C2A">
            <w:pPr>
              <w:tabs>
                <w:tab w:val="num" w:pos="0"/>
              </w:tabs>
              <w:spacing w:after="0" w:line="240" w:lineRule="auto"/>
              <w:rPr>
                <w:rFonts w:ascii="Arial" w:hAnsi="Arial" w:cs="Arial"/>
                <w:sz w:val="24"/>
                <w:szCs w:val="24"/>
              </w:rPr>
            </w:pPr>
            <w:bookmarkStart w:id="0" w:name="_Hlk257118188"/>
            <w:r w:rsidRPr="00717595">
              <w:rPr>
                <w:rFonts w:ascii="Arial" w:hAnsi="Arial" w:cs="Arial"/>
                <w:sz w:val="24"/>
                <w:szCs w:val="24"/>
              </w:rPr>
              <w:t>2016 Medii anuale</w:t>
            </w:r>
          </w:p>
        </w:tc>
        <w:tc>
          <w:tcPr>
            <w:tcW w:w="1080" w:type="dxa"/>
          </w:tcPr>
          <w:p w:rsidR="00332B9C" w:rsidRPr="00717595" w:rsidRDefault="00217620" w:rsidP="002D0C2A">
            <w:pPr>
              <w:spacing w:after="0" w:line="240" w:lineRule="auto"/>
              <w:jc w:val="center"/>
              <w:rPr>
                <w:rFonts w:ascii="Arial" w:hAnsi="Arial" w:cs="Arial"/>
                <w:sz w:val="24"/>
                <w:szCs w:val="24"/>
              </w:rPr>
            </w:pPr>
            <w:r>
              <w:rPr>
                <w:rFonts w:ascii="Arial" w:hAnsi="Arial" w:cs="Arial"/>
                <w:sz w:val="24"/>
                <w:szCs w:val="24"/>
              </w:rPr>
              <w:t>0,</w:t>
            </w:r>
            <w:r w:rsidR="00332B9C" w:rsidRPr="00717595">
              <w:rPr>
                <w:rFonts w:ascii="Arial" w:hAnsi="Arial" w:cs="Arial"/>
                <w:sz w:val="24"/>
                <w:szCs w:val="24"/>
              </w:rPr>
              <w:t>19</w:t>
            </w:r>
          </w:p>
        </w:tc>
        <w:tc>
          <w:tcPr>
            <w:tcW w:w="1167" w:type="dxa"/>
            <w:vAlign w:val="bottom"/>
          </w:tcPr>
          <w:p w:rsidR="00332B9C" w:rsidRPr="00717595" w:rsidRDefault="00217620" w:rsidP="002D0C2A">
            <w:pPr>
              <w:spacing w:after="0" w:line="240" w:lineRule="auto"/>
              <w:jc w:val="center"/>
              <w:rPr>
                <w:rFonts w:ascii="Arial" w:hAnsi="Arial" w:cs="Arial"/>
                <w:bCs/>
                <w:sz w:val="24"/>
                <w:szCs w:val="24"/>
              </w:rPr>
            </w:pPr>
            <w:r>
              <w:rPr>
                <w:rFonts w:ascii="Arial" w:hAnsi="Arial" w:cs="Arial"/>
                <w:bCs/>
                <w:sz w:val="24"/>
                <w:szCs w:val="24"/>
              </w:rPr>
              <w:t>0,</w:t>
            </w:r>
            <w:r w:rsidR="00332B9C" w:rsidRPr="00717595">
              <w:rPr>
                <w:rFonts w:ascii="Arial" w:hAnsi="Arial" w:cs="Arial"/>
                <w:bCs/>
                <w:sz w:val="24"/>
                <w:szCs w:val="24"/>
              </w:rPr>
              <w:t>11</w:t>
            </w:r>
          </w:p>
        </w:tc>
        <w:tc>
          <w:tcPr>
            <w:tcW w:w="1029" w:type="dxa"/>
            <w:vAlign w:val="bottom"/>
          </w:tcPr>
          <w:p w:rsidR="00332B9C" w:rsidRPr="00717595" w:rsidRDefault="00217620" w:rsidP="002D0C2A">
            <w:pPr>
              <w:spacing w:after="0" w:line="240" w:lineRule="auto"/>
              <w:jc w:val="center"/>
              <w:rPr>
                <w:rFonts w:ascii="Arial" w:hAnsi="Arial" w:cs="Arial"/>
                <w:bCs/>
                <w:sz w:val="24"/>
                <w:szCs w:val="24"/>
              </w:rPr>
            </w:pPr>
            <w:r>
              <w:rPr>
                <w:rFonts w:ascii="Arial" w:hAnsi="Arial" w:cs="Arial"/>
                <w:bCs/>
                <w:sz w:val="24"/>
                <w:szCs w:val="24"/>
              </w:rPr>
              <w:t>0,</w:t>
            </w:r>
            <w:r w:rsidR="00332B9C" w:rsidRPr="00717595">
              <w:rPr>
                <w:rFonts w:ascii="Arial" w:hAnsi="Arial" w:cs="Arial"/>
                <w:bCs/>
                <w:sz w:val="24"/>
                <w:szCs w:val="24"/>
              </w:rPr>
              <w:t>12</w:t>
            </w:r>
          </w:p>
        </w:tc>
        <w:tc>
          <w:tcPr>
            <w:tcW w:w="951" w:type="dxa"/>
            <w:vAlign w:val="bottom"/>
          </w:tcPr>
          <w:p w:rsidR="00332B9C" w:rsidRPr="00717595" w:rsidRDefault="00217620" w:rsidP="002D0C2A">
            <w:pPr>
              <w:spacing w:after="0" w:line="240" w:lineRule="auto"/>
              <w:jc w:val="center"/>
              <w:rPr>
                <w:rFonts w:ascii="Arial" w:hAnsi="Arial" w:cs="Arial"/>
                <w:bCs/>
                <w:sz w:val="24"/>
                <w:szCs w:val="24"/>
              </w:rPr>
            </w:pPr>
            <w:r>
              <w:rPr>
                <w:rFonts w:ascii="Arial" w:hAnsi="Arial" w:cs="Arial"/>
                <w:bCs/>
                <w:sz w:val="24"/>
                <w:szCs w:val="24"/>
              </w:rPr>
              <w:t>0,</w:t>
            </w:r>
            <w:r w:rsidR="00332B9C" w:rsidRPr="00717595">
              <w:rPr>
                <w:rFonts w:ascii="Arial" w:hAnsi="Arial" w:cs="Arial"/>
                <w:bCs/>
                <w:sz w:val="24"/>
                <w:szCs w:val="24"/>
              </w:rPr>
              <w:t>11</w:t>
            </w:r>
          </w:p>
        </w:tc>
        <w:tc>
          <w:tcPr>
            <w:tcW w:w="1101" w:type="dxa"/>
            <w:vAlign w:val="bottom"/>
          </w:tcPr>
          <w:p w:rsidR="00332B9C" w:rsidRPr="00717595" w:rsidRDefault="00217620" w:rsidP="002D0C2A">
            <w:pPr>
              <w:spacing w:after="0" w:line="240" w:lineRule="auto"/>
              <w:jc w:val="center"/>
              <w:rPr>
                <w:rFonts w:ascii="Arial" w:hAnsi="Arial" w:cs="Arial"/>
                <w:bCs/>
                <w:sz w:val="24"/>
                <w:szCs w:val="24"/>
              </w:rPr>
            </w:pPr>
            <w:r>
              <w:rPr>
                <w:rFonts w:ascii="Arial" w:hAnsi="Arial" w:cs="Arial"/>
                <w:bCs/>
                <w:sz w:val="24"/>
                <w:szCs w:val="24"/>
              </w:rPr>
              <w:t>0,</w:t>
            </w:r>
            <w:r w:rsidR="00332B9C" w:rsidRPr="00717595">
              <w:rPr>
                <w:rFonts w:ascii="Arial" w:hAnsi="Arial" w:cs="Arial"/>
                <w:bCs/>
                <w:sz w:val="24"/>
                <w:szCs w:val="24"/>
              </w:rPr>
              <w:t>07</w:t>
            </w:r>
          </w:p>
        </w:tc>
      </w:tr>
    </w:tbl>
    <w:bookmarkEnd w:id="0"/>
    <w:p w:rsidR="00332B9C" w:rsidRPr="00717595" w:rsidRDefault="00332B9C" w:rsidP="009F750E">
      <w:pPr>
        <w:spacing w:before="120" w:after="0" w:line="240" w:lineRule="auto"/>
        <w:ind w:firstLine="720"/>
        <w:jc w:val="both"/>
        <w:rPr>
          <w:rFonts w:ascii="Arial" w:hAnsi="Arial" w:cs="Arial"/>
          <w:sz w:val="24"/>
          <w:szCs w:val="24"/>
        </w:rPr>
      </w:pPr>
      <w:r w:rsidRPr="00717595">
        <w:rPr>
          <w:rFonts w:ascii="Arial" w:hAnsi="Arial" w:cs="Arial"/>
          <w:sz w:val="24"/>
          <w:szCs w:val="24"/>
        </w:rPr>
        <w:t>Mediile anuale înregistrate în anul 2016 nu au prezentat valori maxime zilnice a mediilor pe 8 ore care să depăşească valoarea limită de 10 mg/mc, admisă de către Legea 104/2011.</w:t>
      </w:r>
    </w:p>
    <w:p w:rsidR="00332B9C" w:rsidRPr="00717595" w:rsidRDefault="00332B9C" w:rsidP="009F750E">
      <w:pPr>
        <w:tabs>
          <w:tab w:val="num" w:pos="0"/>
        </w:tabs>
        <w:spacing w:line="240" w:lineRule="auto"/>
        <w:ind w:firstLine="720"/>
        <w:jc w:val="both"/>
        <w:rPr>
          <w:rFonts w:ascii="Arial" w:hAnsi="Arial" w:cs="Arial"/>
          <w:b/>
          <w:sz w:val="24"/>
          <w:szCs w:val="24"/>
        </w:rPr>
      </w:pPr>
      <w:r w:rsidRPr="00717595">
        <w:rPr>
          <w:rFonts w:ascii="Arial" w:hAnsi="Arial" w:cs="Arial"/>
          <w:sz w:val="24"/>
          <w:szCs w:val="24"/>
        </w:rPr>
        <w:t>Poluantul CO rezultă din arderea incompletă a combustibililor.</w:t>
      </w:r>
      <w:r w:rsidRPr="00717595">
        <w:rPr>
          <w:rFonts w:ascii="Arial" w:hAnsi="Arial" w:cs="Arial"/>
          <w:b/>
          <w:sz w:val="24"/>
          <w:szCs w:val="24"/>
        </w:rPr>
        <w:tab/>
      </w:r>
      <w:r w:rsidRPr="00717595">
        <w:rPr>
          <w:rFonts w:ascii="Arial" w:hAnsi="Arial" w:cs="Arial"/>
          <w:b/>
          <w:sz w:val="24"/>
          <w:szCs w:val="24"/>
        </w:rPr>
        <w:tab/>
      </w:r>
    </w:p>
    <w:p w:rsidR="00332B9C" w:rsidRPr="00717595" w:rsidRDefault="00332B9C" w:rsidP="00332B9C">
      <w:pPr>
        <w:tabs>
          <w:tab w:val="left" w:pos="709"/>
        </w:tabs>
        <w:ind w:left="720" w:right="31"/>
        <w:rPr>
          <w:rFonts w:ascii="Arial" w:hAnsi="Arial" w:cs="Arial"/>
          <w:b/>
          <w:sz w:val="24"/>
          <w:szCs w:val="24"/>
        </w:rPr>
      </w:pPr>
      <w:r>
        <w:rPr>
          <w:rFonts w:ascii="Arial" w:hAnsi="Arial" w:cs="Arial"/>
          <w:b/>
          <w:sz w:val="24"/>
          <w:szCs w:val="24"/>
        </w:rPr>
        <w:t xml:space="preserve">   </w:t>
      </w:r>
      <w:r w:rsidRPr="00717595">
        <w:rPr>
          <w:rFonts w:ascii="Arial" w:hAnsi="Arial" w:cs="Arial"/>
          <w:b/>
          <w:sz w:val="24"/>
          <w:szCs w:val="24"/>
        </w:rPr>
        <w:t>I.1.1.1.6. Benzen</w:t>
      </w:r>
    </w:p>
    <w:p w:rsidR="00332B9C" w:rsidRPr="00717595" w:rsidRDefault="00332B9C" w:rsidP="002D37E6">
      <w:pPr>
        <w:tabs>
          <w:tab w:val="num" w:pos="0"/>
        </w:tabs>
        <w:ind w:firstLine="720"/>
        <w:jc w:val="center"/>
        <w:rPr>
          <w:rFonts w:ascii="Arial" w:hAnsi="Arial" w:cs="Arial"/>
          <w:sz w:val="24"/>
          <w:szCs w:val="24"/>
        </w:rPr>
      </w:pPr>
      <w:r w:rsidRPr="00717595">
        <w:rPr>
          <w:rFonts w:ascii="Arial" w:hAnsi="Arial" w:cs="Arial"/>
          <w:noProof/>
          <w:sz w:val="24"/>
          <w:szCs w:val="24"/>
          <w:lang w:eastAsia="ro-RO"/>
        </w:rPr>
        <w:drawing>
          <wp:inline distT="0" distB="0" distL="0" distR="0">
            <wp:extent cx="5067300" cy="1847850"/>
            <wp:effectExtent l="0" t="0" r="0" b="0"/>
            <wp:docPr id="150"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32B9C" w:rsidRPr="00717595" w:rsidRDefault="00332B9C" w:rsidP="00332B9C">
      <w:pPr>
        <w:tabs>
          <w:tab w:val="num" w:pos="0"/>
        </w:tabs>
        <w:ind w:firstLine="720"/>
        <w:jc w:val="center"/>
        <w:rPr>
          <w:rFonts w:ascii="Arial" w:hAnsi="Arial" w:cs="Arial"/>
          <w:b/>
          <w:sz w:val="24"/>
          <w:szCs w:val="24"/>
        </w:rPr>
      </w:pPr>
      <w:r w:rsidRPr="00717595">
        <w:rPr>
          <w:rFonts w:ascii="Arial" w:hAnsi="Arial" w:cs="Arial"/>
          <w:sz w:val="24"/>
          <w:szCs w:val="24"/>
        </w:rPr>
        <w:t>Fig.I.1.1.1.6. Concentraţia medie anuală de benzen în anul 2016</w:t>
      </w:r>
    </w:p>
    <w:p w:rsidR="00332B9C" w:rsidRPr="00717595" w:rsidRDefault="00332B9C" w:rsidP="00332B9C">
      <w:pPr>
        <w:tabs>
          <w:tab w:val="num" w:pos="0"/>
        </w:tabs>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002D37E6">
        <w:rPr>
          <w:rFonts w:ascii="Arial" w:hAnsi="Arial" w:cs="Arial"/>
          <w:sz w:val="24"/>
          <w:szCs w:val="24"/>
        </w:rPr>
        <w:t xml:space="preserve">         </w:t>
      </w:r>
      <w:r w:rsidRPr="00717595">
        <w:rPr>
          <w:rFonts w:ascii="Arial" w:hAnsi="Arial" w:cs="Arial"/>
          <w:sz w:val="24"/>
          <w:szCs w:val="24"/>
        </w:rPr>
        <w:t>Tabel I.1.1.1.6.</w:t>
      </w:r>
    </w:p>
    <w:tbl>
      <w:tblPr>
        <w:tblW w:w="0" w:type="auto"/>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1080"/>
        <w:gridCol w:w="1080"/>
        <w:gridCol w:w="1265"/>
        <w:gridCol w:w="1265"/>
      </w:tblGrid>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b/>
                <w:sz w:val="24"/>
                <w:szCs w:val="24"/>
              </w:rPr>
              <w:t>Benzen</w:t>
            </w:r>
            <w:r w:rsidRPr="00717595">
              <w:rPr>
                <w:rFonts w:ascii="Arial" w:hAnsi="Arial" w:cs="Arial"/>
                <w:sz w:val="24"/>
                <w:szCs w:val="24"/>
              </w:rPr>
              <w:t xml:space="preserve">    (</w:t>
            </w:r>
            <w:r w:rsidRPr="00717595">
              <w:rPr>
                <w:rFonts w:ascii="Arial" w:hAnsi="Arial" w:cs="Arial"/>
                <w:sz w:val="24"/>
                <w:szCs w:val="24"/>
              </w:rPr>
              <w:sym w:font="Symbol" w:char="F06D"/>
            </w:r>
            <w:r w:rsidRPr="00717595">
              <w:rPr>
                <w:rFonts w:ascii="Arial" w:hAnsi="Arial" w:cs="Arial"/>
                <w:sz w:val="24"/>
                <w:szCs w:val="24"/>
              </w:rPr>
              <w:t>g/mc)</w:t>
            </w:r>
          </w:p>
        </w:tc>
        <w:tc>
          <w:tcPr>
            <w:tcW w:w="1080"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1</w:t>
            </w:r>
          </w:p>
        </w:tc>
        <w:tc>
          <w:tcPr>
            <w:tcW w:w="1080"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2</w:t>
            </w:r>
          </w:p>
        </w:tc>
        <w:tc>
          <w:tcPr>
            <w:tcW w:w="1265"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3</w:t>
            </w:r>
          </w:p>
        </w:tc>
        <w:tc>
          <w:tcPr>
            <w:tcW w:w="1265" w:type="dxa"/>
          </w:tcPr>
          <w:p w:rsidR="00332B9C" w:rsidRPr="00717595" w:rsidRDefault="007C1699" w:rsidP="002D0C2A">
            <w:pPr>
              <w:spacing w:after="0" w:line="240" w:lineRule="auto"/>
              <w:jc w:val="center"/>
              <w:rPr>
                <w:rFonts w:ascii="Arial" w:hAnsi="Arial" w:cs="Arial"/>
                <w:sz w:val="24"/>
                <w:szCs w:val="24"/>
              </w:rPr>
            </w:pPr>
            <w:r>
              <w:rPr>
                <w:rFonts w:ascii="Arial" w:hAnsi="Arial" w:cs="Arial"/>
                <w:b/>
                <w:sz w:val="24"/>
                <w:szCs w:val="24"/>
              </w:rPr>
              <w:t>BR</w:t>
            </w:r>
            <w:r w:rsidR="00332B9C" w:rsidRPr="00717595">
              <w:rPr>
                <w:rFonts w:ascii="Arial" w:hAnsi="Arial" w:cs="Arial"/>
                <w:b/>
                <w:sz w:val="24"/>
                <w:szCs w:val="24"/>
              </w:rPr>
              <w:t>5</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2016 Medii anuale</w:t>
            </w:r>
          </w:p>
        </w:tc>
        <w:tc>
          <w:tcPr>
            <w:tcW w:w="1080" w:type="dxa"/>
          </w:tcPr>
          <w:p w:rsidR="00332B9C" w:rsidRPr="00717595" w:rsidRDefault="00217620" w:rsidP="002D0C2A">
            <w:pPr>
              <w:spacing w:after="0" w:line="240" w:lineRule="auto"/>
              <w:jc w:val="center"/>
              <w:rPr>
                <w:rFonts w:ascii="Arial" w:hAnsi="Arial" w:cs="Arial"/>
                <w:sz w:val="24"/>
                <w:szCs w:val="24"/>
              </w:rPr>
            </w:pPr>
            <w:r>
              <w:rPr>
                <w:rFonts w:ascii="Arial" w:hAnsi="Arial" w:cs="Arial"/>
                <w:sz w:val="24"/>
                <w:szCs w:val="24"/>
              </w:rPr>
              <w:t>1,</w:t>
            </w:r>
            <w:r w:rsidR="00332B9C" w:rsidRPr="00717595">
              <w:rPr>
                <w:rFonts w:ascii="Arial" w:hAnsi="Arial" w:cs="Arial"/>
                <w:sz w:val="24"/>
                <w:szCs w:val="24"/>
              </w:rPr>
              <w:t>93</w:t>
            </w:r>
          </w:p>
        </w:tc>
        <w:tc>
          <w:tcPr>
            <w:tcW w:w="1080" w:type="dxa"/>
          </w:tcPr>
          <w:p w:rsidR="00332B9C" w:rsidRPr="00717595" w:rsidRDefault="00217620" w:rsidP="002D0C2A">
            <w:pPr>
              <w:spacing w:after="0" w:line="240" w:lineRule="auto"/>
              <w:jc w:val="center"/>
              <w:rPr>
                <w:rFonts w:ascii="Arial" w:hAnsi="Arial" w:cs="Arial"/>
                <w:sz w:val="24"/>
                <w:szCs w:val="24"/>
              </w:rPr>
            </w:pPr>
            <w:r>
              <w:rPr>
                <w:rFonts w:ascii="Arial" w:hAnsi="Arial" w:cs="Arial"/>
                <w:sz w:val="24"/>
                <w:szCs w:val="24"/>
              </w:rPr>
              <w:t>1,</w:t>
            </w:r>
            <w:r w:rsidR="00332B9C" w:rsidRPr="00717595">
              <w:rPr>
                <w:rFonts w:ascii="Arial" w:hAnsi="Arial" w:cs="Arial"/>
                <w:sz w:val="24"/>
                <w:szCs w:val="24"/>
              </w:rPr>
              <w:t>2</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217620" w:rsidP="002D0C2A">
            <w:pPr>
              <w:spacing w:after="0" w:line="240" w:lineRule="auto"/>
              <w:jc w:val="center"/>
              <w:rPr>
                <w:rFonts w:ascii="Arial" w:hAnsi="Arial" w:cs="Arial"/>
                <w:sz w:val="24"/>
                <w:szCs w:val="24"/>
              </w:rPr>
            </w:pPr>
            <w:r>
              <w:rPr>
                <w:rFonts w:ascii="Arial" w:hAnsi="Arial" w:cs="Arial"/>
                <w:sz w:val="24"/>
                <w:szCs w:val="24"/>
              </w:rPr>
              <w:t>1,</w:t>
            </w:r>
            <w:r w:rsidR="00332B9C" w:rsidRPr="00717595">
              <w:rPr>
                <w:rFonts w:ascii="Arial" w:hAnsi="Arial" w:cs="Arial"/>
                <w:sz w:val="24"/>
                <w:szCs w:val="24"/>
              </w:rPr>
              <w:t>37</w:t>
            </w:r>
          </w:p>
        </w:tc>
      </w:tr>
    </w:tbl>
    <w:p w:rsidR="00332B9C" w:rsidRPr="00717595" w:rsidRDefault="00332B9C" w:rsidP="00156E35">
      <w:pPr>
        <w:tabs>
          <w:tab w:val="num" w:pos="0"/>
        </w:tabs>
        <w:spacing w:after="0"/>
        <w:jc w:val="center"/>
        <w:rPr>
          <w:rFonts w:ascii="Arial" w:hAnsi="Arial" w:cs="Arial"/>
          <w:sz w:val="24"/>
          <w:szCs w:val="24"/>
        </w:rPr>
      </w:pPr>
    </w:p>
    <w:p w:rsidR="00332B9C" w:rsidRPr="00717595" w:rsidRDefault="00332B9C" w:rsidP="00EF3202">
      <w:pPr>
        <w:spacing w:line="240" w:lineRule="auto"/>
        <w:ind w:firstLine="720"/>
        <w:jc w:val="both"/>
        <w:rPr>
          <w:rFonts w:ascii="Arial" w:hAnsi="Arial" w:cs="Arial"/>
          <w:b/>
          <w:sz w:val="24"/>
          <w:szCs w:val="24"/>
        </w:rPr>
      </w:pPr>
      <w:r w:rsidRPr="00717595">
        <w:rPr>
          <w:rFonts w:ascii="Arial" w:hAnsi="Arial" w:cs="Arial"/>
          <w:sz w:val="24"/>
          <w:szCs w:val="24"/>
        </w:rPr>
        <w:t>În anul 2016, valorile medii anuale în urma măsurătorilor sunt sub valoarea limită de 40 µg/m</w:t>
      </w:r>
      <w:r w:rsidRPr="00717595">
        <w:rPr>
          <w:rFonts w:ascii="Arial" w:hAnsi="Arial" w:cs="Arial"/>
          <w:sz w:val="24"/>
          <w:szCs w:val="24"/>
          <w:vertAlign w:val="superscript"/>
        </w:rPr>
        <w:t>3</w:t>
      </w:r>
      <w:r w:rsidRPr="00717595">
        <w:rPr>
          <w:rFonts w:ascii="Arial" w:hAnsi="Arial" w:cs="Arial"/>
          <w:sz w:val="24"/>
          <w:szCs w:val="24"/>
        </w:rPr>
        <w:t xml:space="preserve"> admisă de către Legea 104/2011.</w:t>
      </w:r>
    </w:p>
    <w:p w:rsidR="00EF3202" w:rsidRDefault="00EF3202" w:rsidP="00332B9C">
      <w:pPr>
        <w:tabs>
          <w:tab w:val="num" w:pos="0"/>
        </w:tabs>
        <w:ind w:firstLine="720"/>
        <w:rPr>
          <w:rFonts w:ascii="Arial" w:hAnsi="Arial" w:cs="Arial"/>
          <w:b/>
          <w:sz w:val="24"/>
          <w:szCs w:val="24"/>
        </w:rPr>
      </w:pPr>
    </w:p>
    <w:p w:rsidR="00EF3202" w:rsidRDefault="00EF3202" w:rsidP="00332B9C">
      <w:pPr>
        <w:tabs>
          <w:tab w:val="num" w:pos="0"/>
        </w:tabs>
        <w:ind w:firstLine="720"/>
        <w:rPr>
          <w:rFonts w:ascii="Arial" w:hAnsi="Arial" w:cs="Arial"/>
          <w:b/>
          <w:sz w:val="24"/>
          <w:szCs w:val="24"/>
        </w:rPr>
      </w:pPr>
    </w:p>
    <w:p w:rsidR="00EF3202" w:rsidRDefault="00EF3202" w:rsidP="00332B9C">
      <w:pPr>
        <w:tabs>
          <w:tab w:val="num" w:pos="0"/>
        </w:tabs>
        <w:ind w:firstLine="720"/>
        <w:rPr>
          <w:rFonts w:ascii="Arial" w:hAnsi="Arial" w:cs="Arial"/>
          <w:b/>
          <w:sz w:val="24"/>
          <w:szCs w:val="24"/>
        </w:rPr>
      </w:pPr>
    </w:p>
    <w:p w:rsidR="00EF3202" w:rsidRDefault="00EF3202" w:rsidP="00332B9C">
      <w:pPr>
        <w:tabs>
          <w:tab w:val="num" w:pos="0"/>
        </w:tabs>
        <w:ind w:firstLine="720"/>
        <w:rPr>
          <w:rFonts w:ascii="Arial" w:hAnsi="Arial" w:cs="Arial"/>
          <w:b/>
          <w:sz w:val="24"/>
          <w:szCs w:val="24"/>
        </w:rPr>
      </w:pPr>
    </w:p>
    <w:p w:rsidR="00332B9C" w:rsidRPr="00717595" w:rsidRDefault="00332B9C" w:rsidP="00332B9C">
      <w:pPr>
        <w:tabs>
          <w:tab w:val="num" w:pos="0"/>
        </w:tabs>
        <w:ind w:firstLine="720"/>
        <w:rPr>
          <w:rFonts w:ascii="Arial" w:hAnsi="Arial" w:cs="Arial"/>
          <w:b/>
          <w:sz w:val="24"/>
          <w:szCs w:val="24"/>
        </w:rPr>
      </w:pPr>
      <w:r w:rsidRPr="00717595">
        <w:rPr>
          <w:rFonts w:ascii="Arial" w:hAnsi="Arial" w:cs="Arial"/>
          <w:b/>
          <w:sz w:val="24"/>
          <w:szCs w:val="24"/>
        </w:rPr>
        <w:lastRenderedPageBreak/>
        <w:t xml:space="preserve">I.1.1.1.7. Ozon </w:t>
      </w:r>
    </w:p>
    <w:p w:rsidR="00332B9C" w:rsidRPr="00717595" w:rsidRDefault="00332B9C" w:rsidP="002D37E6">
      <w:pPr>
        <w:tabs>
          <w:tab w:val="num" w:pos="0"/>
        </w:tabs>
        <w:ind w:firstLine="720"/>
        <w:jc w:val="center"/>
        <w:rPr>
          <w:rFonts w:ascii="Arial" w:hAnsi="Arial" w:cs="Arial"/>
          <w:sz w:val="24"/>
          <w:szCs w:val="24"/>
        </w:rPr>
      </w:pPr>
      <w:r w:rsidRPr="00717595">
        <w:rPr>
          <w:rFonts w:ascii="Arial" w:hAnsi="Arial" w:cs="Arial"/>
          <w:noProof/>
          <w:sz w:val="24"/>
          <w:szCs w:val="24"/>
          <w:lang w:eastAsia="ro-RO"/>
        </w:rPr>
        <w:drawing>
          <wp:inline distT="0" distB="0" distL="0" distR="0">
            <wp:extent cx="5067300" cy="1847850"/>
            <wp:effectExtent l="0" t="0" r="0" b="0"/>
            <wp:docPr id="151"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2B9C" w:rsidRPr="00717595" w:rsidRDefault="00332B9C" w:rsidP="00332B9C">
      <w:pPr>
        <w:tabs>
          <w:tab w:val="num" w:pos="0"/>
        </w:tabs>
        <w:ind w:firstLine="720"/>
        <w:jc w:val="center"/>
        <w:rPr>
          <w:rFonts w:ascii="Arial" w:hAnsi="Arial" w:cs="Arial"/>
          <w:sz w:val="24"/>
          <w:szCs w:val="24"/>
        </w:rPr>
      </w:pPr>
      <w:r w:rsidRPr="00717595">
        <w:rPr>
          <w:rFonts w:ascii="Arial" w:hAnsi="Arial" w:cs="Arial"/>
          <w:sz w:val="24"/>
          <w:szCs w:val="24"/>
        </w:rPr>
        <w:t>Fig.I.1.1.1.7. Concentraţia medie anuală de ozon în anul 2016</w:t>
      </w:r>
    </w:p>
    <w:p w:rsidR="00332B9C" w:rsidRPr="00717595" w:rsidRDefault="00332B9C" w:rsidP="00332B9C">
      <w:pPr>
        <w:tabs>
          <w:tab w:val="num" w:pos="0"/>
        </w:tabs>
        <w:jc w:val="center"/>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00EF3202">
        <w:rPr>
          <w:rFonts w:ascii="Arial" w:hAnsi="Arial" w:cs="Arial"/>
          <w:sz w:val="24"/>
          <w:szCs w:val="24"/>
        </w:rPr>
        <w:t xml:space="preserve">                        </w:t>
      </w:r>
      <w:r w:rsidRPr="00717595">
        <w:rPr>
          <w:rFonts w:ascii="Arial" w:hAnsi="Arial" w:cs="Arial"/>
          <w:sz w:val="24"/>
          <w:szCs w:val="24"/>
        </w:rPr>
        <w:t>Tabel I.1.1.1.7.</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1080"/>
        <w:gridCol w:w="1080"/>
        <w:gridCol w:w="1167"/>
        <w:gridCol w:w="1265"/>
      </w:tblGrid>
      <w:tr w:rsidR="00332B9C" w:rsidRPr="00717595" w:rsidTr="00332B9C">
        <w:tc>
          <w:tcPr>
            <w:tcW w:w="2194" w:type="dxa"/>
          </w:tcPr>
          <w:p w:rsidR="00332B9C" w:rsidRPr="00717595" w:rsidRDefault="00332B9C" w:rsidP="002D0C2A">
            <w:pPr>
              <w:tabs>
                <w:tab w:val="num" w:pos="0"/>
              </w:tabs>
              <w:spacing w:before="100" w:beforeAutospacing="1" w:after="100" w:afterAutospacing="1" w:line="240" w:lineRule="auto"/>
              <w:jc w:val="center"/>
              <w:rPr>
                <w:rFonts w:ascii="Arial" w:hAnsi="Arial" w:cs="Arial"/>
                <w:sz w:val="24"/>
                <w:szCs w:val="24"/>
              </w:rPr>
            </w:pPr>
            <w:r w:rsidRPr="00717595">
              <w:rPr>
                <w:rFonts w:ascii="Arial" w:hAnsi="Arial" w:cs="Arial"/>
                <w:b/>
                <w:sz w:val="24"/>
                <w:szCs w:val="24"/>
              </w:rPr>
              <w:t>O</w:t>
            </w:r>
            <w:r w:rsidRPr="00717595">
              <w:rPr>
                <w:rFonts w:ascii="Arial" w:hAnsi="Arial" w:cs="Arial"/>
                <w:b/>
                <w:sz w:val="24"/>
                <w:szCs w:val="24"/>
                <w:vertAlign w:val="subscript"/>
              </w:rPr>
              <w:t>3</w:t>
            </w:r>
            <w:r w:rsidRPr="00717595">
              <w:rPr>
                <w:rFonts w:ascii="Arial" w:hAnsi="Arial" w:cs="Arial"/>
                <w:sz w:val="24"/>
                <w:szCs w:val="24"/>
              </w:rPr>
              <w:t xml:space="preserve">  (</w:t>
            </w:r>
            <w:r w:rsidRPr="00717595">
              <w:rPr>
                <w:rFonts w:ascii="Arial" w:hAnsi="Arial" w:cs="Arial"/>
                <w:sz w:val="24"/>
                <w:szCs w:val="24"/>
              </w:rPr>
              <w:sym w:font="Symbol" w:char="F06D"/>
            </w:r>
            <w:r w:rsidRPr="00717595">
              <w:rPr>
                <w:rFonts w:ascii="Arial" w:hAnsi="Arial" w:cs="Arial"/>
                <w:sz w:val="24"/>
                <w:szCs w:val="24"/>
              </w:rPr>
              <w:t>g/mc)</w:t>
            </w:r>
          </w:p>
        </w:tc>
        <w:tc>
          <w:tcPr>
            <w:tcW w:w="1080" w:type="dxa"/>
          </w:tcPr>
          <w:p w:rsidR="00332B9C" w:rsidRPr="00717595" w:rsidRDefault="007C1699" w:rsidP="002D0C2A">
            <w:pPr>
              <w:spacing w:before="100" w:beforeAutospacing="1" w:after="100" w:afterAutospacing="1"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2</w:t>
            </w:r>
          </w:p>
        </w:tc>
        <w:tc>
          <w:tcPr>
            <w:tcW w:w="1080" w:type="dxa"/>
          </w:tcPr>
          <w:p w:rsidR="00332B9C" w:rsidRPr="00717595" w:rsidRDefault="007C1699" w:rsidP="002D0C2A">
            <w:pPr>
              <w:spacing w:before="100" w:beforeAutospacing="1" w:after="100" w:afterAutospacing="1"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3</w:t>
            </w:r>
          </w:p>
        </w:tc>
        <w:tc>
          <w:tcPr>
            <w:tcW w:w="1167" w:type="dxa"/>
          </w:tcPr>
          <w:p w:rsidR="00332B9C" w:rsidRPr="00717595" w:rsidRDefault="007C1699" w:rsidP="002D0C2A">
            <w:pPr>
              <w:spacing w:before="100" w:beforeAutospacing="1" w:after="100" w:afterAutospacing="1"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4</w:t>
            </w:r>
          </w:p>
        </w:tc>
        <w:tc>
          <w:tcPr>
            <w:tcW w:w="1265" w:type="dxa"/>
          </w:tcPr>
          <w:p w:rsidR="00332B9C" w:rsidRPr="00717595" w:rsidRDefault="007C1699" w:rsidP="002D0C2A">
            <w:pPr>
              <w:spacing w:before="100" w:beforeAutospacing="1" w:after="100" w:afterAutospacing="1"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5</w:t>
            </w:r>
          </w:p>
        </w:tc>
      </w:tr>
      <w:tr w:rsidR="00332B9C" w:rsidRPr="00717595" w:rsidTr="00332B9C">
        <w:tc>
          <w:tcPr>
            <w:tcW w:w="2194" w:type="dxa"/>
          </w:tcPr>
          <w:p w:rsidR="00332B9C" w:rsidRPr="00717595" w:rsidRDefault="00332B9C" w:rsidP="002D0C2A">
            <w:pPr>
              <w:tabs>
                <w:tab w:val="num" w:pos="0"/>
              </w:tabs>
              <w:spacing w:before="100" w:beforeAutospacing="1" w:after="100" w:afterAutospacing="1" w:line="240" w:lineRule="auto"/>
              <w:jc w:val="center"/>
              <w:rPr>
                <w:rFonts w:ascii="Arial" w:hAnsi="Arial" w:cs="Arial"/>
                <w:sz w:val="24"/>
                <w:szCs w:val="24"/>
              </w:rPr>
            </w:pPr>
            <w:r w:rsidRPr="00717595">
              <w:rPr>
                <w:rFonts w:ascii="Arial" w:hAnsi="Arial" w:cs="Arial"/>
                <w:sz w:val="24"/>
                <w:szCs w:val="24"/>
              </w:rPr>
              <w:t>2016 Medii anuale</w:t>
            </w:r>
          </w:p>
        </w:tc>
        <w:tc>
          <w:tcPr>
            <w:tcW w:w="1080" w:type="dxa"/>
          </w:tcPr>
          <w:p w:rsidR="00332B9C" w:rsidRPr="00717595" w:rsidRDefault="00217620" w:rsidP="002D0C2A">
            <w:pPr>
              <w:spacing w:before="100" w:beforeAutospacing="1" w:after="100" w:afterAutospacing="1" w:line="240" w:lineRule="auto"/>
              <w:jc w:val="center"/>
              <w:rPr>
                <w:rFonts w:ascii="Arial" w:hAnsi="Arial" w:cs="Arial"/>
                <w:sz w:val="24"/>
                <w:szCs w:val="24"/>
              </w:rPr>
            </w:pPr>
            <w:r>
              <w:rPr>
                <w:rFonts w:ascii="Arial" w:hAnsi="Arial" w:cs="Arial"/>
                <w:sz w:val="24"/>
                <w:szCs w:val="24"/>
              </w:rPr>
              <w:t>36,</w:t>
            </w:r>
            <w:r w:rsidR="00332B9C" w:rsidRPr="00717595">
              <w:rPr>
                <w:rFonts w:ascii="Arial" w:hAnsi="Arial" w:cs="Arial"/>
                <w:sz w:val="24"/>
                <w:szCs w:val="24"/>
              </w:rPr>
              <w:t>48</w:t>
            </w:r>
          </w:p>
        </w:tc>
        <w:tc>
          <w:tcPr>
            <w:tcW w:w="1080" w:type="dxa"/>
          </w:tcPr>
          <w:p w:rsidR="00332B9C" w:rsidRPr="00717595" w:rsidRDefault="00217620" w:rsidP="002D0C2A">
            <w:pPr>
              <w:spacing w:before="100" w:beforeAutospacing="1" w:after="100" w:afterAutospacing="1" w:line="240" w:lineRule="auto"/>
              <w:jc w:val="center"/>
              <w:rPr>
                <w:rFonts w:ascii="Arial" w:hAnsi="Arial" w:cs="Arial"/>
                <w:sz w:val="24"/>
                <w:szCs w:val="24"/>
              </w:rPr>
            </w:pPr>
            <w:r>
              <w:rPr>
                <w:rFonts w:ascii="Arial" w:hAnsi="Arial" w:cs="Arial"/>
                <w:sz w:val="24"/>
                <w:szCs w:val="24"/>
              </w:rPr>
              <w:t>43,</w:t>
            </w:r>
            <w:r w:rsidR="00332B9C" w:rsidRPr="00717595">
              <w:rPr>
                <w:rFonts w:ascii="Arial" w:hAnsi="Arial" w:cs="Arial"/>
                <w:sz w:val="24"/>
                <w:szCs w:val="24"/>
              </w:rPr>
              <w:t>02</w:t>
            </w:r>
          </w:p>
        </w:tc>
        <w:tc>
          <w:tcPr>
            <w:tcW w:w="1167" w:type="dxa"/>
          </w:tcPr>
          <w:p w:rsidR="00332B9C" w:rsidRPr="00717595" w:rsidRDefault="00217620" w:rsidP="002D0C2A">
            <w:pPr>
              <w:spacing w:before="100" w:beforeAutospacing="1" w:after="100" w:afterAutospacing="1" w:line="240" w:lineRule="auto"/>
              <w:jc w:val="center"/>
              <w:rPr>
                <w:rFonts w:ascii="Arial" w:hAnsi="Arial" w:cs="Arial"/>
                <w:sz w:val="24"/>
                <w:szCs w:val="24"/>
              </w:rPr>
            </w:pPr>
            <w:r>
              <w:rPr>
                <w:rFonts w:ascii="Arial" w:hAnsi="Arial" w:cs="Arial"/>
                <w:sz w:val="24"/>
                <w:szCs w:val="24"/>
              </w:rPr>
              <w:t>50,</w:t>
            </w:r>
            <w:r w:rsidR="00332B9C" w:rsidRPr="00717595">
              <w:rPr>
                <w:rFonts w:ascii="Arial" w:hAnsi="Arial" w:cs="Arial"/>
                <w:sz w:val="24"/>
                <w:szCs w:val="24"/>
              </w:rPr>
              <w:t>05</w:t>
            </w:r>
          </w:p>
        </w:tc>
        <w:tc>
          <w:tcPr>
            <w:tcW w:w="1265" w:type="dxa"/>
          </w:tcPr>
          <w:p w:rsidR="00332B9C" w:rsidRPr="00717595" w:rsidRDefault="00217620" w:rsidP="002D0C2A">
            <w:pPr>
              <w:spacing w:before="100" w:beforeAutospacing="1" w:after="100" w:afterAutospacing="1" w:line="240" w:lineRule="auto"/>
              <w:jc w:val="center"/>
              <w:rPr>
                <w:rFonts w:ascii="Arial" w:hAnsi="Arial" w:cs="Arial"/>
                <w:sz w:val="24"/>
                <w:szCs w:val="24"/>
              </w:rPr>
            </w:pPr>
            <w:r>
              <w:rPr>
                <w:rFonts w:ascii="Arial" w:hAnsi="Arial" w:cs="Arial"/>
                <w:sz w:val="24"/>
                <w:szCs w:val="24"/>
              </w:rPr>
              <w:t>50,</w:t>
            </w:r>
            <w:r w:rsidR="00332B9C" w:rsidRPr="00717595">
              <w:rPr>
                <w:rFonts w:ascii="Arial" w:hAnsi="Arial" w:cs="Arial"/>
                <w:sz w:val="24"/>
                <w:szCs w:val="24"/>
              </w:rPr>
              <w:t>45</w:t>
            </w:r>
          </w:p>
        </w:tc>
      </w:tr>
    </w:tbl>
    <w:p w:rsidR="00332B9C" w:rsidRPr="00717595" w:rsidRDefault="00332B9C" w:rsidP="00332B9C">
      <w:pPr>
        <w:tabs>
          <w:tab w:val="num" w:pos="0"/>
        </w:tabs>
        <w:ind w:firstLine="720"/>
        <w:jc w:val="both"/>
        <w:rPr>
          <w:rFonts w:ascii="Arial" w:hAnsi="Arial" w:cs="Arial"/>
          <w:sz w:val="24"/>
          <w:szCs w:val="24"/>
        </w:rPr>
      </w:pPr>
    </w:p>
    <w:p w:rsidR="00332B9C" w:rsidRPr="00717595" w:rsidRDefault="00332B9C" w:rsidP="00332B9C">
      <w:pPr>
        <w:tabs>
          <w:tab w:val="num" w:pos="0"/>
        </w:tabs>
        <w:ind w:firstLine="720"/>
        <w:jc w:val="both"/>
        <w:rPr>
          <w:rFonts w:ascii="Arial" w:hAnsi="Arial" w:cs="Arial"/>
          <w:sz w:val="24"/>
          <w:szCs w:val="24"/>
        </w:rPr>
      </w:pPr>
    </w:p>
    <w:p w:rsidR="00332B9C" w:rsidRPr="00717595" w:rsidRDefault="00332B9C" w:rsidP="00217620">
      <w:pPr>
        <w:tabs>
          <w:tab w:val="num" w:pos="0"/>
        </w:tabs>
        <w:spacing w:line="240" w:lineRule="auto"/>
        <w:ind w:firstLine="720"/>
        <w:jc w:val="both"/>
        <w:rPr>
          <w:rFonts w:ascii="Arial" w:hAnsi="Arial" w:cs="Arial"/>
          <w:sz w:val="24"/>
          <w:szCs w:val="24"/>
        </w:rPr>
      </w:pPr>
      <w:r w:rsidRPr="00717595">
        <w:rPr>
          <w:rFonts w:ascii="Arial" w:hAnsi="Arial" w:cs="Arial"/>
          <w:sz w:val="24"/>
          <w:szCs w:val="24"/>
        </w:rPr>
        <w:t xml:space="preserve">Valorile orare pentru ozon au fost mai mici decât pragul de alertă (240 μg/mc - medie orară), precum şi faţă de pragul de informare (180 μg/mc - medie orară). De asemenea, concentraţiile maxime a mediilor pe opt ore au fost sub obiectivul pe termen lung pentru protecţia sănătăţii umane şi respectiv valoarea ţintă pentru anul 2016 (120 </w:t>
      </w:r>
      <w:r w:rsidRPr="00717595">
        <w:rPr>
          <w:rFonts w:ascii="Arial" w:hAnsi="Arial" w:cs="Arial"/>
          <w:sz w:val="24"/>
          <w:szCs w:val="24"/>
        </w:rPr>
        <w:sym w:font="Symbol" w:char="F06D"/>
      </w:r>
      <w:r w:rsidRPr="00717595">
        <w:rPr>
          <w:rFonts w:ascii="Arial" w:hAnsi="Arial" w:cs="Arial"/>
          <w:sz w:val="24"/>
          <w:szCs w:val="24"/>
        </w:rPr>
        <w:t>g/mc).</w:t>
      </w:r>
    </w:p>
    <w:p w:rsidR="00332B9C" w:rsidRDefault="00332B9C" w:rsidP="009F49AC">
      <w:pPr>
        <w:ind w:firstLine="720"/>
        <w:jc w:val="both"/>
        <w:rPr>
          <w:rFonts w:ascii="Arial" w:hAnsi="Arial" w:cs="Arial"/>
          <w:b/>
          <w:sz w:val="24"/>
          <w:szCs w:val="24"/>
        </w:rPr>
      </w:pPr>
      <w:r w:rsidRPr="00717595">
        <w:rPr>
          <w:rFonts w:ascii="Arial" w:hAnsi="Arial" w:cs="Arial"/>
          <w:b/>
          <w:sz w:val="24"/>
          <w:szCs w:val="24"/>
        </w:rPr>
        <w:t>I.1.1.1.8. Pulberi sedimentabil</w:t>
      </w:r>
      <w:r w:rsidR="00700F4D">
        <w:rPr>
          <w:rFonts w:ascii="Arial" w:hAnsi="Arial" w:cs="Arial"/>
          <w:b/>
          <w:sz w:val="24"/>
          <w:szCs w:val="24"/>
        </w:rPr>
        <w:t>e</w:t>
      </w:r>
    </w:p>
    <w:p w:rsidR="009F49AC" w:rsidRPr="00BE5D20" w:rsidRDefault="009F49AC" w:rsidP="009F49AC">
      <w:pPr>
        <w:spacing w:after="0" w:line="240" w:lineRule="auto"/>
        <w:ind w:firstLine="708"/>
        <w:jc w:val="both"/>
        <w:rPr>
          <w:rFonts w:ascii="Arial" w:hAnsi="Arial" w:cs="Arial"/>
          <w:b/>
          <w:sz w:val="24"/>
          <w:szCs w:val="24"/>
        </w:rPr>
      </w:pPr>
      <w:r w:rsidRPr="00BE5D20">
        <w:rPr>
          <w:rFonts w:ascii="Arial" w:hAnsi="Arial" w:cs="Arial"/>
          <w:sz w:val="24"/>
          <w:szCs w:val="24"/>
        </w:rPr>
        <w:t>Reţeaua manuală de monitorizare a pulberilor sedimentabile cuprinde zece puncte de prelevare. Concentraţiile medii anuale, pe puncte de prelevare ale pulberi</w:t>
      </w:r>
      <w:r>
        <w:rPr>
          <w:rFonts w:ascii="Arial" w:hAnsi="Arial" w:cs="Arial"/>
          <w:sz w:val="24"/>
          <w:szCs w:val="24"/>
        </w:rPr>
        <w:t>lor sedimentabile, din anul 2016</w:t>
      </w:r>
      <w:r w:rsidRPr="00BE5D20">
        <w:rPr>
          <w:rFonts w:ascii="Arial" w:hAnsi="Arial" w:cs="Arial"/>
          <w:sz w:val="24"/>
          <w:szCs w:val="24"/>
        </w:rPr>
        <w:t xml:space="preserve">,  sunt prezentate în tabelul </w:t>
      </w:r>
      <w:r>
        <w:rPr>
          <w:rFonts w:ascii="Arial" w:hAnsi="Arial" w:cs="Arial"/>
          <w:sz w:val="24"/>
          <w:szCs w:val="24"/>
        </w:rPr>
        <w:t>şi figura de mai jos. În punctele</w:t>
      </w:r>
      <w:r w:rsidRPr="00BE5D20">
        <w:rPr>
          <w:rFonts w:ascii="Arial" w:hAnsi="Arial" w:cs="Arial"/>
          <w:sz w:val="24"/>
          <w:szCs w:val="24"/>
        </w:rPr>
        <w:t xml:space="preserve"> de prelevare</w:t>
      </w:r>
      <w:r>
        <w:rPr>
          <w:rFonts w:ascii="Arial" w:hAnsi="Arial" w:cs="Arial"/>
          <w:sz w:val="24"/>
          <w:szCs w:val="24"/>
        </w:rPr>
        <w:t xml:space="preserve">, </w:t>
      </w:r>
      <w:r w:rsidRPr="00BE5D20">
        <w:rPr>
          <w:rFonts w:ascii="Arial" w:hAnsi="Arial" w:cs="Arial"/>
          <w:sz w:val="24"/>
          <w:szCs w:val="24"/>
        </w:rPr>
        <w:t xml:space="preserve">valoarea concentrației mediei anuale </w:t>
      </w:r>
      <w:r>
        <w:rPr>
          <w:rFonts w:ascii="Arial" w:hAnsi="Arial" w:cs="Arial"/>
          <w:sz w:val="24"/>
          <w:szCs w:val="24"/>
        </w:rPr>
        <w:t xml:space="preserve">nu </w:t>
      </w:r>
      <w:r w:rsidRPr="00BE5D20">
        <w:rPr>
          <w:rFonts w:ascii="Arial" w:hAnsi="Arial" w:cs="Arial"/>
          <w:sz w:val="24"/>
          <w:szCs w:val="24"/>
        </w:rPr>
        <w:t>depășește concentrația maximă admisă</w:t>
      </w:r>
      <w:r>
        <w:rPr>
          <w:rFonts w:ascii="Arial" w:hAnsi="Arial" w:cs="Arial"/>
          <w:sz w:val="24"/>
          <w:szCs w:val="24"/>
        </w:rPr>
        <w:t>.</w:t>
      </w:r>
      <w:r w:rsidRPr="00BE5D20">
        <w:rPr>
          <w:rFonts w:ascii="Arial" w:hAnsi="Arial" w:cs="Arial"/>
          <w:sz w:val="24"/>
          <w:szCs w:val="24"/>
        </w:rPr>
        <w:tab/>
      </w:r>
      <w:r w:rsidRPr="00BE5D20">
        <w:rPr>
          <w:rFonts w:ascii="Arial" w:hAnsi="Arial" w:cs="Arial"/>
          <w:sz w:val="24"/>
          <w:szCs w:val="24"/>
        </w:rPr>
        <w:tab/>
      </w:r>
      <w:r w:rsidRPr="00BE5D20">
        <w:rPr>
          <w:rFonts w:ascii="Arial" w:hAnsi="Arial" w:cs="Arial"/>
          <w:b/>
          <w:sz w:val="24"/>
          <w:szCs w:val="24"/>
        </w:rPr>
        <w:t xml:space="preserve"> </w:t>
      </w:r>
    </w:p>
    <w:p w:rsidR="009F49AC" w:rsidRPr="00BE5D20" w:rsidRDefault="009F49AC" w:rsidP="00700F4D">
      <w:pPr>
        <w:spacing w:after="0" w:line="240" w:lineRule="auto"/>
        <w:jc w:val="center"/>
        <w:rPr>
          <w:rFonts w:ascii="Arial" w:hAnsi="Arial" w:cs="Arial"/>
          <w:b/>
          <w:sz w:val="24"/>
          <w:szCs w:val="24"/>
        </w:rPr>
      </w:pPr>
      <w:r w:rsidRPr="00BE5D20">
        <w:rPr>
          <w:rFonts w:ascii="Arial" w:hAnsi="Arial" w:cs="Arial"/>
          <w:noProof/>
          <w:sz w:val="24"/>
          <w:szCs w:val="24"/>
          <w:lang w:eastAsia="ro-RO"/>
        </w:rPr>
        <w:drawing>
          <wp:inline distT="0" distB="0" distL="0" distR="0">
            <wp:extent cx="6000750" cy="2171700"/>
            <wp:effectExtent l="0" t="0" r="0" b="0"/>
            <wp:docPr id="2"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49AC" w:rsidRPr="00BE5D20" w:rsidRDefault="00700F4D" w:rsidP="009F49AC">
      <w:pPr>
        <w:tabs>
          <w:tab w:val="num" w:pos="0"/>
        </w:tabs>
        <w:spacing w:after="0" w:line="240" w:lineRule="auto"/>
        <w:jc w:val="both"/>
        <w:rPr>
          <w:rFonts w:ascii="Arial" w:hAnsi="Arial" w:cs="Arial"/>
          <w:sz w:val="24"/>
          <w:szCs w:val="24"/>
        </w:rPr>
      </w:pPr>
      <w:r>
        <w:rPr>
          <w:rFonts w:ascii="Arial" w:eastAsia="Times New Roman" w:hAnsi="Arial" w:cs="Arial"/>
          <w:iCs/>
          <w:color w:val="000000"/>
          <w:sz w:val="24"/>
          <w:szCs w:val="24"/>
          <w:lang w:eastAsia="ro-RO"/>
        </w:rPr>
        <w:t xml:space="preserve">              </w:t>
      </w:r>
      <w:r w:rsidR="009F49AC" w:rsidRPr="00BE5D20">
        <w:rPr>
          <w:rFonts w:ascii="Arial" w:eastAsia="Times New Roman" w:hAnsi="Arial" w:cs="Arial"/>
          <w:iCs/>
          <w:color w:val="000000"/>
          <w:sz w:val="24"/>
          <w:szCs w:val="24"/>
          <w:lang w:eastAsia="ro-RO"/>
        </w:rPr>
        <w:t xml:space="preserve">Fig. I.1.1.1.8. </w:t>
      </w:r>
      <w:r w:rsidR="009F49AC" w:rsidRPr="00BE5D20">
        <w:rPr>
          <w:rFonts w:ascii="Arial" w:hAnsi="Arial" w:cs="Arial"/>
          <w:sz w:val="24"/>
          <w:szCs w:val="24"/>
        </w:rPr>
        <w:t>Concentraţia medie anuală de pu</w:t>
      </w:r>
      <w:r w:rsidR="009F49AC">
        <w:rPr>
          <w:rFonts w:ascii="Arial" w:hAnsi="Arial" w:cs="Arial"/>
          <w:sz w:val="24"/>
          <w:szCs w:val="24"/>
        </w:rPr>
        <w:t>lberi sedimentabile pe anul 2016</w:t>
      </w:r>
    </w:p>
    <w:p w:rsidR="009F49AC" w:rsidRPr="00BE5D20" w:rsidRDefault="009F49AC" w:rsidP="009F49AC">
      <w:pPr>
        <w:spacing w:after="0" w:line="240" w:lineRule="auto"/>
        <w:jc w:val="both"/>
        <w:rPr>
          <w:rFonts w:ascii="Arial" w:hAnsi="Arial" w:cs="Arial"/>
          <w:sz w:val="24"/>
          <w:szCs w:val="24"/>
        </w:rPr>
      </w:pPr>
      <w:r w:rsidRPr="00BE5D20">
        <w:rPr>
          <w:rFonts w:ascii="Arial" w:hAnsi="Arial" w:cs="Arial"/>
          <w:sz w:val="24"/>
          <w:szCs w:val="24"/>
        </w:rPr>
        <w:tab/>
      </w:r>
    </w:p>
    <w:p w:rsidR="009F49AC" w:rsidRPr="00217620" w:rsidRDefault="009F49AC" w:rsidP="009F49AC">
      <w:pPr>
        <w:spacing w:after="0" w:line="240" w:lineRule="auto"/>
        <w:jc w:val="both"/>
        <w:rPr>
          <w:rFonts w:ascii="Arial" w:hAnsi="Arial" w:cs="Arial"/>
          <w:sz w:val="24"/>
          <w:szCs w:val="24"/>
        </w:rPr>
      </w:pPr>
      <w:r w:rsidRPr="00BE5D20">
        <w:rPr>
          <w:rFonts w:ascii="Arial" w:hAnsi="Arial" w:cs="Arial"/>
          <w:sz w:val="24"/>
          <w:szCs w:val="24"/>
        </w:rPr>
        <w:tab/>
      </w:r>
      <w:r w:rsidRPr="00BE5D20">
        <w:rPr>
          <w:rFonts w:ascii="Arial" w:hAnsi="Arial" w:cs="Arial"/>
          <w:sz w:val="24"/>
          <w:szCs w:val="24"/>
        </w:rPr>
        <w:tab/>
        <w:t xml:space="preserve">    </w:t>
      </w:r>
      <w:r w:rsidR="004431B9">
        <w:rPr>
          <w:rFonts w:ascii="Arial" w:hAnsi="Arial" w:cs="Arial"/>
          <w:sz w:val="24"/>
          <w:szCs w:val="24"/>
        </w:rPr>
        <w:tab/>
      </w:r>
      <w:r w:rsidR="004431B9">
        <w:rPr>
          <w:rFonts w:ascii="Arial" w:hAnsi="Arial" w:cs="Arial"/>
          <w:sz w:val="24"/>
          <w:szCs w:val="24"/>
        </w:rPr>
        <w:tab/>
      </w:r>
      <w:r w:rsidR="004431B9">
        <w:rPr>
          <w:rFonts w:ascii="Arial" w:hAnsi="Arial" w:cs="Arial"/>
          <w:sz w:val="24"/>
          <w:szCs w:val="24"/>
        </w:rPr>
        <w:tab/>
      </w:r>
      <w:r w:rsidR="004431B9">
        <w:rPr>
          <w:rFonts w:ascii="Arial" w:hAnsi="Arial" w:cs="Arial"/>
          <w:sz w:val="24"/>
          <w:szCs w:val="24"/>
        </w:rPr>
        <w:tab/>
      </w:r>
      <w:r w:rsidR="004431B9">
        <w:rPr>
          <w:rFonts w:ascii="Arial" w:hAnsi="Arial" w:cs="Arial"/>
          <w:sz w:val="24"/>
          <w:szCs w:val="24"/>
        </w:rPr>
        <w:tab/>
      </w:r>
      <w:r w:rsidR="004431B9">
        <w:rPr>
          <w:rFonts w:ascii="Arial" w:hAnsi="Arial" w:cs="Arial"/>
          <w:sz w:val="24"/>
          <w:szCs w:val="24"/>
        </w:rPr>
        <w:tab/>
      </w:r>
      <w:r w:rsidR="004431B9">
        <w:rPr>
          <w:rFonts w:ascii="Arial" w:hAnsi="Arial" w:cs="Arial"/>
          <w:sz w:val="24"/>
          <w:szCs w:val="24"/>
        </w:rPr>
        <w:tab/>
      </w:r>
      <w:r w:rsidR="004431B9">
        <w:rPr>
          <w:rFonts w:ascii="Arial" w:hAnsi="Arial" w:cs="Arial"/>
          <w:sz w:val="24"/>
          <w:szCs w:val="24"/>
        </w:rPr>
        <w:tab/>
      </w:r>
      <w:r w:rsidRPr="00217620">
        <w:rPr>
          <w:rFonts w:ascii="Arial" w:hAnsi="Arial" w:cs="Arial"/>
          <w:sz w:val="24"/>
          <w:szCs w:val="24"/>
        </w:rPr>
        <w:t>Tabel I.1.1.1.8.</w:t>
      </w:r>
    </w:p>
    <w:tbl>
      <w:tblPr>
        <w:tblW w:w="7159" w:type="dxa"/>
        <w:jc w:val="center"/>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6"/>
        <w:gridCol w:w="2837"/>
        <w:gridCol w:w="2646"/>
      </w:tblGrid>
      <w:tr w:rsidR="009F49AC" w:rsidRPr="00BE5D20" w:rsidTr="00156E35">
        <w:trPr>
          <w:trHeight w:val="307"/>
          <w:jc w:val="center"/>
        </w:trPr>
        <w:tc>
          <w:tcPr>
            <w:tcW w:w="1676" w:type="dxa"/>
            <w:vMerge w:val="restart"/>
            <w:shd w:val="clear" w:color="auto" w:fill="D9D9D9"/>
            <w:vAlign w:val="center"/>
          </w:tcPr>
          <w:p w:rsidR="009F49AC" w:rsidRPr="002D0C2A" w:rsidRDefault="009F49AC" w:rsidP="00156E35">
            <w:pPr>
              <w:tabs>
                <w:tab w:val="num" w:pos="0"/>
              </w:tabs>
              <w:spacing w:after="0" w:line="240" w:lineRule="auto"/>
              <w:jc w:val="both"/>
              <w:rPr>
                <w:rFonts w:ascii="Arial" w:hAnsi="Arial" w:cs="Arial"/>
                <w:b/>
              </w:rPr>
            </w:pPr>
            <w:r w:rsidRPr="002D0C2A">
              <w:rPr>
                <w:rFonts w:ascii="Arial" w:hAnsi="Arial" w:cs="Arial"/>
                <w:b/>
              </w:rPr>
              <w:t>JUDEŢUL</w:t>
            </w:r>
          </w:p>
        </w:tc>
        <w:tc>
          <w:tcPr>
            <w:tcW w:w="2837" w:type="dxa"/>
            <w:vMerge w:val="restart"/>
            <w:shd w:val="clear" w:color="auto" w:fill="D9D9D9"/>
            <w:vAlign w:val="center"/>
          </w:tcPr>
          <w:p w:rsidR="009F49AC" w:rsidRPr="002D0C2A" w:rsidRDefault="009F49AC" w:rsidP="00156E35">
            <w:pPr>
              <w:tabs>
                <w:tab w:val="num" w:pos="0"/>
              </w:tabs>
              <w:spacing w:after="0" w:line="240" w:lineRule="auto"/>
              <w:jc w:val="both"/>
              <w:rPr>
                <w:rFonts w:ascii="Arial" w:hAnsi="Arial" w:cs="Arial"/>
                <w:b/>
              </w:rPr>
            </w:pPr>
            <w:r w:rsidRPr="002D0C2A">
              <w:rPr>
                <w:rFonts w:ascii="Arial" w:hAnsi="Arial" w:cs="Arial"/>
                <w:b/>
              </w:rPr>
              <w:t>Punct de prelevare</w:t>
            </w:r>
          </w:p>
        </w:tc>
        <w:tc>
          <w:tcPr>
            <w:tcW w:w="2646" w:type="dxa"/>
            <w:shd w:val="clear" w:color="auto" w:fill="D9D9D9"/>
            <w:vAlign w:val="center"/>
          </w:tcPr>
          <w:p w:rsidR="009F49AC" w:rsidRPr="002D0C2A" w:rsidRDefault="009F49AC" w:rsidP="00156E35">
            <w:pPr>
              <w:tabs>
                <w:tab w:val="num" w:pos="0"/>
              </w:tabs>
              <w:spacing w:after="0" w:line="240" w:lineRule="auto"/>
              <w:jc w:val="center"/>
              <w:rPr>
                <w:rFonts w:ascii="Arial" w:hAnsi="Arial" w:cs="Arial"/>
                <w:b/>
              </w:rPr>
            </w:pPr>
            <w:r w:rsidRPr="002D0C2A">
              <w:rPr>
                <w:rFonts w:ascii="Arial" w:hAnsi="Arial" w:cs="Arial"/>
                <w:b/>
              </w:rPr>
              <w:t>Concentraţie medie anuală (g/mp/luna)</w:t>
            </w:r>
          </w:p>
        </w:tc>
      </w:tr>
      <w:tr w:rsidR="009F49AC" w:rsidRPr="00BE5D20" w:rsidTr="00156E35">
        <w:trPr>
          <w:trHeight w:val="307"/>
          <w:jc w:val="center"/>
        </w:trPr>
        <w:tc>
          <w:tcPr>
            <w:tcW w:w="1676" w:type="dxa"/>
            <w:vMerge/>
            <w:tcBorders>
              <w:bottom w:val="single" w:sz="4" w:space="0" w:color="auto"/>
            </w:tcBorders>
            <w:shd w:val="clear" w:color="auto" w:fill="E0E0E0"/>
            <w:vAlign w:val="center"/>
          </w:tcPr>
          <w:p w:rsidR="009F49AC" w:rsidRPr="002D0C2A" w:rsidRDefault="009F49AC" w:rsidP="00156E35">
            <w:pPr>
              <w:tabs>
                <w:tab w:val="num" w:pos="0"/>
              </w:tabs>
              <w:spacing w:after="0" w:line="240" w:lineRule="auto"/>
              <w:jc w:val="both"/>
              <w:rPr>
                <w:rFonts w:ascii="Arial" w:hAnsi="Arial" w:cs="Arial"/>
                <w:b/>
              </w:rPr>
            </w:pPr>
          </w:p>
        </w:tc>
        <w:tc>
          <w:tcPr>
            <w:tcW w:w="2837" w:type="dxa"/>
            <w:vMerge/>
            <w:shd w:val="clear" w:color="auto" w:fill="E0E0E0"/>
            <w:vAlign w:val="center"/>
          </w:tcPr>
          <w:p w:rsidR="009F49AC" w:rsidRPr="002D0C2A" w:rsidRDefault="009F49AC" w:rsidP="00156E35">
            <w:pPr>
              <w:tabs>
                <w:tab w:val="num" w:pos="0"/>
              </w:tabs>
              <w:spacing w:after="0" w:line="240" w:lineRule="auto"/>
              <w:jc w:val="both"/>
              <w:rPr>
                <w:rFonts w:ascii="Arial" w:hAnsi="Arial" w:cs="Arial"/>
                <w:b/>
              </w:rPr>
            </w:pPr>
          </w:p>
        </w:tc>
        <w:tc>
          <w:tcPr>
            <w:tcW w:w="2646" w:type="dxa"/>
            <w:shd w:val="clear" w:color="auto" w:fill="E0E0E0"/>
            <w:vAlign w:val="center"/>
          </w:tcPr>
          <w:p w:rsidR="009F49AC" w:rsidRPr="002D0C2A" w:rsidRDefault="009F49AC" w:rsidP="00156E35">
            <w:pPr>
              <w:tabs>
                <w:tab w:val="num" w:pos="0"/>
              </w:tabs>
              <w:spacing w:after="0" w:line="240" w:lineRule="auto"/>
              <w:jc w:val="center"/>
              <w:rPr>
                <w:rFonts w:ascii="Arial" w:hAnsi="Arial" w:cs="Arial"/>
                <w:b/>
              </w:rPr>
            </w:pPr>
            <w:r w:rsidRPr="002D0C2A">
              <w:rPr>
                <w:rFonts w:ascii="Arial" w:hAnsi="Arial" w:cs="Arial"/>
                <w:b/>
              </w:rPr>
              <w:t>2016</w:t>
            </w:r>
          </w:p>
        </w:tc>
      </w:tr>
      <w:tr w:rsidR="009F49AC" w:rsidRPr="00BE5D20" w:rsidTr="00156E35">
        <w:trPr>
          <w:trHeight w:val="307"/>
          <w:jc w:val="center"/>
        </w:trPr>
        <w:tc>
          <w:tcPr>
            <w:tcW w:w="1676" w:type="dxa"/>
            <w:vMerge w:val="restart"/>
            <w:shd w:val="clear" w:color="auto" w:fill="D9D9D9"/>
          </w:tcPr>
          <w:p w:rsidR="009F49AC" w:rsidRPr="002D0C2A" w:rsidRDefault="00217620" w:rsidP="00156E35">
            <w:pPr>
              <w:tabs>
                <w:tab w:val="num" w:pos="0"/>
              </w:tabs>
              <w:spacing w:after="0" w:line="240" w:lineRule="auto"/>
              <w:jc w:val="both"/>
              <w:rPr>
                <w:rFonts w:ascii="Arial" w:hAnsi="Arial" w:cs="Arial"/>
              </w:rPr>
            </w:pPr>
            <w:r w:rsidRPr="002D0C2A">
              <w:rPr>
                <w:rFonts w:ascii="Arial" w:hAnsi="Arial" w:cs="Arial"/>
              </w:rPr>
              <w:t>Brăila</w:t>
            </w: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Sediu APM</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3,28</w:t>
            </w:r>
          </w:p>
        </w:tc>
      </w:tr>
      <w:tr w:rsidR="009F49AC" w:rsidRPr="00BE5D20" w:rsidTr="00156E35">
        <w:trPr>
          <w:trHeight w:val="307"/>
          <w:jc w:val="center"/>
        </w:trPr>
        <w:tc>
          <w:tcPr>
            <w:tcW w:w="1676" w:type="dxa"/>
            <w:vMerge/>
            <w:shd w:val="clear" w:color="auto" w:fill="D9D9D9"/>
            <w:vAlign w:val="center"/>
          </w:tcPr>
          <w:p w:rsidR="009F49AC" w:rsidRPr="002D0C2A" w:rsidRDefault="009F49AC" w:rsidP="00156E35">
            <w:pPr>
              <w:spacing w:after="0" w:line="240" w:lineRule="auto"/>
              <w:jc w:val="both"/>
              <w:rPr>
                <w:rFonts w:ascii="Arial" w:hAnsi="Arial" w:cs="Arial"/>
                <w:b/>
              </w:rPr>
            </w:pP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Uzina de Apă</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8,28</w:t>
            </w:r>
          </w:p>
        </w:tc>
      </w:tr>
      <w:tr w:rsidR="009F49AC" w:rsidRPr="00BE5D20" w:rsidTr="00156E35">
        <w:trPr>
          <w:trHeight w:val="307"/>
          <w:jc w:val="center"/>
        </w:trPr>
        <w:tc>
          <w:tcPr>
            <w:tcW w:w="1676" w:type="dxa"/>
            <w:vMerge/>
            <w:shd w:val="clear" w:color="auto" w:fill="D9D9D9"/>
            <w:vAlign w:val="center"/>
          </w:tcPr>
          <w:p w:rsidR="009F49AC" w:rsidRPr="002D0C2A" w:rsidRDefault="009F49AC" w:rsidP="00156E35">
            <w:pPr>
              <w:spacing w:after="0" w:line="240" w:lineRule="auto"/>
              <w:jc w:val="both"/>
              <w:rPr>
                <w:rFonts w:ascii="Arial" w:hAnsi="Arial" w:cs="Arial"/>
                <w:b/>
              </w:rPr>
            </w:pP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Vărsătura</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10,79</w:t>
            </w:r>
          </w:p>
        </w:tc>
      </w:tr>
      <w:tr w:rsidR="009F49AC" w:rsidRPr="00BE5D20" w:rsidTr="00156E35">
        <w:trPr>
          <w:trHeight w:val="307"/>
          <w:jc w:val="center"/>
        </w:trPr>
        <w:tc>
          <w:tcPr>
            <w:tcW w:w="1676" w:type="dxa"/>
            <w:vMerge/>
            <w:shd w:val="clear" w:color="auto" w:fill="D9D9D9"/>
            <w:vAlign w:val="center"/>
          </w:tcPr>
          <w:p w:rsidR="009F49AC" w:rsidRPr="002D0C2A" w:rsidRDefault="009F49AC" w:rsidP="00156E35">
            <w:pPr>
              <w:spacing w:after="0" w:line="240" w:lineRule="auto"/>
              <w:jc w:val="both"/>
              <w:rPr>
                <w:rFonts w:ascii="Arial" w:hAnsi="Arial" w:cs="Arial"/>
                <w:b/>
              </w:rPr>
            </w:pP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Str.Gen.Gh.Avramescu</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7,68</w:t>
            </w:r>
          </w:p>
        </w:tc>
      </w:tr>
      <w:tr w:rsidR="009F49AC" w:rsidRPr="00BE5D20" w:rsidTr="00156E35">
        <w:trPr>
          <w:trHeight w:val="307"/>
          <w:jc w:val="center"/>
        </w:trPr>
        <w:tc>
          <w:tcPr>
            <w:tcW w:w="1676" w:type="dxa"/>
            <w:vMerge/>
            <w:shd w:val="clear" w:color="auto" w:fill="D9D9D9"/>
            <w:vAlign w:val="center"/>
          </w:tcPr>
          <w:p w:rsidR="009F49AC" w:rsidRPr="002D0C2A" w:rsidRDefault="009F49AC" w:rsidP="00156E35">
            <w:pPr>
              <w:spacing w:after="0" w:line="240" w:lineRule="auto"/>
              <w:jc w:val="both"/>
              <w:rPr>
                <w:rFonts w:ascii="Arial" w:hAnsi="Arial" w:cs="Arial"/>
                <w:b/>
              </w:rPr>
            </w:pP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Staţia Nord</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5,12</w:t>
            </w:r>
          </w:p>
        </w:tc>
      </w:tr>
      <w:tr w:rsidR="009F49AC" w:rsidRPr="00BE5D20" w:rsidTr="00156E35">
        <w:trPr>
          <w:trHeight w:val="307"/>
          <w:jc w:val="center"/>
        </w:trPr>
        <w:tc>
          <w:tcPr>
            <w:tcW w:w="1676" w:type="dxa"/>
            <w:vMerge/>
            <w:shd w:val="clear" w:color="auto" w:fill="D9D9D9"/>
            <w:vAlign w:val="center"/>
          </w:tcPr>
          <w:p w:rsidR="009F49AC" w:rsidRPr="002D0C2A" w:rsidRDefault="009F49AC" w:rsidP="00156E35">
            <w:pPr>
              <w:spacing w:after="0" w:line="240" w:lineRule="auto"/>
              <w:jc w:val="both"/>
              <w:rPr>
                <w:rFonts w:ascii="Arial" w:hAnsi="Arial" w:cs="Arial"/>
                <w:b/>
              </w:rPr>
            </w:pP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 xml:space="preserve">SC Hercules </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11,05</w:t>
            </w:r>
          </w:p>
        </w:tc>
      </w:tr>
      <w:tr w:rsidR="009F49AC" w:rsidRPr="00A70D20" w:rsidTr="00156E35">
        <w:trPr>
          <w:trHeight w:val="307"/>
          <w:jc w:val="center"/>
        </w:trPr>
        <w:tc>
          <w:tcPr>
            <w:tcW w:w="1676" w:type="dxa"/>
            <w:vMerge/>
            <w:shd w:val="clear" w:color="auto" w:fill="D9D9D9"/>
            <w:vAlign w:val="center"/>
          </w:tcPr>
          <w:p w:rsidR="009F49AC" w:rsidRPr="002D0C2A" w:rsidRDefault="009F49AC" w:rsidP="00156E35">
            <w:pPr>
              <w:spacing w:after="0" w:line="240" w:lineRule="auto"/>
              <w:jc w:val="both"/>
              <w:rPr>
                <w:rFonts w:ascii="Arial" w:hAnsi="Arial" w:cs="Arial"/>
                <w:b/>
              </w:rPr>
            </w:pP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Termoelectrica Chiscani</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4,66</w:t>
            </w:r>
          </w:p>
        </w:tc>
      </w:tr>
      <w:tr w:rsidR="009F49AC" w:rsidRPr="00BE5D20" w:rsidTr="00156E35">
        <w:trPr>
          <w:trHeight w:val="307"/>
          <w:jc w:val="center"/>
        </w:trPr>
        <w:tc>
          <w:tcPr>
            <w:tcW w:w="1676" w:type="dxa"/>
            <w:vMerge/>
            <w:shd w:val="clear" w:color="auto" w:fill="D9D9D9"/>
            <w:vAlign w:val="center"/>
          </w:tcPr>
          <w:p w:rsidR="009F49AC" w:rsidRPr="002D0C2A" w:rsidRDefault="009F49AC" w:rsidP="00156E35">
            <w:pPr>
              <w:spacing w:after="0" w:line="240" w:lineRule="auto"/>
              <w:jc w:val="both"/>
              <w:rPr>
                <w:rFonts w:ascii="Arial" w:hAnsi="Arial" w:cs="Arial"/>
                <w:b/>
              </w:rPr>
            </w:pP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Str. Galați</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5,17</w:t>
            </w:r>
          </w:p>
        </w:tc>
      </w:tr>
      <w:tr w:rsidR="009F49AC" w:rsidRPr="00BE5D20" w:rsidTr="00156E35">
        <w:trPr>
          <w:trHeight w:val="307"/>
          <w:jc w:val="center"/>
        </w:trPr>
        <w:tc>
          <w:tcPr>
            <w:tcW w:w="1676" w:type="dxa"/>
            <w:vMerge/>
            <w:shd w:val="clear" w:color="auto" w:fill="D9D9D9"/>
            <w:vAlign w:val="center"/>
          </w:tcPr>
          <w:p w:rsidR="009F49AC" w:rsidRPr="002D0C2A" w:rsidRDefault="009F49AC" w:rsidP="00156E35">
            <w:pPr>
              <w:spacing w:after="0" w:line="240" w:lineRule="auto"/>
              <w:jc w:val="both"/>
              <w:rPr>
                <w:rFonts w:ascii="Arial" w:hAnsi="Arial" w:cs="Arial"/>
                <w:b/>
              </w:rPr>
            </w:pP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Cazasu</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6,93</w:t>
            </w:r>
          </w:p>
        </w:tc>
      </w:tr>
      <w:tr w:rsidR="009F49AC" w:rsidRPr="00BE5D20" w:rsidTr="00156E35">
        <w:trPr>
          <w:trHeight w:val="307"/>
          <w:jc w:val="center"/>
        </w:trPr>
        <w:tc>
          <w:tcPr>
            <w:tcW w:w="1676" w:type="dxa"/>
            <w:vMerge/>
            <w:shd w:val="clear" w:color="auto" w:fill="D9D9D9"/>
            <w:vAlign w:val="center"/>
          </w:tcPr>
          <w:p w:rsidR="009F49AC" w:rsidRPr="002D0C2A" w:rsidRDefault="009F49AC" w:rsidP="00156E35">
            <w:pPr>
              <w:spacing w:after="0" w:line="240" w:lineRule="auto"/>
              <w:jc w:val="both"/>
              <w:rPr>
                <w:rFonts w:ascii="Arial" w:hAnsi="Arial" w:cs="Arial"/>
                <w:b/>
              </w:rPr>
            </w:pPr>
          </w:p>
        </w:tc>
        <w:tc>
          <w:tcPr>
            <w:tcW w:w="2837" w:type="dxa"/>
            <w:vAlign w:val="center"/>
          </w:tcPr>
          <w:p w:rsidR="009F49AC" w:rsidRPr="002D0C2A" w:rsidRDefault="009F49AC" w:rsidP="00156E35">
            <w:pPr>
              <w:tabs>
                <w:tab w:val="num" w:pos="0"/>
              </w:tabs>
              <w:spacing w:after="0" w:line="240" w:lineRule="auto"/>
              <w:jc w:val="both"/>
              <w:rPr>
                <w:rFonts w:ascii="Arial" w:hAnsi="Arial" w:cs="Arial"/>
              </w:rPr>
            </w:pPr>
            <w:r w:rsidRPr="002D0C2A">
              <w:rPr>
                <w:rFonts w:ascii="Arial" w:hAnsi="Arial" w:cs="Arial"/>
              </w:rPr>
              <w:t>Primăria</w:t>
            </w:r>
            <w:r w:rsidR="00217620" w:rsidRPr="002D0C2A">
              <w:rPr>
                <w:rFonts w:ascii="Arial" w:hAnsi="Arial" w:cs="Arial"/>
              </w:rPr>
              <w:t>Brăila</w:t>
            </w:r>
          </w:p>
        </w:tc>
        <w:tc>
          <w:tcPr>
            <w:tcW w:w="2646" w:type="dxa"/>
          </w:tcPr>
          <w:p w:rsidR="009F49AC" w:rsidRPr="002D0C2A" w:rsidRDefault="009F49AC" w:rsidP="00156E35">
            <w:pPr>
              <w:tabs>
                <w:tab w:val="num" w:pos="0"/>
              </w:tabs>
              <w:spacing w:after="0" w:line="240" w:lineRule="auto"/>
              <w:jc w:val="center"/>
              <w:rPr>
                <w:rFonts w:ascii="Arial" w:hAnsi="Arial" w:cs="Arial"/>
              </w:rPr>
            </w:pPr>
            <w:r w:rsidRPr="002D0C2A">
              <w:rPr>
                <w:rFonts w:ascii="Arial" w:hAnsi="Arial" w:cs="Arial"/>
              </w:rPr>
              <w:t>7,45</w:t>
            </w:r>
          </w:p>
        </w:tc>
      </w:tr>
      <w:tr w:rsidR="009F49AC" w:rsidRPr="00BE5D20" w:rsidTr="00156E35">
        <w:trPr>
          <w:trHeight w:val="307"/>
          <w:jc w:val="center"/>
        </w:trPr>
        <w:tc>
          <w:tcPr>
            <w:tcW w:w="7159" w:type="dxa"/>
            <w:gridSpan w:val="3"/>
            <w:shd w:val="clear" w:color="auto" w:fill="D9D9D9"/>
            <w:vAlign w:val="center"/>
          </w:tcPr>
          <w:p w:rsidR="009F49AC" w:rsidRPr="002D0C2A" w:rsidRDefault="009F49AC" w:rsidP="00156E35">
            <w:pPr>
              <w:tabs>
                <w:tab w:val="num" w:pos="0"/>
              </w:tabs>
              <w:spacing w:after="0" w:line="240" w:lineRule="auto"/>
              <w:jc w:val="both"/>
              <w:rPr>
                <w:rFonts w:ascii="Arial" w:hAnsi="Arial" w:cs="Arial"/>
                <w:b/>
              </w:rPr>
            </w:pPr>
            <w:r w:rsidRPr="002D0C2A">
              <w:rPr>
                <w:rFonts w:ascii="Arial" w:hAnsi="Arial" w:cs="Arial"/>
                <w:b/>
              </w:rPr>
              <w:t>CMA =  17g/mp/luna</w:t>
            </w:r>
          </w:p>
        </w:tc>
      </w:tr>
    </w:tbl>
    <w:p w:rsidR="009F49AC" w:rsidRPr="00BE5D20" w:rsidRDefault="009F49AC" w:rsidP="009F49AC">
      <w:pPr>
        <w:tabs>
          <w:tab w:val="num" w:pos="0"/>
        </w:tabs>
        <w:spacing w:after="0" w:line="240" w:lineRule="auto"/>
        <w:jc w:val="both"/>
        <w:rPr>
          <w:rFonts w:ascii="Arial" w:hAnsi="Arial" w:cs="Arial"/>
          <w:sz w:val="24"/>
          <w:szCs w:val="24"/>
          <w:lang w:eastAsia="ro-RO"/>
        </w:rPr>
      </w:pPr>
    </w:p>
    <w:p w:rsidR="009F49AC" w:rsidRDefault="009F49AC" w:rsidP="004431B9">
      <w:pPr>
        <w:spacing w:after="0" w:line="240" w:lineRule="auto"/>
        <w:ind w:firstLine="708"/>
        <w:jc w:val="both"/>
        <w:rPr>
          <w:rFonts w:ascii="Arial" w:hAnsi="Arial" w:cs="Arial"/>
          <w:sz w:val="24"/>
          <w:szCs w:val="24"/>
        </w:rPr>
      </w:pPr>
      <w:r>
        <w:rPr>
          <w:rFonts w:ascii="Arial" w:hAnsi="Arial" w:cs="Arial"/>
          <w:sz w:val="24"/>
          <w:szCs w:val="24"/>
        </w:rPr>
        <w:t>În anul 2016 în punctele</w:t>
      </w:r>
      <w:r w:rsidRPr="00BE5D20">
        <w:rPr>
          <w:rFonts w:ascii="Arial" w:hAnsi="Arial" w:cs="Arial"/>
          <w:sz w:val="24"/>
          <w:szCs w:val="24"/>
        </w:rPr>
        <w:t xml:space="preserve"> de prelevare</w:t>
      </w:r>
      <w:r>
        <w:rPr>
          <w:rFonts w:ascii="Arial" w:hAnsi="Arial" w:cs="Arial"/>
          <w:sz w:val="24"/>
          <w:szCs w:val="24"/>
        </w:rPr>
        <w:t>,</w:t>
      </w:r>
      <w:r w:rsidRPr="00BE5D20">
        <w:rPr>
          <w:rFonts w:ascii="Arial" w:hAnsi="Arial" w:cs="Arial"/>
          <w:sz w:val="24"/>
          <w:szCs w:val="24"/>
        </w:rPr>
        <w:t xml:space="preserve"> </w:t>
      </w:r>
      <w:r>
        <w:rPr>
          <w:rFonts w:ascii="Arial" w:hAnsi="Arial" w:cs="Arial"/>
          <w:sz w:val="24"/>
          <w:szCs w:val="24"/>
        </w:rPr>
        <w:t xml:space="preserve">concentraţie medie anuală nu </w:t>
      </w:r>
      <w:r w:rsidRPr="00BE5D20">
        <w:rPr>
          <w:rFonts w:ascii="Arial" w:hAnsi="Arial" w:cs="Arial"/>
          <w:sz w:val="24"/>
          <w:szCs w:val="24"/>
        </w:rPr>
        <w:t xml:space="preserve"> depăşeşte valoarea limită admisă impusă de legislaţie</w:t>
      </w:r>
      <w:r>
        <w:rPr>
          <w:rFonts w:ascii="Arial" w:hAnsi="Arial" w:cs="Arial"/>
          <w:sz w:val="24"/>
          <w:szCs w:val="24"/>
        </w:rPr>
        <w:t xml:space="preserve">. </w:t>
      </w:r>
      <w:r w:rsidRPr="00BE5D20">
        <w:rPr>
          <w:rFonts w:ascii="Arial" w:hAnsi="Arial" w:cs="Arial"/>
          <w:sz w:val="24"/>
          <w:szCs w:val="24"/>
        </w:rPr>
        <w:t xml:space="preserve">Măsurătorile efectuate au indicat o calitate corespunzătoare a aerului la nivelul judeţului </w:t>
      </w:r>
      <w:r w:rsidR="00217620">
        <w:rPr>
          <w:rFonts w:ascii="Arial" w:hAnsi="Arial" w:cs="Arial"/>
          <w:sz w:val="24"/>
          <w:szCs w:val="24"/>
        </w:rPr>
        <w:t>Brăila</w:t>
      </w:r>
      <w:r w:rsidRPr="00BE5D20">
        <w:rPr>
          <w:rFonts w:ascii="Arial" w:hAnsi="Arial" w:cs="Arial"/>
          <w:sz w:val="24"/>
          <w:szCs w:val="24"/>
        </w:rPr>
        <w:t>.</w:t>
      </w:r>
    </w:p>
    <w:p w:rsidR="009F49AC" w:rsidRPr="009F49AC" w:rsidRDefault="009F49AC" w:rsidP="009F49AC">
      <w:pPr>
        <w:ind w:firstLine="720"/>
        <w:jc w:val="both"/>
        <w:rPr>
          <w:rFonts w:ascii="Arial" w:hAnsi="Arial" w:cs="Arial"/>
          <w:b/>
          <w:sz w:val="24"/>
          <w:szCs w:val="24"/>
        </w:rPr>
      </w:pPr>
    </w:p>
    <w:p w:rsidR="00332B9C" w:rsidRPr="00717595" w:rsidRDefault="00332B9C" w:rsidP="00332B9C">
      <w:pPr>
        <w:tabs>
          <w:tab w:val="left" w:leader="dot" w:pos="9356"/>
        </w:tabs>
        <w:jc w:val="both"/>
        <w:rPr>
          <w:rFonts w:ascii="Arial" w:hAnsi="Arial" w:cs="Arial"/>
          <w:sz w:val="24"/>
          <w:szCs w:val="24"/>
        </w:rPr>
      </w:pPr>
      <w:r w:rsidRPr="00717595">
        <w:rPr>
          <w:rFonts w:ascii="Arial" w:hAnsi="Arial" w:cs="Arial"/>
          <w:b/>
          <w:sz w:val="24"/>
          <w:szCs w:val="24"/>
        </w:rPr>
        <w:t>I.1.1.2. Tendinţe privind concentraţiile medii anuale ale anumitor poluanţi atmosferici</w:t>
      </w:r>
    </w:p>
    <w:p w:rsidR="00332B9C" w:rsidRPr="0054441E" w:rsidRDefault="00332B9C" w:rsidP="0067112E">
      <w:pPr>
        <w:tabs>
          <w:tab w:val="left" w:pos="709"/>
        </w:tabs>
        <w:spacing w:line="240" w:lineRule="auto"/>
        <w:jc w:val="both"/>
        <w:rPr>
          <w:rFonts w:ascii="Arial" w:hAnsi="Arial" w:cs="Arial"/>
        </w:rPr>
      </w:pPr>
      <w:r w:rsidRPr="00717595">
        <w:rPr>
          <w:rFonts w:ascii="Arial" w:hAnsi="Arial" w:cs="Arial"/>
          <w:sz w:val="24"/>
          <w:szCs w:val="24"/>
        </w:rPr>
        <w:t xml:space="preserve">În Tabelul I.1.1.2. sunt prezentate datele statistice rezultate din staţiile automate de monitorizare a calităţii aerului din judeţul </w:t>
      </w:r>
      <w:r w:rsidR="00217620">
        <w:rPr>
          <w:rFonts w:ascii="Arial" w:hAnsi="Arial" w:cs="Arial"/>
          <w:sz w:val="24"/>
          <w:szCs w:val="24"/>
        </w:rPr>
        <w:t>Brăila</w:t>
      </w:r>
      <w:r w:rsidR="0067112E">
        <w:rPr>
          <w:rFonts w:ascii="Arial" w:hAnsi="Arial" w:cs="Arial"/>
          <w:sz w:val="24"/>
          <w:szCs w:val="24"/>
        </w:rPr>
        <w:t>.</w:t>
      </w:r>
      <w:r w:rsidRPr="00717595">
        <w:rPr>
          <w:rFonts w:ascii="Arial" w:hAnsi="Arial" w:cs="Arial"/>
        </w:rPr>
        <w:tab/>
      </w:r>
      <w:r w:rsidRPr="00717595">
        <w:rPr>
          <w:rFonts w:ascii="Arial" w:hAnsi="Arial" w:cs="Arial"/>
        </w:rPr>
        <w:tab/>
      </w:r>
      <w:r w:rsidRPr="00717595">
        <w:rPr>
          <w:rFonts w:ascii="Arial" w:hAnsi="Arial" w:cs="Arial"/>
        </w:rPr>
        <w:tab/>
      </w:r>
      <w:r w:rsidRPr="00717595">
        <w:rPr>
          <w:rFonts w:ascii="Arial" w:hAnsi="Arial" w:cs="Arial"/>
        </w:rPr>
        <w:tab/>
      </w:r>
      <w:r w:rsidRPr="00717595">
        <w:rPr>
          <w:rFonts w:ascii="Arial" w:hAnsi="Arial" w:cs="Arial"/>
        </w:rPr>
        <w:tab/>
      </w:r>
      <w:r w:rsidRPr="00717595">
        <w:rPr>
          <w:rFonts w:ascii="Arial" w:hAnsi="Arial" w:cs="Arial"/>
        </w:rPr>
        <w:tab/>
      </w:r>
      <w:r w:rsidRPr="00717595">
        <w:rPr>
          <w:rFonts w:ascii="Arial" w:hAnsi="Arial" w:cs="Arial"/>
        </w:rPr>
        <w:tab/>
      </w:r>
      <w:r w:rsidRPr="00717595">
        <w:rPr>
          <w:rFonts w:ascii="Arial" w:hAnsi="Arial" w:cs="Arial"/>
        </w:rPr>
        <w:tab/>
      </w:r>
      <w:r w:rsidRPr="00717595">
        <w:rPr>
          <w:rFonts w:ascii="Arial" w:hAnsi="Arial" w:cs="Arial"/>
        </w:rPr>
        <w:tab/>
      </w:r>
      <w:r w:rsidRPr="00717595">
        <w:rPr>
          <w:rFonts w:ascii="Arial" w:hAnsi="Arial" w:cs="Arial"/>
        </w:rPr>
        <w:tab/>
      </w:r>
      <w:r w:rsidR="0054441E">
        <w:rPr>
          <w:rFonts w:ascii="Arial" w:hAnsi="Arial" w:cs="Arial"/>
        </w:rPr>
        <w:t xml:space="preserve">                                                                                                    </w:t>
      </w:r>
      <w:r w:rsidRPr="0054441E">
        <w:rPr>
          <w:rFonts w:ascii="Arial" w:hAnsi="Arial" w:cs="Arial"/>
        </w:rPr>
        <w:t>Tabelul I.1.1.2.</w:t>
      </w:r>
    </w:p>
    <w:tbl>
      <w:tblPr>
        <w:tblW w:w="473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280"/>
        <w:gridCol w:w="1182"/>
        <w:gridCol w:w="889"/>
        <w:gridCol w:w="889"/>
        <w:gridCol w:w="889"/>
        <w:gridCol w:w="767"/>
        <w:gridCol w:w="767"/>
        <w:gridCol w:w="767"/>
        <w:gridCol w:w="767"/>
        <w:gridCol w:w="767"/>
        <w:gridCol w:w="767"/>
      </w:tblGrid>
      <w:tr w:rsidR="00332B9C" w:rsidRPr="00717595" w:rsidTr="00332B9C">
        <w:trPr>
          <w:trHeight w:val="255"/>
          <w:jc w:val="center"/>
        </w:trPr>
        <w:tc>
          <w:tcPr>
            <w:tcW w:w="714" w:type="pct"/>
            <w:vMerge w:val="restart"/>
            <w:tcBorders>
              <w:top w:val="single" w:sz="12" w:space="0" w:color="000000"/>
              <w:left w:val="single" w:sz="12"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POLUANT</w:t>
            </w:r>
          </w:p>
        </w:tc>
        <w:tc>
          <w:tcPr>
            <w:tcW w:w="607" w:type="pct"/>
            <w:vMerge w:val="restart"/>
            <w:tcBorders>
              <w:top w:val="single" w:sz="12"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Tip staţie</w:t>
            </w:r>
          </w:p>
        </w:tc>
        <w:tc>
          <w:tcPr>
            <w:tcW w:w="3679" w:type="pct"/>
            <w:gridSpan w:val="9"/>
            <w:tcBorders>
              <w:top w:val="single" w:sz="12" w:space="0" w:color="000000"/>
              <w:left w:val="single" w:sz="6" w:space="0" w:color="000000"/>
              <w:bottom w:val="single" w:sz="6" w:space="0" w:color="000000"/>
              <w:right w:val="single" w:sz="12"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Concentraţia medie anuală</w:t>
            </w:r>
          </w:p>
        </w:tc>
      </w:tr>
      <w:tr w:rsidR="00332B9C" w:rsidRPr="00717595" w:rsidTr="00332B9C">
        <w:trPr>
          <w:trHeight w:val="385"/>
          <w:jc w:val="center"/>
        </w:trPr>
        <w:tc>
          <w:tcPr>
            <w:tcW w:w="714" w:type="pct"/>
            <w:vMerge/>
            <w:tcBorders>
              <w:top w:val="single" w:sz="12"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vMerge/>
            <w:tcBorders>
              <w:top w:val="single" w:sz="12" w:space="0" w:color="000000"/>
              <w:left w:val="single" w:sz="6"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b/>
              </w:rPr>
            </w:pPr>
            <w:r w:rsidRPr="00156E35">
              <w:rPr>
                <w:rFonts w:ascii="Arial" w:hAnsi="Arial" w:cs="Arial"/>
                <w:b/>
                <w:color w:val="000000"/>
              </w:rPr>
              <w:t>2008</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2009</w:t>
            </w:r>
          </w:p>
        </w:tc>
        <w:tc>
          <w:tcPr>
            <w:tcW w:w="450" w:type="pct"/>
            <w:tcBorders>
              <w:top w:val="single" w:sz="6" w:space="0" w:color="000000"/>
              <w:left w:val="single" w:sz="4" w:space="0" w:color="auto"/>
              <w:bottom w:val="single" w:sz="6" w:space="0" w:color="000000"/>
              <w:right w:val="single" w:sz="4" w:space="0" w:color="auto"/>
            </w:tcBorders>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2010</w:t>
            </w:r>
          </w:p>
        </w:tc>
        <w:tc>
          <w:tcPr>
            <w:tcW w:w="388" w:type="pct"/>
            <w:tcBorders>
              <w:top w:val="single" w:sz="6" w:space="0" w:color="000000"/>
              <w:left w:val="single" w:sz="4" w:space="0" w:color="auto"/>
              <w:bottom w:val="single" w:sz="6" w:space="0" w:color="000000"/>
              <w:right w:val="single" w:sz="8" w:space="0" w:color="000000"/>
            </w:tcBorders>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2011</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2012</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2013</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2014</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2015</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tabs>
                <w:tab w:val="center" w:pos="4680"/>
                <w:tab w:val="right" w:pos="9000"/>
              </w:tabs>
              <w:spacing w:after="0"/>
              <w:jc w:val="center"/>
              <w:rPr>
                <w:rFonts w:ascii="Arial" w:hAnsi="Arial" w:cs="Arial"/>
                <w:b/>
                <w:color w:val="000000"/>
              </w:rPr>
            </w:pPr>
            <w:r w:rsidRPr="00156E35">
              <w:rPr>
                <w:rFonts w:ascii="Arial" w:hAnsi="Arial" w:cs="Arial"/>
                <w:b/>
                <w:color w:val="000000"/>
              </w:rPr>
              <w:t>2016</w:t>
            </w:r>
          </w:p>
        </w:tc>
      </w:tr>
      <w:tr w:rsidR="00332B9C" w:rsidRPr="00717595" w:rsidTr="00332B9C">
        <w:trPr>
          <w:trHeight w:val="255"/>
          <w:jc w:val="center"/>
        </w:trPr>
        <w:tc>
          <w:tcPr>
            <w:tcW w:w="714"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color w:val="000000"/>
                <w:vertAlign w:val="subscript"/>
              </w:rPr>
            </w:pPr>
            <w:r w:rsidRPr="00156E35">
              <w:rPr>
                <w:rFonts w:ascii="Arial" w:hAnsi="Arial" w:cs="Arial"/>
                <w:color w:val="000000"/>
              </w:rPr>
              <w:t>SO</w:t>
            </w:r>
            <w:r w:rsidRPr="00156E35">
              <w:rPr>
                <w:rFonts w:ascii="Arial" w:hAnsi="Arial" w:cs="Arial"/>
                <w:color w:val="000000"/>
                <w:vertAlign w:val="subscript"/>
              </w:rPr>
              <w:t>2</w:t>
            </w:r>
          </w:p>
          <w:p w:rsidR="00332B9C" w:rsidRPr="00156E35" w:rsidRDefault="00332B9C" w:rsidP="00156E35">
            <w:pPr>
              <w:tabs>
                <w:tab w:val="center" w:pos="4680"/>
                <w:tab w:val="right" w:pos="9000"/>
              </w:tabs>
              <w:spacing w:after="0"/>
              <w:jc w:val="center"/>
              <w:rPr>
                <w:rFonts w:ascii="Arial" w:hAnsi="Arial" w:cs="Arial"/>
                <w:color w:val="000000"/>
              </w:rPr>
            </w:pPr>
            <w:r w:rsidRPr="00156E35">
              <w:rPr>
                <w:rFonts w:ascii="Arial" w:hAnsi="Arial" w:cs="Arial"/>
                <w:color w:val="000000"/>
              </w:rPr>
              <w:t>(µg/mc)</w:t>
            </w: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11,62</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11,73</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10,63</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3.59</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9,49</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12,28</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14,39</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16,60</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14,00</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8,01</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4.50</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3,51</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8,63</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14,74</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5.09</w:t>
            </w:r>
          </w:p>
        </w:tc>
      </w:tr>
      <w:tr w:rsidR="00332B9C" w:rsidRPr="00717595" w:rsidTr="00332B9C">
        <w:trPr>
          <w:trHeight w:val="255"/>
          <w:jc w:val="center"/>
        </w:trPr>
        <w:tc>
          <w:tcPr>
            <w:tcW w:w="714"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color w:val="000000"/>
              </w:rPr>
            </w:pPr>
            <w:r w:rsidRPr="00156E35">
              <w:rPr>
                <w:rFonts w:ascii="Arial" w:hAnsi="Arial" w:cs="Arial"/>
                <w:color w:val="000000"/>
              </w:rPr>
              <w:t xml:space="preserve">PM10 </w:t>
            </w:r>
          </w:p>
          <w:p w:rsidR="00332B9C" w:rsidRPr="00156E35" w:rsidRDefault="00332B9C" w:rsidP="00156E35">
            <w:pPr>
              <w:tabs>
                <w:tab w:val="center" w:pos="4680"/>
                <w:tab w:val="right" w:pos="9000"/>
              </w:tabs>
              <w:spacing w:after="0"/>
              <w:jc w:val="center"/>
              <w:rPr>
                <w:rFonts w:ascii="Arial" w:hAnsi="Arial" w:cs="Arial"/>
                <w:color w:val="000000"/>
              </w:rPr>
            </w:pPr>
            <w:r w:rsidRPr="00156E35">
              <w:rPr>
                <w:rFonts w:ascii="Arial" w:hAnsi="Arial" w:cs="Arial"/>
                <w:color w:val="000000"/>
              </w:rPr>
              <w:t>(µg/mc)</w:t>
            </w: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34,02</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29,51</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22,61</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36,68</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21.91</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31,52</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28,1</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24,5</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32,5</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28,07</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36,15</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46,03</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27.93</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28,54</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22,64</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29,07</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24.31</w:t>
            </w:r>
          </w:p>
        </w:tc>
      </w:tr>
      <w:tr w:rsidR="00332B9C" w:rsidRPr="00717595" w:rsidTr="00332B9C">
        <w:trPr>
          <w:trHeight w:val="255"/>
          <w:jc w:val="center"/>
        </w:trPr>
        <w:tc>
          <w:tcPr>
            <w:tcW w:w="714"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color w:val="000000"/>
                <w:vertAlign w:val="subscript"/>
              </w:rPr>
            </w:pPr>
            <w:r w:rsidRPr="00156E35">
              <w:rPr>
                <w:rFonts w:ascii="Arial" w:hAnsi="Arial" w:cs="Arial"/>
                <w:color w:val="000000"/>
              </w:rPr>
              <w:t>O</w:t>
            </w:r>
            <w:r w:rsidRPr="00156E35">
              <w:rPr>
                <w:rFonts w:ascii="Arial" w:hAnsi="Arial" w:cs="Arial"/>
                <w:color w:val="000000"/>
                <w:vertAlign w:val="subscript"/>
              </w:rPr>
              <w:t xml:space="preserve">3 </w:t>
            </w:r>
          </w:p>
          <w:p w:rsidR="00332B9C" w:rsidRPr="00156E35" w:rsidRDefault="00332B9C" w:rsidP="00156E35">
            <w:pPr>
              <w:tabs>
                <w:tab w:val="center" w:pos="4680"/>
                <w:tab w:val="right" w:pos="9000"/>
              </w:tabs>
              <w:spacing w:after="0"/>
              <w:jc w:val="center"/>
              <w:rPr>
                <w:rFonts w:ascii="Arial" w:hAnsi="Arial" w:cs="Arial"/>
                <w:color w:val="000000"/>
              </w:rPr>
            </w:pPr>
            <w:r w:rsidRPr="00156E35">
              <w:rPr>
                <w:rFonts w:ascii="Arial" w:hAnsi="Arial" w:cs="Arial"/>
                <w:color w:val="000000"/>
              </w:rPr>
              <w:t>(µg/mc)</w:t>
            </w: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72,66</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65,38</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63,30</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67,42</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57,39</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20,02</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53,23</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36.48</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63,16</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68,8</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66,00</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52,50</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71,80</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69,60</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48,24</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44,13</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50.25</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r>
      <w:tr w:rsidR="00332B9C" w:rsidRPr="00717595" w:rsidTr="00332B9C">
        <w:trPr>
          <w:trHeight w:val="255"/>
          <w:jc w:val="center"/>
        </w:trPr>
        <w:tc>
          <w:tcPr>
            <w:tcW w:w="714"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color w:val="000000"/>
                <w:vertAlign w:val="subscript"/>
              </w:rPr>
            </w:pPr>
            <w:r w:rsidRPr="00156E35">
              <w:rPr>
                <w:rFonts w:ascii="Arial" w:hAnsi="Arial" w:cs="Arial"/>
                <w:color w:val="000000"/>
              </w:rPr>
              <w:t>NO</w:t>
            </w:r>
            <w:r w:rsidRPr="00156E35">
              <w:rPr>
                <w:rFonts w:ascii="Arial" w:hAnsi="Arial" w:cs="Arial"/>
                <w:color w:val="000000"/>
                <w:vertAlign w:val="subscript"/>
              </w:rPr>
              <w:t xml:space="preserve">2 </w:t>
            </w:r>
          </w:p>
          <w:p w:rsidR="00332B9C" w:rsidRPr="00156E35" w:rsidRDefault="00332B9C" w:rsidP="00156E35">
            <w:pPr>
              <w:tabs>
                <w:tab w:val="center" w:pos="4680"/>
                <w:tab w:val="right" w:pos="9000"/>
              </w:tabs>
              <w:spacing w:after="0"/>
              <w:jc w:val="center"/>
              <w:rPr>
                <w:rFonts w:ascii="Arial" w:hAnsi="Arial" w:cs="Arial"/>
                <w:color w:val="000000"/>
              </w:rPr>
            </w:pPr>
            <w:r w:rsidRPr="00156E35">
              <w:rPr>
                <w:rFonts w:ascii="Arial" w:hAnsi="Arial" w:cs="Arial"/>
                <w:color w:val="000000"/>
              </w:rPr>
              <w:t>(µg/mc)</w:t>
            </w: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15,76</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12,25</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23,94</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25,36</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24,94</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3,86</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15.5</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12,83</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20.22</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12,65</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9,98</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10,50</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21,70</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5,15</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12,31</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12.68</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43,02</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30,73</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28,09</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30,52</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20.25</w:t>
            </w:r>
          </w:p>
        </w:tc>
      </w:tr>
      <w:tr w:rsidR="00332B9C" w:rsidRPr="00717595" w:rsidTr="00332B9C">
        <w:trPr>
          <w:trHeight w:val="255"/>
          <w:jc w:val="center"/>
        </w:trPr>
        <w:tc>
          <w:tcPr>
            <w:tcW w:w="714"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color w:val="000000"/>
                <w:vertAlign w:val="subscript"/>
              </w:rPr>
            </w:pPr>
            <w:r w:rsidRPr="00156E35">
              <w:rPr>
                <w:rFonts w:ascii="Arial" w:hAnsi="Arial" w:cs="Arial"/>
                <w:color w:val="000000"/>
              </w:rPr>
              <w:t>NO</w:t>
            </w:r>
            <w:r w:rsidRPr="00156E35">
              <w:rPr>
                <w:rFonts w:ascii="Arial" w:hAnsi="Arial" w:cs="Arial"/>
                <w:color w:val="000000"/>
                <w:vertAlign w:val="subscript"/>
              </w:rPr>
              <w:t xml:space="preserve">x </w:t>
            </w:r>
          </w:p>
          <w:p w:rsidR="00332B9C" w:rsidRPr="00156E35" w:rsidRDefault="00332B9C" w:rsidP="00156E35">
            <w:pPr>
              <w:tabs>
                <w:tab w:val="center" w:pos="4680"/>
                <w:tab w:val="right" w:pos="9000"/>
              </w:tabs>
              <w:spacing w:after="0"/>
              <w:jc w:val="center"/>
              <w:rPr>
                <w:rFonts w:ascii="Arial" w:hAnsi="Arial" w:cs="Arial"/>
                <w:color w:val="000000"/>
              </w:rPr>
            </w:pPr>
            <w:r w:rsidRPr="00156E35">
              <w:rPr>
                <w:rFonts w:ascii="Arial" w:hAnsi="Arial" w:cs="Arial"/>
                <w:color w:val="000000"/>
              </w:rPr>
              <w:t>(µg/mc)</w:t>
            </w: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21,29</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19,09</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32,95</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33,21</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34,49</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12,14</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20,8</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22,30</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22,30</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16,25</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17,83</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17,25</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31,62</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14,30</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19,78</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19,78</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61,58</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55,37</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43,68</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43,83</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25.23</w:t>
            </w:r>
          </w:p>
        </w:tc>
      </w:tr>
      <w:tr w:rsidR="00332B9C" w:rsidRPr="00717595" w:rsidTr="00332B9C">
        <w:trPr>
          <w:trHeight w:val="255"/>
          <w:jc w:val="center"/>
        </w:trPr>
        <w:tc>
          <w:tcPr>
            <w:tcW w:w="714"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color w:val="000000"/>
              </w:rPr>
            </w:pPr>
            <w:r w:rsidRPr="00156E35">
              <w:rPr>
                <w:rFonts w:ascii="Arial" w:hAnsi="Arial" w:cs="Arial"/>
                <w:color w:val="000000"/>
              </w:rPr>
              <w:t xml:space="preserve">CO </w:t>
            </w:r>
          </w:p>
          <w:p w:rsidR="00332B9C" w:rsidRPr="00156E35" w:rsidRDefault="00332B9C" w:rsidP="00156E35">
            <w:pPr>
              <w:tabs>
                <w:tab w:val="center" w:pos="4680"/>
                <w:tab w:val="right" w:pos="9000"/>
              </w:tabs>
              <w:spacing w:after="0"/>
              <w:jc w:val="center"/>
              <w:rPr>
                <w:rFonts w:ascii="Arial" w:hAnsi="Arial" w:cs="Arial"/>
                <w:color w:val="000000"/>
              </w:rPr>
            </w:pPr>
            <w:r w:rsidRPr="00156E35">
              <w:rPr>
                <w:rFonts w:ascii="Arial" w:hAnsi="Arial" w:cs="Arial"/>
                <w:color w:val="000000"/>
              </w:rPr>
              <w:t>(mg/mc)</w:t>
            </w: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0,12</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0,12</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0,13</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0,13</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0,19</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0,15</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0,22</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0,11</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0.11</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0,16</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0,104</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0,1</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0,15</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0,26</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0,07</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0,08</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0,07</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0.09</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0,98</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0,40</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0,19</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0,42</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0,27</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0,34</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0.19</w:t>
            </w:r>
          </w:p>
        </w:tc>
      </w:tr>
      <w:tr w:rsidR="00332B9C" w:rsidRPr="00717595" w:rsidTr="00332B9C">
        <w:trPr>
          <w:trHeight w:val="255"/>
          <w:jc w:val="center"/>
        </w:trPr>
        <w:tc>
          <w:tcPr>
            <w:tcW w:w="714"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 xml:space="preserve">Pb </w:t>
            </w:r>
          </w:p>
          <w:p w:rsidR="00332B9C" w:rsidRPr="00156E35" w:rsidRDefault="00332B9C" w:rsidP="00156E35">
            <w:pPr>
              <w:spacing w:after="0"/>
              <w:jc w:val="center"/>
              <w:rPr>
                <w:rFonts w:ascii="Arial" w:hAnsi="Arial" w:cs="Arial"/>
              </w:rPr>
            </w:pPr>
            <w:r w:rsidRPr="00156E35">
              <w:rPr>
                <w:rFonts w:ascii="Arial" w:hAnsi="Arial" w:cs="Arial"/>
              </w:rPr>
              <w:t>(µg/mc)</w:t>
            </w: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0,0423</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tabs>
                <w:tab w:val="center" w:pos="4680"/>
                <w:tab w:val="right" w:pos="9000"/>
              </w:tabs>
              <w:spacing w:after="0"/>
              <w:jc w:val="center"/>
              <w:rPr>
                <w:rFonts w:ascii="Arial" w:hAnsi="Arial" w:cs="Arial"/>
              </w:rPr>
            </w:pPr>
            <w:r w:rsidRPr="00156E3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0,0301</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0,0075</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0,0052</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0,0463</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0,0009</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0,0085</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r>
      <w:tr w:rsidR="00332B9C" w:rsidRPr="00717595" w:rsidTr="00332B9C">
        <w:trPr>
          <w:trHeight w:val="255"/>
          <w:jc w:val="center"/>
        </w:trPr>
        <w:tc>
          <w:tcPr>
            <w:tcW w:w="714" w:type="pct"/>
            <w:vMerge w:val="restart"/>
            <w:tcBorders>
              <w:top w:val="single" w:sz="6" w:space="0" w:color="000000"/>
              <w:left w:val="single" w:sz="12"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Benzen</w:t>
            </w:r>
          </w:p>
          <w:p w:rsidR="00332B9C" w:rsidRPr="00156E35" w:rsidRDefault="00332B9C" w:rsidP="00156E35">
            <w:pPr>
              <w:spacing w:after="0"/>
              <w:jc w:val="center"/>
              <w:rPr>
                <w:rFonts w:ascii="Arial" w:hAnsi="Arial" w:cs="Arial"/>
              </w:rPr>
            </w:pPr>
            <w:r w:rsidRPr="00156E35">
              <w:rPr>
                <w:rFonts w:ascii="Arial" w:hAnsi="Arial" w:cs="Arial"/>
              </w:rPr>
              <w:t xml:space="preserve"> (µg/mc)</w:t>
            </w: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3,145</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0,25</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0,13</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1.2</w:t>
            </w:r>
          </w:p>
        </w:tc>
      </w:tr>
      <w:tr w:rsidR="00332B9C" w:rsidRPr="00717595" w:rsidTr="00332B9C">
        <w:trPr>
          <w:trHeight w:val="255"/>
          <w:jc w:val="center"/>
        </w:trPr>
        <w:tc>
          <w:tcPr>
            <w:tcW w:w="714" w:type="pct"/>
            <w:vMerge/>
            <w:tcBorders>
              <w:top w:val="single" w:sz="6" w:space="0" w:color="000000"/>
              <w:left w:val="single" w:sz="12"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p>
        </w:tc>
        <w:tc>
          <w:tcPr>
            <w:tcW w:w="607" w:type="pct"/>
            <w:tcBorders>
              <w:top w:val="single" w:sz="6" w:space="0" w:color="000000"/>
              <w:left w:val="single" w:sz="6" w:space="0" w:color="000000"/>
              <w:bottom w:val="single" w:sz="6"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4,65</w:t>
            </w:r>
          </w:p>
        </w:tc>
        <w:tc>
          <w:tcPr>
            <w:tcW w:w="450" w:type="pct"/>
            <w:tcBorders>
              <w:top w:val="single" w:sz="6" w:space="0" w:color="000000"/>
              <w:left w:val="single" w:sz="4" w:space="0" w:color="auto"/>
              <w:bottom w:val="single" w:sz="6" w:space="0" w:color="000000"/>
              <w:right w:val="single" w:sz="4" w:space="0" w:color="auto"/>
            </w:tcBorders>
          </w:tcPr>
          <w:p w:rsidR="00332B9C" w:rsidRPr="00156E35" w:rsidRDefault="00332B9C" w:rsidP="00156E35">
            <w:pPr>
              <w:spacing w:after="0"/>
              <w:jc w:val="center"/>
              <w:rPr>
                <w:rFonts w:ascii="Arial" w:hAnsi="Arial" w:cs="Arial"/>
              </w:rPr>
            </w:pPr>
            <w:r w:rsidRPr="00156E35">
              <w:rPr>
                <w:rFonts w:ascii="Arial" w:hAnsi="Arial" w:cs="Arial"/>
              </w:rPr>
              <w:t>2,41</w:t>
            </w:r>
          </w:p>
        </w:tc>
        <w:tc>
          <w:tcPr>
            <w:tcW w:w="388" w:type="pct"/>
            <w:tcBorders>
              <w:top w:val="single" w:sz="6" w:space="0" w:color="000000"/>
              <w:left w:val="single" w:sz="4" w:space="0" w:color="auto"/>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8" w:space="0" w:color="000000"/>
            </w:tcBorders>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6"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6"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1.93</w:t>
            </w:r>
          </w:p>
        </w:tc>
      </w:tr>
      <w:tr w:rsidR="00332B9C" w:rsidRPr="00717595" w:rsidTr="00332B9C">
        <w:trPr>
          <w:trHeight w:val="255"/>
          <w:jc w:val="center"/>
        </w:trPr>
        <w:tc>
          <w:tcPr>
            <w:tcW w:w="714" w:type="pct"/>
            <w:tcBorders>
              <w:top w:val="single" w:sz="6" w:space="0" w:color="000000"/>
              <w:left w:val="single" w:sz="12" w:space="0" w:color="000000"/>
              <w:bottom w:val="single" w:sz="12" w:space="0" w:color="000000"/>
              <w:right w:val="single" w:sz="6" w:space="0" w:color="000000"/>
            </w:tcBorders>
            <w:noWrap/>
            <w:vAlign w:val="center"/>
          </w:tcPr>
          <w:p w:rsidR="00332B9C" w:rsidRPr="00156E35" w:rsidRDefault="00332B9C" w:rsidP="00156E35">
            <w:pPr>
              <w:spacing w:after="0"/>
              <w:jc w:val="center"/>
              <w:rPr>
                <w:rFonts w:ascii="Arial" w:hAnsi="Arial" w:cs="Arial"/>
                <w:vertAlign w:val="subscript"/>
              </w:rPr>
            </w:pPr>
            <w:r w:rsidRPr="00156E35">
              <w:rPr>
                <w:rFonts w:ascii="Arial" w:hAnsi="Arial" w:cs="Arial"/>
              </w:rPr>
              <w:t>PM</w:t>
            </w:r>
            <w:r w:rsidRPr="00156E35">
              <w:rPr>
                <w:rFonts w:ascii="Arial" w:hAnsi="Arial" w:cs="Arial"/>
                <w:vertAlign w:val="subscript"/>
              </w:rPr>
              <w:t xml:space="preserve">2.5 </w:t>
            </w:r>
          </w:p>
          <w:p w:rsidR="00332B9C" w:rsidRPr="00156E35" w:rsidRDefault="00332B9C" w:rsidP="00156E35">
            <w:pPr>
              <w:spacing w:after="0"/>
              <w:jc w:val="center"/>
              <w:rPr>
                <w:rFonts w:ascii="Arial" w:hAnsi="Arial" w:cs="Arial"/>
              </w:rPr>
            </w:pPr>
            <w:r w:rsidRPr="00156E35">
              <w:rPr>
                <w:rFonts w:ascii="Arial" w:hAnsi="Arial" w:cs="Arial"/>
              </w:rPr>
              <w:t>(µg/mc)</w:t>
            </w:r>
          </w:p>
        </w:tc>
        <w:tc>
          <w:tcPr>
            <w:tcW w:w="607" w:type="pct"/>
            <w:tcBorders>
              <w:top w:val="single" w:sz="6" w:space="0" w:color="000000"/>
              <w:left w:val="single" w:sz="6" w:space="0" w:color="000000"/>
              <w:bottom w:val="single" w:sz="12" w:space="0" w:color="000000"/>
              <w:right w:val="single" w:sz="6" w:space="0" w:color="000000"/>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In</w:t>
            </w:r>
          </w:p>
        </w:tc>
        <w:tc>
          <w:tcPr>
            <w:tcW w:w="450" w:type="pct"/>
            <w:tcBorders>
              <w:top w:val="single" w:sz="6" w:space="0" w:color="000000"/>
              <w:left w:val="single" w:sz="6" w:space="0" w:color="000000"/>
              <w:bottom w:val="single" w:sz="12" w:space="0" w:color="000000"/>
              <w:right w:val="single" w:sz="4" w:space="0" w:color="auto"/>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450" w:type="pct"/>
            <w:tcBorders>
              <w:top w:val="single" w:sz="6" w:space="0" w:color="000000"/>
              <w:left w:val="single" w:sz="4" w:space="0" w:color="auto"/>
              <w:bottom w:val="single" w:sz="12" w:space="0" w:color="000000"/>
              <w:right w:val="single" w:sz="4" w:space="0" w:color="auto"/>
            </w:tcBorders>
            <w:noWrap/>
            <w:vAlign w:val="center"/>
          </w:tcPr>
          <w:p w:rsidR="00332B9C" w:rsidRPr="00156E35" w:rsidRDefault="00332B9C" w:rsidP="00156E35">
            <w:pPr>
              <w:spacing w:after="0"/>
              <w:jc w:val="center"/>
              <w:rPr>
                <w:rFonts w:ascii="Arial" w:hAnsi="Arial" w:cs="Arial"/>
              </w:rPr>
            </w:pPr>
            <w:r w:rsidRPr="00156E35">
              <w:rPr>
                <w:rFonts w:ascii="Arial" w:hAnsi="Arial" w:cs="Arial"/>
              </w:rPr>
              <w:t>15,46</w:t>
            </w:r>
          </w:p>
        </w:tc>
        <w:tc>
          <w:tcPr>
            <w:tcW w:w="450" w:type="pct"/>
            <w:tcBorders>
              <w:top w:val="single" w:sz="6" w:space="0" w:color="000000"/>
              <w:left w:val="single" w:sz="4" w:space="0" w:color="auto"/>
              <w:bottom w:val="single" w:sz="12"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12"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12"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0,93</w:t>
            </w:r>
          </w:p>
        </w:tc>
        <w:tc>
          <w:tcPr>
            <w:tcW w:w="388" w:type="pct"/>
            <w:tcBorders>
              <w:top w:val="single" w:sz="6" w:space="0" w:color="000000"/>
              <w:left w:val="single" w:sz="8" w:space="0" w:color="000000"/>
              <w:bottom w:val="single" w:sz="12" w:space="0" w:color="000000"/>
              <w:right w:val="single" w:sz="8"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8" w:space="0" w:color="000000"/>
              <w:bottom w:val="single" w:sz="12" w:space="0" w:color="000000"/>
              <w:right w:val="single" w:sz="6"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9" w:type="pct"/>
            <w:tcBorders>
              <w:top w:val="single" w:sz="6" w:space="0" w:color="000000"/>
              <w:left w:val="single" w:sz="6" w:space="0" w:color="000000"/>
              <w:bottom w:val="single" w:sz="12"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c>
          <w:tcPr>
            <w:tcW w:w="388" w:type="pct"/>
            <w:tcBorders>
              <w:top w:val="single" w:sz="6" w:space="0" w:color="000000"/>
              <w:left w:val="single" w:sz="6" w:space="0" w:color="000000"/>
              <w:bottom w:val="single" w:sz="12" w:space="0" w:color="000000"/>
              <w:right w:val="single" w:sz="12" w:space="0" w:color="000000"/>
            </w:tcBorders>
            <w:vAlign w:val="center"/>
          </w:tcPr>
          <w:p w:rsidR="00332B9C" w:rsidRPr="00156E35" w:rsidRDefault="00332B9C" w:rsidP="00156E35">
            <w:pPr>
              <w:spacing w:after="0"/>
              <w:jc w:val="center"/>
              <w:rPr>
                <w:rFonts w:ascii="Arial" w:hAnsi="Arial" w:cs="Arial"/>
              </w:rPr>
            </w:pPr>
            <w:r w:rsidRPr="00156E35">
              <w:rPr>
                <w:rFonts w:ascii="Arial" w:hAnsi="Arial" w:cs="Arial"/>
              </w:rPr>
              <w:t>-</w:t>
            </w:r>
          </w:p>
        </w:tc>
      </w:tr>
    </w:tbl>
    <w:p w:rsidR="00332B9C" w:rsidRPr="00717595" w:rsidRDefault="00332B9C" w:rsidP="00156E35">
      <w:pPr>
        <w:tabs>
          <w:tab w:val="left" w:pos="1440"/>
        </w:tabs>
        <w:spacing w:after="0"/>
        <w:ind w:left="720"/>
        <w:jc w:val="both"/>
        <w:rPr>
          <w:rFonts w:ascii="Arial" w:hAnsi="Arial" w:cs="Arial"/>
          <w:sz w:val="24"/>
          <w:szCs w:val="24"/>
        </w:rPr>
      </w:pPr>
    </w:p>
    <w:p w:rsidR="00332B9C" w:rsidRPr="00717595" w:rsidRDefault="00332B9C" w:rsidP="0054441E">
      <w:pPr>
        <w:tabs>
          <w:tab w:val="left" w:pos="709"/>
        </w:tabs>
        <w:spacing w:line="240" w:lineRule="auto"/>
        <w:jc w:val="both"/>
        <w:rPr>
          <w:rFonts w:ascii="Arial" w:hAnsi="Arial" w:cs="Arial"/>
          <w:sz w:val="24"/>
          <w:szCs w:val="24"/>
        </w:rPr>
      </w:pPr>
      <w:r w:rsidRPr="00717595">
        <w:rPr>
          <w:rFonts w:ascii="Arial" w:hAnsi="Arial" w:cs="Arial"/>
          <w:sz w:val="24"/>
          <w:szCs w:val="24"/>
        </w:rPr>
        <w:lastRenderedPageBreak/>
        <w:tab/>
      </w:r>
      <w:r w:rsidRPr="00717595">
        <w:rPr>
          <w:rFonts w:ascii="Arial" w:hAnsi="Arial" w:cs="Arial"/>
          <w:sz w:val="24"/>
          <w:szCs w:val="24"/>
        </w:rPr>
        <w:tab/>
        <w:t>Din cauza defecţiunilor apărute la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332B9C" w:rsidRPr="00717595" w:rsidRDefault="00332B9C" w:rsidP="00332B9C">
      <w:pPr>
        <w:tabs>
          <w:tab w:val="left" w:pos="709"/>
        </w:tabs>
        <w:ind w:left="720" w:right="31"/>
        <w:rPr>
          <w:rFonts w:ascii="Arial" w:hAnsi="Arial" w:cs="Arial"/>
          <w:b/>
          <w:sz w:val="24"/>
          <w:szCs w:val="24"/>
        </w:rPr>
      </w:pPr>
      <w:r w:rsidRPr="00717595">
        <w:rPr>
          <w:rFonts w:ascii="Arial" w:hAnsi="Arial" w:cs="Arial"/>
          <w:b/>
          <w:sz w:val="24"/>
          <w:szCs w:val="24"/>
        </w:rPr>
        <w:t>I.1.1.2.1.Dioxidul de azot</w:t>
      </w:r>
    </w:p>
    <w:p w:rsidR="00332B9C" w:rsidRPr="00717595" w:rsidRDefault="00332B9C" w:rsidP="00332B9C">
      <w:pPr>
        <w:tabs>
          <w:tab w:val="num" w:pos="0"/>
        </w:tabs>
        <w:ind w:firstLine="720"/>
        <w:jc w:val="center"/>
        <w:rPr>
          <w:rFonts w:ascii="Arial" w:hAnsi="Arial" w:cs="Arial"/>
          <w:sz w:val="24"/>
          <w:szCs w:val="24"/>
        </w:rPr>
      </w:pPr>
      <w:r w:rsidRPr="00717595">
        <w:rPr>
          <w:rFonts w:ascii="Arial" w:hAnsi="Arial" w:cs="Arial"/>
          <w:noProof/>
          <w:sz w:val="24"/>
          <w:szCs w:val="24"/>
          <w:lang w:eastAsia="ro-RO"/>
        </w:rPr>
        <w:drawing>
          <wp:inline distT="0" distB="0" distL="0" distR="0">
            <wp:extent cx="5524500" cy="2124075"/>
            <wp:effectExtent l="0" t="0" r="0" b="0"/>
            <wp:docPr id="15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2B9C" w:rsidRPr="00717595" w:rsidRDefault="00332B9C" w:rsidP="00332B9C">
      <w:pPr>
        <w:tabs>
          <w:tab w:val="num" w:pos="0"/>
        </w:tabs>
        <w:jc w:val="center"/>
        <w:rPr>
          <w:rFonts w:ascii="Arial" w:hAnsi="Arial" w:cs="Arial"/>
          <w:sz w:val="24"/>
          <w:szCs w:val="24"/>
        </w:rPr>
      </w:pPr>
      <w:r w:rsidRPr="00717595">
        <w:rPr>
          <w:rFonts w:ascii="Arial" w:hAnsi="Arial" w:cs="Arial"/>
          <w:sz w:val="24"/>
          <w:szCs w:val="24"/>
        </w:rPr>
        <w:t>Fig. I.1.1.2.1.Concentraţia medie anuală a dioxidului de azot</w:t>
      </w:r>
      <w:r w:rsidR="00247579">
        <w:rPr>
          <w:rFonts w:ascii="Arial" w:hAnsi="Arial" w:cs="Arial"/>
          <w:sz w:val="24"/>
          <w:szCs w:val="24"/>
        </w:rPr>
        <w:t xml:space="preserve"> </w:t>
      </w:r>
      <w:r w:rsidRPr="00717595">
        <w:rPr>
          <w:rFonts w:ascii="Arial" w:hAnsi="Arial" w:cs="Arial"/>
          <w:sz w:val="24"/>
          <w:szCs w:val="24"/>
        </w:rPr>
        <w:t>în perioada 20</w:t>
      </w:r>
      <w:r w:rsidR="00247579">
        <w:rPr>
          <w:rFonts w:ascii="Arial" w:hAnsi="Arial" w:cs="Arial"/>
          <w:sz w:val="24"/>
          <w:szCs w:val="24"/>
        </w:rPr>
        <w:t>12</w:t>
      </w:r>
      <w:r w:rsidRPr="00717595">
        <w:rPr>
          <w:rFonts w:ascii="Arial" w:hAnsi="Arial" w:cs="Arial"/>
          <w:sz w:val="24"/>
          <w:szCs w:val="24"/>
        </w:rPr>
        <w:t>- 2016</w:t>
      </w:r>
    </w:p>
    <w:p w:rsidR="00332B9C" w:rsidRPr="00717595" w:rsidRDefault="00332B9C" w:rsidP="00332B9C">
      <w:pPr>
        <w:tabs>
          <w:tab w:val="num" w:pos="0"/>
        </w:tabs>
        <w:ind w:firstLine="720"/>
        <w:jc w:val="center"/>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t>Tabel I.1.1.2.1.</w:t>
      </w:r>
    </w:p>
    <w:tbl>
      <w:tblPr>
        <w:tblW w:w="0" w:type="auto"/>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080"/>
        <w:gridCol w:w="951"/>
        <w:gridCol w:w="1007"/>
        <w:gridCol w:w="951"/>
        <w:gridCol w:w="951"/>
      </w:tblGrid>
      <w:tr w:rsidR="00332B9C" w:rsidRPr="00717595" w:rsidTr="00332B9C">
        <w:trPr>
          <w:jc w:val="center"/>
        </w:trPr>
        <w:tc>
          <w:tcPr>
            <w:tcW w:w="2207" w:type="dxa"/>
            <w:shd w:val="clear" w:color="auto" w:fill="E6E6E6"/>
          </w:tcPr>
          <w:p w:rsidR="00332B9C" w:rsidRPr="002D0C2A" w:rsidRDefault="00332B9C" w:rsidP="002D0C2A">
            <w:pPr>
              <w:tabs>
                <w:tab w:val="num" w:pos="0"/>
              </w:tabs>
              <w:spacing w:after="0" w:line="240" w:lineRule="auto"/>
              <w:rPr>
                <w:rFonts w:ascii="Arial" w:hAnsi="Arial" w:cs="Arial"/>
              </w:rPr>
            </w:pPr>
            <w:r w:rsidRPr="002D0C2A">
              <w:rPr>
                <w:rFonts w:ascii="Arial" w:hAnsi="Arial" w:cs="Arial"/>
                <w:b/>
              </w:rPr>
              <w:t>NO</w:t>
            </w:r>
            <w:r w:rsidRPr="002D0C2A">
              <w:rPr>
                <w:rFonts w:ascii="Arial" w:hAnsi="Arial" w:cs="Arial"/>
                <w:b/>
                <w:vertAlign w:val="subscript"/>
              </w:rPr>
              <w:t>2</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1080"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1</w:t>
            </w:r>
          </w:p>
        </w:tc>
        <w:tc>
          <w:tcPr>
            <w:tcW w:w="951"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2</w:t>
            </w:r>
          </w:p>
        </w:tc>
        <w:tc>
          <w:tcPr>
            <w:tcW w:w="1007"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3</w:t>
            </w:r>
          </w:p>
        </w:tc>
        <w:tc>
          <w:tcPr>
            <w:tcW w:w="951"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4</w:t>
            </w:r>
          </w:p>
        </w:tc>
        <w:tc>
          <w:tcPr>
            <w:tcW w:w="951"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5</w:t>
            </w:r>
          </w:p>
        </w:tc>
      </w:tr>
      <w:tr w:rsidR="00332B9C" w:rsidRPr="00717595" w:rsidTr="00332B9C">
        <w:trPr>
          <w:jc w:val="center"/>
        </w:trPr>
        <w:tc>
          <w:tcPr>
            <w:tcW w:w="2207" w:type="dxa"/>
          </w:tcPr>
          <w:p w:rsidR="00332B9C" w:rsidRPr="002D0C2A" w:rsidRDefault="00332B9C" w:rsidP="002D0C2A">
            <w:pPr>
              <w:tabs>
                <w:tab w:val="num" w:pos="0"/>
              </w:tabs>
              <w:spacing w:after="0" w:line="240" w:lineRule="auto"/>
              <w:jc w:val="center"/>
              <w:rPr>
                <w:rFonts w:ascii="Arial" w:hAnsi="Arial" w:cs="Arial"/>
              </w:rPr>
            </w:pPr>
            <w:r w:rsidRPr="002D0C2A">
              <w:rPr>
                <w:rFonts w:ascii="Arial" w:hAnsi="Arial" w:cs="Arial"/>
              </w:rPr>
              <w:t>2012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30,52</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24,94</w:t>
            </w:r>
          </w:p>
        </w:tc>
        <w:tc>
          <w:tcPr>
            <w:tcW w:w="1007" w:type="dxa"/>
          </w:tcPr>
          <w:p w:rsidR="00332B9C" w:rsidRPr="002D0C2A" w:rsidRDefault="00332B9C" w:rsidP="002D0C2A">
            <w:pPr>
              <w:spacing w:after="0" w:line="240" w:lineRule="auto"/>
              <w:jc w:val="center"/>
              <w:rPr>
                <w:rFonts w:ascii="Arial" w:hAnsi="Arial" w:cs="Arial"/>
              </w:rPr>
            </w:pPr>
            <w:r w:rsidRPr="002D0C2A">
              <w:rPr>
                <w:rFonts w:ascii="Arial" w:hAnsi="Arial" w:cs="Arial"/>
              </w:rPr>
              <w:t>13,11</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21,70</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r>
      <w:tr w:rsidR="00332B9C" w:rsidRPr="00717595" w:rsidTr="00332B9C">
        <w:trPr>
          <w:jc w:val="center"/>
        </w:trPr>
        <w:tc>
          <w:tcPr>
            <w:tcW w:w="2207" w:type="dxa"/>
          </w:tcPr>
          <w:p w:rsidR="00332B9C" w:rsidRPr="002D0C2A" w:rsidRDefault="00332B9C" w:rsidP="002D0C2A">
            <w:pPr>
              <w:tabs>
                <w:tab w:val="num" w:pos="0"/>
              </w:tabs>
              <w:spacing w:after="0" w:line="240" w:lineRule="auto"/>
              <w:jc w:val="center"/>
              <w:rPr>
                <w:rFonts w:ascii="Arial" w:hAnsi="Arial" w:cs="Arial"/>
              </w:rPr>
            </w:pPr>
            <w:r w:rsidRPr="002D0C2A">
              <w:rPr>
                <w:rFonts w:ascii="Arial" w:hAnsi="Arial" w:cs="Arial"/>
              </w:rPr>
              <w:t>2013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3,86</w:t>
            </w:r>
          </w:p>
        </w:tc>
        <w:tc>
          <w:tcPr>
            <w:tcW w:w="1007" w:type="dxa"/>
          </w:tcPr>
          <w:p w:rsidR="00332B9C" w:rsidRPr="002D0C2A" w:rsidRDefault="00332B9C" w:rsidP="002D0C2A">
            <w:pPr>
              <w:spacing w:after="0" w:line="240" w:lineRule="auto"/>
              <w:jc w:val="center"/>
              <w:rPr>
                <w:rFonts w:ascii="Arial" w:hAnsi="Arial" w:cs="Arial"/>
              </w:rPr>
            </w:pPr>
            <w:r w:rsidRPr="002D0C2A">
              <w:rPr>
                <w:rFonts w:ascii="Arial" w:hAnsi="Arial" w:cs="Arial"/>
              </w:rPr>
              <w:t>10,44</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5,15</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r>
      <w:tr w:rsidR="00332B9C" w:rsidRPr="00717595" w:rsidTr="00332B9C">
        <w:trPr>
          <w:jc w:val="center"/>
        </w:trPr>
        <w:tc>
          <w:tcPr>
            <w:tcW w:w="2207" w:type="dxa"/>
          </w:tcPr>
          <w:p w:rsidR="00332B9C" w:rsidRPr="002D0C2A" w:rsidRDefault="00332B9C" w:rsidP="002D0C2A">
            <w:pPr>
              <w:tabs>
                <w:tab w:val="num" w:pos="0"/>
              </w:tabs>
              <w:spacing w:after="0" w:line="240" w:lineRule="auto"/>
              <w:jc w:val="center"/>
              <w:rPr>
                <w:rFonts w:ascii="Arial" w:hAnsi="Arial" w:cs="Arial"/>
              </w:rPr>
            </w:pPr>
            <w:r w:rsidRPr="002D0C2A">
              <w:rPr>
                <w:rFonts w:ascii="Arial" w:hAnsi="Arial" w:cs="Arial"/>
              </w:rPr>
              <w:t>2014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15,50</w:t>
            </w:r>
          </w:p>
        </w:tc>
        <w:tc>
          <w:tcPr>
            <w:tcW w:w="1007" w:type="dxa"/>
          </w:tcPr>
          <w:p w:rsidR="00332B9C" w:rsidRPr="002D0C2A" w:rsidRDefault="00332B9C" w:rsidP="002D0C2A">
            <w:pPr>
              <w:spacing w:after="0" w:line="240" w:lineRule="auto"/>
              <w:jc w:val="center"/>
              <w:rPr>
                <w:rFonts w:ascii="Arial" w:hAnsi="Arial" w:cs="Arial"/>
              </w:rPr>
            </w:pPr>
            <w:r w:rsidRPr="002D0C2A">
              <w:rPr>
                <w:rFonts w:ascii="Arial" w:hAnsi="Arial" w:cs="Arial"/>
              </w:rPr>
              <w:t>7,41</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r>
      <w:tr w:rsidR="00332B9C" w:rsidRPr="00717595" w:rsidTr="00332B9C">
        <w:trPr>
          <w:jc w:val="center"/>
        </w:trPr>
        <w:tc>
          <w:tcPr>
            <w:tcW w:w="2207" w:type="dxa"/>
          </w:tcPr>
          <w:p w:rsidR="00332B9C" w:rsidRPr="002D0C2A" w:rsidRDefault="00332B9C" w:rsidP="002D0C2A">
            <w:pPr>
              <w:tabs>
                <w:tab w:val="num" w:pos="0"/>
              </w:tabs>
              <w:spacing w:after="0" w:line="240" w:lineRule="auto"/>
              <w:jc w:val="center"/>
              <w:rPr>
                <w:rFonts w:ascii="Arial" w:hAnsi="Arial" w:cs="Arial"/>
              </w:rPr>
            </w:pPr>
            <w:r w:rsidRPr="002D0C2A">
              <w:rPr>
                <w:rFonts w:ascii="Arial" w:hAnsi="Arial" w:cs="Arial"/>
              </w:rPr>
              <w:t>2015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12,83</w:t>
            </w:r>
          </w:p>
        </w:tc>
        <w:tc>
          <w:tcPr>
            <w:tcW w:w="1007"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12,31</w:t>
            </w:r>
          </w:p>
        </w:tc>
      </w:tr>
      <w:tr w:rsidR="00332B9C" w:rsidRPr="00717595" w:rsidTr="00332B9C">
        <w:trPr>
          <w:jc w:val="center"/>
        </w:trPr>
        <w:tc>
          <w:tcPr>
            <w:tcW w:w="2207" w:type="dxa"/>
          </w:tcPr>
          <w:p w:rsidR="00332B9C" w:rsidRPr="002D0C2A" w:rsidRDefault="00332B9C" w:rsidP="002D0C2A">
            <w:pPr>
              <w:tabs>
                <w:tab w:val="num" w:pos="0"/>
              </w:tabs>
              <w:spacing w:after="0" w:line="240" w:lineRule="auto"/>
              <w:jc w:val="center"/>
              <w:rPr>
                <w:rFonts w:ascii="Arial" w:hAnsi="Arial" w:cs="Arial"/>
              </w:rPr>
            </w:pPr>
            <w:r w:rsidRPr="002D0C2A">
              <w:rPr>
                <w:rFonts w:ascii="Arial" w:hAnsi="Arial" w:cs="Arial"/>
              </w:rPr>
              <w:t>2016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20.25</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20.22</w:t>
            </w:r>
          </w:p>
        </w:tc>
        <w:tc>
          <w:tcPr>
            <w:tcW w:w="1007" w:type="dxa"/>
          </w:tcPr>
          <w:p w:rsidR="00332B9C" w:rsidRPr="002D0C2A" w:rsidRDefault="00332B9C" w:rsidP="002D0C2A">
            <w:pPr>
              <w:spacing w:after="0" w:line="240" w:lineRule="auto"/>
              <w:jc w:val="center"/>
              <w:rPr>
                <w:rFonts w:ascii="Arial" w:hAnsi="Arial" w:cs="Arial"/>
              </w:rPr>
            </w:pPr>
            <w:r w:rsidRPr="002D0C2A">
              <w:rPr>
                <w:rFonts w:ascii="Arial" w:hAnsi="Arial" w:cs="Arial"/>
              </w:rPr>
              <w:t>17.68</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12.92</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12.45</w:t>
            </w:r>
          </w:p>
        </w:tc>
      </w:tr>
    </w:tbl>
    <w:p w:rsidR="00332B9C" w:rsidRPr="00717595" w:rsidRDefault="00332B9C" w:rsidP="00156E35">
      <w:pPr>
        <w:tabs>
          <w:tab w:val="num" w:pos="0"/>
        </w:tabs>
        <w:spacing w:after="0"/>
        <w:jc w:val="center"/>
        <w:rPr>
          <w:rFonts w:ascii="Arial" w:hAnsi="Arial" w:cs="Arial"/>
          <w:sz w:val="24"/>
          <w:szCs w:val="24"/>
        </w:rPr>
      </w:pPr>
    </w:p>
    <w:p w:rsidR="00332B9C" w:rsidRPr="00717595" w:rsidRDefault="00332B9C" w:rsidP="00332B9C">
      <w:pPr>
        <w:tabs>
          <w:tab w:val="left" w:pos="709"/>
        </w:tabs>
        <w:ind w:left="720" w:right="31"/>
        <w:rPr>
          <w:rFonts w:ascii="Arial" w:hAnsi="Arial" w:cs="Arial"/>
          <w:b/>
          <w:sz w:val="24"/>
          <w:szCs w:val="24"/>
        </w:rPr>
      </w:pPr>
      <w:r w:rsidRPr="00717595">
        <w:rPr>
          <w:rFonts w:ascii="Arial" w:hAnsi="Arial" w:cs="Arial"/>
          <w:b/>
          <w:sz w:val="24"/>
          <w:szCs w:val="24"/>
        </w:rPr>
        <w:t>I.1.1.2.2.Dioxid de sulf</w:t>
      </w:r>
    </w:p>
    <w:p w:rsidR="00332B9C" w:rsidRPr="00717595" w:rsidRDefault="00332B9C" w:rsidP="00332B9C">
      <w:pPr>
        <w:tabs>
          <w:tab w:val="num" w:pos="0"/>
        </w:tabs>
        <w:jc w:val="center"/>
        <w:rPr>
          <w:rFonts w:ascii="Arial" w:hAnsi="Arial" w:cs="Arial"/>
          <w:sz w:val="24"/>
          <w:szCs w:val="24"/>
        </w:rPr>
      </w:pPr>
      <w:r w:rsidRPr="00717595">
        <w:rPr>
          <w:rFonts w:ascii="Arial" w:hAnsi="Arial" w:cs="Arial"/>
          <w:noProof/>
          <w:sz w:val="24"/>
          <w:szCs w:val="24"/>
          <w:lang w:eastAsia="ro-RO"/>
        </w:rPr>
        <w:drawing>
          <wp:inline distT="0" distB="0" distL="0" distR="0">
            <wp:extent cx="5019675" cy="2047875"/>
            <wp:effectExtent l="0" t="0" r="0" b="0"/>
            <wp:docPr id="15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2B9C" w:rsidRPr="00717595" w:rsidRDefault="00332B9C" w:rsidP="00332B9C">
      <w:pPr>
        <w:tabs>
          <w:tab w:val="num" w:pos="0"/>
        </w:tabs>
        <w:jc w:val="center"/>
        <w:rPr>
          <w:rFonts w:ascii="Arial" w:hAnsi="Arial" w:cs="Arial"/>
          <w:sz w:val="24"/>
          <w:szCs w:val="24"/>
        </w:rPr>
      </w:pPr>
      <w:r w:rsidRPr="00717595">
        <w:rPr>
          <w:rFonts w:ascii="Arial" w:hAnsi="Arial" w:cs="Arial"/>
          <w:sz w:val="24"/>
          <w:szCs w:val="24"/>
        </w:rPr>
        <w:t>Fig. I.1.1.2.2. Concentraţia medie anuală a dioxidului de sulf în perioada 20</w:t>
      </w:r>
      <w:r w:rsidR="00151495">
        <w:rPr>
          <w:rFonts w:ascii="Arial" w:hAnsi="Arial" w:cs="Arial"/>
          <w:sz w:val="24"/>
          <w:szCs w:val="24"/>
        </w:rPr>
        <w:t>12</w:t>
      </w:r>
      <w:r w:rsidRPr="00717595">
        <w:rPr>
          <w:rFonts w:ascii="Arial" w:hAnsi="Arial" w:cs="Arial"/>
          <w:sz w:val="24"/>
          <w:szCs w:val="24"/>
        </w:rPr>
        <w:t>-2016</w:t>
      </w:r>
    </w:p>
    <w:p w:rsidR="00332B9C" w:rsidRPr="00717595" w:rsidRDefault="00332B9C" w:rsidP="002D0C2A">
      <w:pPr>
        <w:tabs>
          <w:tab w:val="num" w:pos="0"/>
        </w:tabs>
        <w:spacing w:after="0" w:line="240" w:lineRule="auto"/>
        <w:ind w:firstLine="720"/>
        <w:jc w:val="center"/>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t>Tabel I.1.1.2.2.</w:t>
      </w:r>
    </w:p>
    <w:tbl>
      <w:tblPr>
        <w:tblW w:w="0" w:type="auto"/>
        <w:jc w:val="center"/>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1080"/>
        <w:gridCol w:w="1167"/>
        <w:gridCol w:w="1167"/>
        <w:gridCol w:w="1265"/>
        <w:gridCol w:w="1265"/>
      </w:tblGrid>
      <w:tr w:rsidR="00332B9C" w:rsidRPr="00717595" w:rsidTr="00332B9C">
        <w:trPr>
          <w:jc w:val="center"/>
        </w:trPr>
        <w:tc>
          <w:tcPr>
            <w:tcW w:w="2480" w:type="dxa"/>
            <w:shd w:val="clear" w:color="auto" w:fill="E6E6E6"/>
          </w:tcPr>
          <w:p w:rsidR="00332B9C" w:rsidRPr="002D0C2A" w:rsidRDefault="00332B9C" w:rsidP="002D0C2A">
            <w:pPr>
              <w:tabs>
                <w:tab w:val="num" w:pos="0"/>
              </w:tabs>
              <w:spacing w:after="0" w:line="240" w:lineRule="auto"/>
              <w:rPr>
                <w:rFonts w:ascii="Arial" w:hAnsi="Arial" w:cs="Arial"/>
              </w:rPr>
            </w:pPr>
            <w:r w:rsidRPr="002D0C2A">
              <w:rPr>
                <w:rFonts w:ascii="Arial" w:hAnsi="Arial" w:cs="Arial"/>
                <w:b/>
              </w:rPr>
              <w:t>SO</w:t>
            </w:r>
            <w:r w:rsidRPr="002D0C2A">
              <w:rPr>
                <w:rFonts w:ascii="Arial" w:hAnsi="Arial" w:cs="Arial"/>
                <w:b/>
                <w:vertAlign w:val="subscript"/>
              </w:rPr>
              <w:t>2</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1080"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1</w:t>
            </w:r>
          </w:p>
        </w:tc>
        <w:tc>
          <w:tcPr>
            <w:tcW w:w="1167"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2</w:t>
            </w:r>
          </w:p>
        </w:tc>
        <w:tc>
          <w:tcPr>
            <w:tcW w:w="1167"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3</w:t>
            </w:r>
          </w:p>
        </w:tc>
        <w:tc>
          <w:tcPr>
            <w:tcW w:w="1265"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4</w:t>
            </w:r>
          </w:p>
        </w:tc>
        <w:tc>
          <w:tcPr>
            <w:tcW w:w="1265" w:type="dxa"/>
            <w:shd w:val="clear" w:color="auto" w:fill="E6E6E6"/>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5</w:t>
            </w:r>
          </w:p>
        </w:tc>
      </w:tr>
      <w:tr w:rsidR="00332B9C" w:rsidRPr="00717595" w:rsidTr="00332B9C">
        <w:trPr>
          <w:jc w:val="center"/>
        </w:trPr>
        <w:tc>
          <w:tcPr>
            <w:tcW w:w="2480" w:type="dxa"/>
          </w:tcPr>
          <w:p w:rsidR="00332B9C" w:rsidRPr="002D0C2A" w:rsidRDefault="00332B9C" w:rsidP="002D0C2A">
            <w:pPr>
              <w:spacing w:after="0" w:line="240" w:lineRule="auto"/>
              <w:rPr>
                <w:rFonts w:ascii="Arial" w:hAnsi="Arial" w:cs="Arial"/>
              </w:rPr>
            </w:pPr>
            <w:r w:rsidRPr="002D0C2A">
              <w:rPr>
                <w:rFonts w:ascii="Arial" w:hAnsi="Arial" w:cs="Arial"/>
              </w:rPr>
              <w:t xml:space="preserve">2012 Medii anuale </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10,63</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14,55</w:t>
            </w:r>
          </w:p>
        </w:tc>
        <w:tc>
          <w:tcPr>
            <w:tcW w:w="1265" w:type="dxa"/>
          </w:tcPr>
          <w:p w:rsidR="00332B9C" w:rsidRPr="002D0C2A" w:rsidRDefault="00332B9C" w:rsidP="002D0C2A">
            <w:pPr>
              <w:spacing w:after="0" w:line="240" w:lineRule="auto"/>
              <w:jc w:val="center"/>
              <w:rPr>
                <w:rFonts w:ascii="Arial" w:hAnsi="Arial" w:cs="Arial"/>
              </w:rPr>
            </w:pPr>
            <w:r w:rsidRPr="002D0C2A">
              <w:rPr>
                <w:rFonts w:ascii="Arial" w:hAnsi="Arial" w:cs="Arial"/>
              </w:rPr>
              <w:t>10,71</w:t>
            </w:r>
          </w:p>
        </w:tc>
        <w:tc>
          <w:tcPr>
            <w:tcW w:w="1265" w:type="dxa"/>
          </w:tcPr>
          <w:p w:rsidR="00332B9C" w:rsidRPr="002D0C2A" w:rsidRDefault="00332B9C" w:rsidP="002D0C2A">
            <w:pPr>
              <w:spacing w:after="0" w:line="240" w:lineRule="auto"/>
              <w:jc w:val="center"/>
              <w:rPr>
                <w:rFonts w:ascii="Arial" w:hAnsi="Arial" w:cs="Arial"/>
              </w:rPr>
            </w:pPr>
            <w:r w:rsidRPr="002D0C2A">
              <w:rPr>
                <w:rFonts w:ascii="Arial" w:hAnsi="Arial" w:cs="Arial"/>
              </w:rPr>
              <w:t>17,3</w:t>
            </w:r>
          </w:p>
        </w:tc>
      </w:tr>
      <w:tr w:rsidR="00332B9C" w:rsidRPr="00717595" w:rsidTr="00332B9C">
        <w:trPr>
          <w:jc w:val="center"/>
        </w:trPr>
        <w:tc>
          <w:tcPr>
            <w:tcW w:w="2480" w:type="dxa"/>
          </w:tcPr>
          <w:p w:rsidR="00332B9C" w:rsidRPr="002D0C2A" w:rsidRDefault="00332B9C" w:rsidP="002D0C2A">
            <w:pPr>
              <w:spacing w:after="0" w:line="240" w:lineRule="auto"/>
              <w:rPr>
                <w:rFonts w:ascii="Arial" w:hAnsi="Arial" w:cs="Arial"/>
              </w:rPr>
            </w:pPr>
            <w:r w:rsidRPr="002D0C2A">
              <w:rPr>
                <w:rFonts w:ascii="Arial" w:hAnsi="Arial" w:cs="Arial"/>
              </w:rPr>
              <w:t>2013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265" w:type="dxa"/>
          </w:tcPr>
          <w:p w:rsidR="00332B9C" w:rsidRPr="002D0C2A" w:rsidRDefault="00332B9C" w:rsidP="002D0C2A">
            <w:pPr>
              <w:spacing w:after="0" w:line="240" w:lineRule="auto"/>
              <w:jc w:val="center"/>
              <w:rPr>
                <w:rFonts w:ascii="Arial" w:hAnsi="Arial" w:cs="Arial"/>
              </w:rPr>
            </w:pPr>
            <w:r w:rsidRPr="002D0C2A">
              <w:rPr>
                <w:rFonts w:ascii="Arial" w:hAnsi="Arial" w:cs="Arial"/>
              </w:rPr>
              <w:t>2,06</w:t>
            </w:r>
          </w:p>
        </w:tc>
        <w:tc>
          <w:tcPr>
            <w:tcW w:w="1265" w:type="dxa"/>
          </w:tcPr>
          <w:p w:rsidR="00332B9C" w:rsidRPr="002D0C2A" w:rsidRDefault="00332B9C" w:rsidP="002D0C2A">
            <w:pPr>
              <w:spacing w:after="0" w:line="240" w:lineRule="auto"/>
              <w:jc w:val="center"/>
              <w:rPr>
                <w:rFonts w:ascii="Arial" w:hAnsi="Arial" w:cs="Arial"/>
              </w:rPr>
            </w:pPr>
            <w:r w:rsidRPr="002D0C2A">
              <w:rPr>
                <w:rFonts w:ascii="Arial" w:hAnsi="Arial" w:cs="Arial"/>
              </w:rPr>
              <w:t>13,97</w:t>
            </w:r>
          </w:p>
        </w:tc>
      </w:tr>
      <w:tr w:rsidR="00332B9C" w:rsidRPr="00717595" w:rsidTr="00332B9C">
        <w:trPr>
          <w:jc w:val="center"/>
        </w:trPr>
        <w:tc>
          <w:tcPr>
            <w:tcW w:w="2480" w:type="dxa"/>
          </w:tcPr>
          <w:p w:rsidR="00332B9C" w:rsidRPr="002D0C2A" w:rsidRDefault="00332B9C" w:rsidP="002D0C2A">
            <w:pPr>
              <w:spacing w:after="0" w:line="240" w:lineRule="auto"/>
              <w:rPr>
                <w:rFonts w:ascii="Arial" w:hAnsi="Arial" w:cs="Arial"/>
              </w:rPr>
            </w:pPr>
            <w:r w:rsidRPr="002D0C2A">
              <w:rPr>
                <w:rFonts w:ascii="Arial" w:hAnsi="Arial" w:cs="Arial"/>
              </w:rPr>
              <w:t>2014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265"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265"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r>
      <w:tr w:rsidR="00332B9C" w:rsidRPr="00717595" w:rsidTr="00332B9C">
        <w:trPr>
          <w:jc w:val="center"/>
        </w:trPr>
        <w:tc>
          <w:tcPr>
            <w:tcW w:w="2480" w:type="dxa"/>
          </w:tcPr>
          <w:p w:rsidR="00332B9C" w:rsidRPr="002D0C2A" w:rsidRDefault="00332B9C" w:rsidP="002D0C2A">
            <w:pPr>
              <w:spacing w:after="0" w:line="240" w:lineRule="auto"/>
              <w:rPr>
                <w:rFonts w:ascii="Arial" w:hAnsi="Arial" w:cs="Arial"/>
              </w:rPr>
            </w:pPr>
            <w:r w:rsidRPr="002D0C2A">
              <w:rPr>
                <w:rFonts w:ascii="Arial" w:hAnsi="Arial" w:cs="Arial"/>
              </w:rPr>
              <w:t>2015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8.31</w:t>
            </w:r>
          </w:p>
        </w:tc>
        <w:tc>
          <w:tcPr>
            <w:tcW w:w="1265"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265"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r>
      <w:tr w:rsidR="00332B9C" w:rsidRPr="00717595" w:rsidTr="00332B9C">
        <w:trPr>
          <w:jc w:val="center"/>
        </w:trPr>
        <w:tc>
          <w:tcPr>
            <w:tcW w:w="2480" w:type="dxa"/>
          </w:tcPr>
          <w:p w:rsidR="00332B9C" w:rsidRPr="002D0C2A" w:rsidRDefault="00332B9C" w:rsidP="002D0C2A">
            <w:pPr>
              <w:spacing w:after="0" w:line="240" w:lineRule="auto"/>
              <w:rPr>
                <w:rFonts w:ascii="Arial" w:hAnsi="Arial" w:cs="Arial"/>
              </w:rPr>
            </w:pPr>
            <w:r w:rsidRPr="002D0C2A">
              <w:rPr>
                <w:rFonts w:ascii="Arial" w:hAnsi="Arial" w:cs="Arial"/>
              </w:rPr>
              <w:t>2016 Medii anuale</w:t>
            </w:r>
          </w:p>
        </w:tc>
        <w:tc>
          <w:tcPr>
            <w:tcW w:w="1080" w:type="dxa"/>
            <w:vAlign w:val="center"/>
          </w:tcPr>
          <w:p w:rsidR="00332B9C" w:rsidRPr="002D0C2A" w:rsidRDefault="00332B9C" w:rsidP="002D0C2A">
            <w:pPr>
              <w:autoSpaceDE w:val="0"/>
              <w:autoSpaceDN w:val="0"/>
              <w:adjustRightInd w:val="0"/>
              <w:spacing w:after="0" w:line="240" w:lineRule="auto"/>
              <w:jc w:val="center"/>
              <w:rPr>
                <w:rFonts w:ascii="Arial" w:eastAsia="Times New Roman" w:hAnsi="Arial" w:cs="Arial"/>
                <w:bCs/>
                <w:color w:val="000000"/>
                <w:lang w:eastAsia="ro-RO"/>
              </w:rPr>
            </w:pPr>
            <w:r w:rsidRPr="002D0C2A">
              <w:rPr>
                <w:rFonts w:ascii="Arial" w:eastAsia="Times New Roman" w:hAnsi="Arial" w:cs="Arial"/>
                <w:bCs/>
                <w:color w:val="000000"/>
                <w:lang w:eastAsia="ro-RO"/>
              </w:rPr>
              <w:t>5,09</w:t>
            </w:r>
          </w:p>
        </w:tc>
        <w:tc>
          <w:tcPr>
            <w:tcW w:w="1167" w:type="dxa"/>
            <w:vAlign w:val="center"/>
          </w:tcPr>
          <w:p w:rsidR="00332B9C" w:rsidRPr="002D0C2A" w:rsidRDefault="00332B9C" w:rsidP="002D0C2A">
            <w:pPr>
              <w:autoSpaceDE w:val="0"/>
              <w:autoSpaceDN w:val="0"/>
              <w:adjustRightInd w:val="0"/>
              <w:spacing w:after="0" w:line="240" w:lineRule="auto"/>
              <w:jc w:val="center"/>
              <w:rPr>
                <w:rFonts w:ascii="Arial" w:eastAsia="Times New Roman" w:hAnsi="Arial" w:cs="Arial"/>
                <w:bCs/>
                <w:color w:val="000000"/>
                <w:lang w:eastAsia="ro-RO"/>
              </w:rPr>
            </w:pPr>
            <w:r w:rsidRPr="002D0C2A">
              <w:rPr>
                <w:rFonts w:ascii="Arial" w:eastAsia="Times New Roman" w:hAnsi="Arial" w:cs="Arial"/>
                <w:bCs/>
                <w:color w:val="000000"/>
                <w:lang w:eastAsia="ro-RO"/>
              </w:rPr>
              <w:t>3,59</w:t>
            </w:r>
          </w:p>
        </w:tc>
        <w:tc>
          <w:tcPr>
            <w:tcW w:w="1167" w:type="dxa"/>
            <w:vAlign w:val="center"/>
          </w:tcPr>
          <w:p w:rsidR="00332B9C" w:rsidRPr="002D0C2A" w:rsidRDefault="00332B9C" w:rsidP="002D0C2A">
            <w:pPr>
              <w:autoSpaceDE w:val="0"/>
              <w:autoSpaceDN w:val="0"/>
              <w:adjustRightInd w:val="0"/>
              <w:spacing w:after="0" w:line="240" w:lineRule="auto"/>
              <w:jc w:val="center"/>
              <w:rPr>
                <w:rFonts w:ascii="Arial" w:eastAsia="Times New Roman" w:hAnsi="Arial" w:cs="Arial"/>
                <w:bCs/>
                <w:color w:val="000000"/>
                <w:lang w:eastAsia="ro-RO"/>
              </w:rPr>
            </w:pPr>
            <w:r w:rsidRPr="002D0C2A">
              <w:rPr>
                <w:rFonts w:ascii="Arial" w:eastAsia="Times New Roman" w:hAnsi="Arial" w:cs="Arial"/>
                <w:bCs/>
                <w:color w:val="000000"/>
                <w:lang w:eastAsia="ro-RO"/>
              </w:rPr>
              <w:t>2,77</w:t>
            </w:r>
          </w:p>
        </w:tc>
        <w:tc>
          <w:tcPr>
            <w:tcW w:w="1265" w:type="dxa"/>
            <w:vAlign w:val="center"/>
          </w:tcPr>
          <w:p w:rsidR="00332B9C" w:rsidRPr="002D0C2A" w:rsidRDefault="00332B9C" w:rsidP="002D0C2A">
            <w:pPr>
              <w:autoSpaceDE w:val="0"/>
              <w:autoSpaceDN w:val="0"/>
              <w:adjustRightInd w:val="0"/>
              <w:spacing w:after="0" w:line="240" w:lineRule="auto"/>
              <w:jc w:val="center"/>
              <w:rPr>
                <w:rFonts w:ascii="Arial" w:eastAsia="Times New Roman" w:hAnsi="Arial" w:cs="Arial"/>
                <w:bCs/>
                <w:color w:val="000000"/>
                <w:lang w:eastAsia="ro-RO"/>
              </w:rPr>
            </w:pPr>
            <w:r w:rsidRPr="002D0C2A">
              <w:rPr>
                <w:rFonts w:ascii="Arial" w:eastAsia="Times New Roman" w:hAnsi="Arial" w:cs="Arial"/>
                <w:bCs/>
                <w:color w:val="000000"/>
                <w:lang w:eastAsia="ro-RO"/>
              </w:rPr>
              <w:t>5,45</w:t>
            </w:r>
          </w:p>
        </w:tc>
        <w:tc>
          <w:tcPr>
            <w:tcW w:w="1265" w:type="dxa"/>
            <w:vAlign w:val="center"/>
          </w:tcPr>
          <w:p w:rsidR="00332B9C" w:rsidRPr="002D0C2A" w:rsidRDefault="00332B9C" w:rsidP="002D0C2A">
            <w:pPr>
              <w:autoSpaceDE w:val="0"/>
              <w:autoSpaceDN w:val="0"/>
              <w:adjustRightInd w:val="0"/>
              <w:spacing w:after="0" w:line="240" w:lineRule="auto"/>
              <w:jc w:val="center"/>
              <w:rPr>
                <w:rFonts w:ascii="Arial" w:eastAsia="Times New Roman" w:hAnsi="Arial" w:cs="Arial"/>
                <w:bCs/>
                <w:color w:val="000000"/>
                <w:lang w:eastAsia="ro-RO"/>
              </w:rPr>
            </w:pPr>
            <w:r w:rsidRPr="002D0C2A">
              <w:rPr>
                <w:rFonts w:ascii="Arial" w:eastAsia="Times New Roman" w:hAnsi="Arial" w:cs="Arial"/>
                <w:bCs/>
                <w:color w:val="000000"/>
                <w:lang w:eastAsia="ro-RO"/>
              </w:rPr>
              <w:t>3,56</w:t>
            </w:r>
          </w:p>
        </w:tc>
      </w:tr>
    </w:tbl>
    <w:p w:rsidR="00332B9C" w:rsidRPr="00717595" w:rsidRDefault="00332B9C" w:rsidP="00156E35">
      <w:pPr>
        <w:tabs>
          <w:tab w:val="num" w:pos="0"/>
        </w:tabs>
        <w:spacing w:after="0"/>
        <w:rPr>
          <w:rFonts w:ascii="Arial" w:hAnsi="Arial" w:cs="Arial"/>
          <w:color w:val="008000"/>
          <w:sz w:val="24"/>
          <w:szCs w:val="24"/>
          <w:highlight w:val="cyan"/>
        </w:rPr>
      </w:pPr>
    </w:p>
    <w:p w:rsidR="00332B9C" w:rsidRPr="00717595" w:rsidRDefault="00332B9C" w:rsidP="00700F4D">
      <w:pPr>
        <w:tabs>
          <w:tab w:val="num" w:pos="0"/>
        </w:tabs>
        <w:jc w:val="both"/>
        <w:rPr>
          <w:rFonts w:ascii="Arial" w:hAnsi="Arial" w:cs="Arial"/>
          <w:b/>
          <w:sz w:val="24"/>
          <w:szCs w:val="24"/>
        </w:rPr>
      </w:pPr>
      <w:r w:rsidRPr="00717595">
        <w:rPr>
          <w:rFonts w:ascii="Arial" w:hAnsi="Arial" w:cs="Arial"/>
          <w:sz w:val="24"/>
          <w:szCs w:val="24"/>
        </w:rPr>
        <w:tab/>
      </w:r>
      <w:r w:rsidRPr="00717595">
        <w:rPr>
          <w:rFonts w:ascii="Arial" w:hAnsi="Arial" w:cs="Arial"/>
          <w:b/>
          <w:sz w:val="24"/>
          <w:szCs w:val="24"/>
          <w:lang w:eastAsia="ro-RO"/>
        </w:rPr>
        <w:t>I.1.1.2.3.</w:t>
      </w:r>
      <w:r w:rsidRPr="00717595">
        <w:rPr>
          <w:rFonts w:ascii="Arial" w:hAnsi="Arial" w:cs="Arial"/>
          <w:b/>
          <w:sz w:val="24"/>
          <w:szCs w:val="24"/>
        </w:rPr>
        <w:t>Pulberi în suspensie – PM10 şi PM2,5 (gravimetric şi nefelometric)</w:t>
      </w:r>
    </w:p>
    <w:p w:rsidR="00332B9C" w:rsidRPr="00717595" w:rsidRDefault="00332B9C" w:rsidP="00562CF5">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 xml:space="preserve">Pentru determinarea pulberilor </w:t>
      </w:r>
      <w:r w:rsidRPr="00717595">
        <w:rPr>
          <w:rFonts w:ascii="Arial" w:hAnsi="Arial" w:cs="Arial"/>
          <w:iCs/>
          <w:color w:val="000000"/>
          <w:sz w:val="24"/>
          <w:szCs w:val="24"/>
        </w:rPr>
        <w:t>PM</w:t>
      </w:r>
      <w:r w:rsidRPr="00717595">
        <w:rPr>
          <w:rFonts w:ascii="Arial" w:hAnsi="Arial" w:cs="Arial"/>
          <w:iCs/>
          <w:color w:val="000000"/>
          <w:sz w:val="24"/>
          <w:szCs w:val="24"/>
          <w:vertAlign w:val="subscript"/>
        </w:rPr>
        <w:t>10</w:t>
      </w:r>
      <w:r w:rsidRPr="00717595">
        <w:rPr>
          <w:rFonts w:ascii="Arial" w:hAnsi="Arial" w:cs="Arial"/>
          <w:sz w:val="24"/>
          <w:szCs w:val="24"/>
        </w:rPr>
        <w:t>, care constituie fracţia dimensională de interes toxicologic din aerosuspensia urbană, se aplică două metode: metoda automată (nefelometrie) şi metoda gravimetrică, care de altfel este metoda de referinţă.</w:t>
      </w:r>
    </w:p>
    <w:p w:rsidR="00332B9C" w:rsidRPr="00717595" w:rsidRDefault="00332B9C" w:rsidP="00562CF5">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Măsurările automate (prin metoda nefelometrica) au scop informativ, iar depăşirile înregistrate pot fi confirmate/infirmate ulterior de către rezultatul analizei prin metoda de referinţă gravimetrică.</w:t>
      </w:r>
    </w:p>
    <w:p w:rsidR="00332B9C" w:rsidRPr="00717595" w:rsidRDefault="00332B9C" w:rsidP="00562CF5">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Concentraţiile medii zilnice de particule în suspensie (</w:t>
      </w:r>
      <w:r w:rsidRPr="00717595">
        <w:rPr>
          <w:rFonts w:ascii="Arial" w:hAnsi="Arial" w:cs="Arial"/>
          <w:iCs/>
          <w:color w:val="000000"/>
          <w:sz w:val="24"/>
          <w:szCs w:val="24"/>
        </w:rPr>
        <w:t>PM</w:t>
      </w:r>
      <w:r w:rsidRPr="00717595">
        <w:rPr>
          <w:rFonts w:ascii="Arial" w:hAnsi="Arial" w:cs="Arial"/>
          <w:iCs/>
          <w:color w:val="000000"/>
          <w:sz w:val="24"/>
          <w:szCs w:val="24"/>
          <w:vertAlign w:val="subscript"/>
        </w:rPr>
        <w:t>10</w:t>
      </w:r>
      <w:r w:rsidRPr="00717595">
        <w:rPr>
          <w:rFonts w:ascii="Arial" w:hAnsi="Arial" w:cs="Arial"/>
          <w:sz w:val="24"/>
          <w:szCs w:val="24"/>
        </w:rPr>
        <w:t>şi PM2,5) sunt influenţate direct de factorii meteo: direcţia şi viteza vântului, precipitaţiile, temperatura aerului, etc., și de factorii geografici specifici zonei.</w:t>
      </w:r>
    </w:p>
    <w:p w:rsidR="00332B9C" w:rsidRPr="00717595" w:rsidRDefault="00332B9C" w:rsidP="00562CF5">
      <w:pPr>
        <w:autoSpaceDE w:val="0"/>
        <w:autoSpaceDN w:val="0"/>
        <w:adjustRightInd w:val="0"/>
        <w:spacing w:after="0" w:line="240" w:lineRule="auto"/>
        <w:ind w:firstLine="720"/>
        <w:jc w:val="both"/>
        <w:rPr>
          <w:rFonts w:ascii="Arial" w:hAnsi="Arial" w:cs="Arial"/>
          <w:sz w:val="24"/>
          <w:szCs w:val="24"/>
        </w:rPr>
      </w:pPr>
      <w:r w:rsidRPr="00717595">
        <w:rPr>
          <w:rFonts w:ascii="Arial" w:hAnsi="Arial" w:cs="Arial"/>
          <w:sz w:val="24"/>
          <w:szCs w:val="24"/>
        </w:rPr>
        <w:t xml:space="preserve">În anul 2016, rezultatele monitorizării calităţii aerului, în municipiul </w:t>
      </w:r>
      <w:r w:rsidR="00217620">
        <w:rPr>
          <w:rFonts w:ascii="Arial" w:hAnsi="Arial" w:cs="Arial"/>
          <w:sz w:val="24"/>
          <w:szCs w:val="24"/>
        </w:rPr>
        <w:t>Brăila</w:t>
      </w:r>
      <w:r w:rsidRPr="00717595">
        <w:rPr>
          <w:rFonts w:ascii="Arial" w:hAnsi="Arial" w:cs="Arial"/>
          <w:sz w:val="24"/>
          <w:szCs w:val="24"/>
        </w:rPr>
        <w:t xml:space="preserve">, nu au evidenţiat valori care să depăşească valoarea limită zilnică la indicatorul </w:t>
      </w:r>
      <w:r w:rsidRPr="00717595">
        <w:rPr>
          <w:rFonts w:ascii="Arial" w:hAnsi="Arial" w:cs="Arial"/>
          <w:i/>
          <w:sz w:val="24"/>
          <w:szCs w:val="24"/>
        </w:rPr>
        <w:t xml:space="preserve">particule în suspensie </w:t>
      </w:r>
      <w:r w:rsidRPr="00717595">
        <w:rPr>
          <w:rFonts w:ascii="Arial" w:hAnsi="Arial" w:cs="Arial"/>
          <w:i/>
          <w:iCs/>
          <w:color w:val="000000"/>
          <w:sz w:val="24"/>
          <w:szCs w:val="24"/>
        </w:rPr>
        <w:t>PM</w:t>
      </w:r>
      <w:r w:rsidRPr="00717595">
        <w:rPr>
          <w:rFonts w:ascii="Arial" w:hAnsi="Arial" w:cs="Arial"/>
          <w:i/>
          <w:iCs/>
          <w:color w:val="000000"/>
          <w:sz w:val="24"/>
          <w:szCs w:val="24"/>
          <w:vertAlign w:val="subscript"/>
        </w:rPr>
        <w:t>10</w:t>
      </w:r>
      <w:r w:rsidRPr="00717595">
        <w:rPr>
          <w:rFonts w:ascii="Arial" w:hAnsi="Arial" w:cs="Arial"/>
          <w:sz w:val="24"/>
          <w:szCs w:val="24"/>
        </w:rPr>
        <w:t>.</w:t>
      </w:r>
    </w:p>
    <w:p w:rsidR="00332B9C" w:rsidRPr="00717595" w:rsidRDefault="00332B9C" w:rsidP="00332B9C">
      <w:pPr>
        <w:tabs>
          <w:tab w:val="left" w:pos="709"/>
        </w:tabs>
        <w:ind w:left="720" w:right="31"/>
        <w:rPr>
          <w:rFonts w:ascii="Arial" w:hAnsi="Arial" w:cs="Arial"/>
          <w:sz w:val="24"/>
          <w:szCs w:val="24"/>
        </w:rPr>
      </w:pPr>
    </w:p>
    <w:p w:rsidR="00332B9C" w:rsidRPr="00717595" w:rsidRDefault="00332B9C" w:rsidP="005E33A1">
      <w:pPr>
        <w:tabs>
          <w:tab w:val="num" w:pos="0"/>
        </w:tabs>
        <w:jc w:val="center"/>
        <w:rPr>
          <w:rFonts w:ascii="Arial" w:hAnsi="Arial" w:cs="Arial"/>
          <w:b/>
          <w:sz w:val="24"/>
          <w:szCs w:val="24"/>
        </w:rPr>
      </w:pPr>
      <w:r w:rsidRPr="00717595">
        <w:rPr>
          <w:rFonts w:ascii="Arial" w:hAnsi="Arial" w:cs="Arial"/>
          <w:noProof/>
          <w:sz w:val="24"/>
          <w:szCs w:val="24"/>
          <w:lang w:eastAsia="ro-RO"/>
        </w:rPr>
        <w:drawing>
          <wp:inline distT="0" distB="0" distL="0" distR="0">
            <wp:extent cx="6057900" cy="2638995"/>
            <wp:effectExtent l="0" t="0" r="0" b="0"/>
            <wp:docPr id="15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717595">
        <w:rPr>
          <w:rFonts w:ascii="Arial" w:hAnsi="Arial" w:cs="Arial"/>
          <w:sz w:val="24"/>
          <w:szCs w:val="24"/>
        </w:rPr>
        <w:t>Fig. I.1.1.2.3. Concentraţia medie anuală PM10 şi PM2,5 în perioada 20</w:t>
      </w:r>
      <w:r w:rsidR="00AC20A7">
        <w:rPr>
          <w:rFonts w:ascii="Arial" w:hAnsi="Arial" w:cs="Arial"/>
          <w:sz w:val="24"/>
          <w:szCs w:val="24"/>
        </w:rPr>
        <w:t>12</w:t>
      </w:r>
      <w:r w:rsidRPr="00717595">
        <w:rPr>
          <w:rFonts w:ascii="Arial" w:hAnsi="Arial" w:cs="Arial"/>
          <w:sz w:val="24"/>
          <w:szCs w:val="24"/>
        </w:rPr>
        <w:t>-2016</w:t>
      </w:r>
    </w:p>
    <w:p w:rsidR="00332B9C" w:rsidRPr="00717595" w:rsidRDefault="00332B9C" w:rsidP="00332B9C">
      <w:pPr>
        <w:tabs>
          <w:tab w:val="num" w:pos="0"/>
        </w:tabs>
        <w:rPr>
          <w:rFonts w:ascii="Arial" w:hAnsi="Arial" w:cs="Arial"/>
          <w:sz w:val="24"/>
          <w:szCs w:val="24"/>
        </w:rPr>
      </w:pP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b/>
          <w:sz w:val="24"/>
          <w:szCs w:val="24"/>
        </w:rPr>
        <w:tab/>
      </w:r>
      <w:r w:rsidRPr="00717595">
        <w:rPr>
          <w:rFonts w:ascii="Arial" w:hAnsi="Arial" w:cs="Arial"/>
          <w:sz w:val="24"/>
          <w:szCs w:val="24"/>
        </w:rPr>
        <w:t>Tabel I.1.1.2.3.</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b/>
              </w:rPr>
              <w:t>PM10 nefelometric</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1</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2</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3</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4</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5</w:t>
            </w: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2012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22,61</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27,42</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27,83</w:t>
            </w:r>
          </w:p>
        </w:tc>
        <w:tc>
          <w:tcPr>
            <w:tcW w:w="951" w:type="dxa"/>
            <w:tcBorders>
              <w:bottom w:val="single" w:sz="4" w:space="0" w:color="auto"/>
            </w:tcBorders>
          </w:tcPr>
          <w:p w:rsidR="00332B9C" w:rsidRPr="002D0C2A" w:rsidRDefault="00332B9C" w:rsidP="002D0C2A">
            <w:pPr>
              <w:spacing w:after="0" w:line="240" w:lineRule="auto"/>
              <w:jc w:val="center"/>
              <w:rPr>
                <w:rFonts w:ascii="Arial" w:hAnsi="Arial" w:cs="Arial"/>
              </w:rPr>
            </w:pPr>
            <w:r w:rsidRPr="002D0C2A">
              <w:rPr>
                <w:rFonts w:ascii="Arial" w:hAnsi="Arial" w:cs="Arial"/>
              </w:rPr>
              <w:t>28,31</w:t>
            </w: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2013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43,22</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bottom w:val="single" w:sz="4" w:space="0" w:color="auto"/>
            </w:tcBorders>
          </w:tcPr>
          <w:p w:rsidR="00332B9C" w:rsidRPr="002D0C2A" w:rsidRDefault="00332B9C" w:rsidP="002D0C2A">
            <w:pPr>
              <w:spacing w:after="0" w:line="240" w:lineRule="auto"/>
              <w:jc w:val="center"/>
              <w:rPr>
                <w:rFonts w:ascii="Arial" w:hAnsi="Arial" w:cs="Arial"/>
              </w:rPr>
            </w:pPr>
            <w:r w:rsidRPr="002D0C2A">
              <w:rPr>
                <w:rFonts w:ascii="Arial" w:hAnsi="Arial" w:cs="Arial"/>
              </w:rPr>
              <w:t>36,15</w:t>
            </w: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2014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bottom w:val="single" w:sz="4" w:space="0" w:color="auto"/>
            </w:tcBorders>
          </w:tcPr>
          <w:p w:rsidR="00332B9C" w:rsidRPr="002D0C2A" w:rsidRDefault="00332B9C" w:rsidP="002D0C2A">
            <w:pPr>
              <w:spacing w:after="0" w:line="240" w:lineRule="auto"/>
              <w:jc w:val="center"/>
              <w:rPr>
                <w:rFonts w:ascii="Arial" w:hAnsi="Arial" w:cs="Arial"/>
              </w:rPr>
            </w:pPr>
            <w:r w:rsidRPr="002D0C2A">
              <w:rPr>
                <w:rFonts w:ascii="Arial" w:hAnsi="Arial" w:cs="Arial"/>
              </w:rPr>
              <w:t>46,03</w:t>
            </w: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2015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36,68</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30,73</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bottom w:val="single" w:sz="4" w:space="0" w:color="auto"/>
            </w:tcBorders>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2016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24,61</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21,91</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30,85</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22,46</w:t>
            </w:r>
          </w:p>
        </w:tc>
        <w:tc>
          <w:tcPr>
            <w:tcW w:w="951" w:type="dxa"/>
            <w:tcBorders>
              <w:bottom w:val="single" w:sz="4" w:space="0" w:color="auto"/>
            </w:tcBorders>
          </w:tcPr>
          <w:p w:rsidR="00332B9C" w:rsidRPr="002D0C2A" w:rsidRDefault="00332B9C" w:rsidP="002D0C2A">
            <w:pPr>
              <w:spacing w:after="0" w:line="240" w:lineRule="auto"/>
              <w:jc w:val="center"/>
              <w:rPr>
                <w:rFonts w:ascii="Arial" w:hAnsi="Arial" w:cs="Arial"/>
              </w:rPr>
            </w:pPr>
            <w:r w:rsidRPr="002D0C2A">
              <w:rPr>
                <w:rFonts w:ascii="Arial" w:hAnsi="Arial" w:cs="Arial"/>
              </w:rPr>
              <w:t>33,4</w:t>
            </w: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b/>
              </w:rPr>
              <w:t>PM10 gravimetric</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1</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3</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4</w:t>
            </w:r>
          </w:p>
        </w:tc>
        <w:tc>
          <w:tcPr>
            <w:tcW w:w="951" w:type="dxa"/>
            <w:tcBorders>
              <w:bottom w:val="nil"/>
              <w:right w:val="nil"/>
            </w:tcBorders>
          </w:tcPr>
          <w:p w:rsidR="00332B9C" w:rsidRPr="002D0C2A" w:rsidRDefault="00332B9C" w:rsidP="002D0C2A">
            <w:pPr>
              <w:spacing w:after="0" w:line="240" w:lineRule="auto"/>
              <w:jc w:val="center"/>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2012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CD4A56"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30,94</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21,26</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2013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39,1</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2014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2015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2016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b/>
              </w:rPr>
              <w:t>PM2,5 gravimetric</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951" w:type="dxa"/>
          </w:tcPr>
          <w:p w:rsidR="00332B9C" w:rsidRPr="002D0C2A" w:rsidRDefault="00332B9C" w:rsidP="002D0C2A">
            <w:pPr>
              <w:spacing w:after="0" w:line="240" w:lineRule="auto"/>
              <w:jc w:val="center"/>
              <w:rPr>
                <w:rFonts w:ascii="Arial" w:hAnsi="Arial" w:cs="Arial"/>
                <w:b/>
              </w:rPr>
            </w:pPr>
            <w:r w:rsidRPr="002D0C2A">
              <w:rPr>
                <w:rFonts w:ascii="Arial" w:hAnsi="Arial" w:cs="Arial"/>
                <w:b/>
              </w:rPr>
              <w:t>-</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2</w:t>
            </w:r>
          </w:p>
        </w:tc>
        <w:tc>
          <w:tcPr>
            <w:tcW w:w="951" w:type="dxa"/>
          </w:tcPr>
          <w:p w:rsidR="00332B9C" w:rsidRPr="002D0C2A" w:rsidRDefault="00332B9C" w:rsidP="002D0C2A">
            <w:pPr>
              <w:spacing w:after="0" w:line="240" w:lineRule="auto"/>
              <w:jc w:val="center"/>
              <w:rPr>
                <w:rFonts w:ascii="Arial" w:hAnsi="Arial" w:cs="Arial"/>
                <w:b/>
              </w:rPr>
            </w:pPr>
            <w:r w:rsidRPr="002D0C2A">
              <w:rPr>
                <w:rFonts w:ascii="Arial" w:hAnsi="Arial" w:cs="Arial"/>
                <w:b/>
              </w:rPr>
              <w:t>-</w:t>
            </w:r>
          </w:p>
        </w:tc>
        <w:tc>
          <w:tcPr>
            <w:tcW w:w="951" w:type="dxa"/>
          </w:tcPr>
          <w:p w:rsidR="00332B9C" w:rsidRPr="002D0C2A" w:rsidRDefault="00332B9C" w:rsidP="002D0C2A">
            <w:pPr>
              <w:spacing w:after="0" w:line="240" w:lineRule="auto"/>
              <w:jc w:val="center"/>
              <w:rPr>
                <w:rFonts w:ascii="Arial" w:hAnsi="Arial" w:cs="Arial"/>
                <w:b/>
              </w:rPr>
            </w:pPr>
            <w:r w:rsidRPr="002D0C2A">
              <w:rPr>
                <w:rFonts w:ascii="Arial" w:hAnsi="Arial" w:cs="Arial"/>
                <w:b/>
              </w:rPr>
              <w:t>-</w:t>
            </w:r>
          </w:p>
        </w:tc>
        <w:tc>
          <w:tcPr>
            <w:tcW w:w="951" w:type="dxa"/>
            <w:tcBorders>
              <w:top w:val="nil"/>
              <w:bottom w:val="nil"/>
              <w:right w:val="nil"/>
            </w:tcBorders>
          </w:tcPr>
          <w:p w:rsidR="00332B9C" w:rsidRPr="002D0C2A" w:rsidRDefault="00332B9C" w:rsidP="002D0C2A">
            <w:pPr>
              <w:spacing w:after="0" w:line="240" w:lineRule="auto"/>
              <w:jc w:val="center"/>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2012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21,61</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2013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2014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2015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r w:rsidR="00332B9C" w:rsidRPr="00717595" w:rsidTr="00332B9C">
        <w:trPr>
          <w:jc w:val="center"/>
        </w:trPr>
        <w:tc>
          <w:tcPr>
            <w:tcW w:w="3381"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2016 Medii anuale</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951" w:type="dxa"/>
            <w:tcBorders>
              <w:top w:val="nil"/>
              <w:bottom w:val="nil"/>
              <w:right w:val="nil"/>
            </w:tcBorders>
          </w:tcPr>
          <w:p w:rsidR="00332B9C" w:rsidRPr="002D0C2A" w:rsidRDefault="00332B9C" w:rsidP="002D0C2A">
            <w:pPr>
              <w:spacing w:after="0" w:line="240" w:lineRule="auto"/>
              <w:rPr>
                <w:rFonts w:ascii="Arial" w:hAnsi="Arial" w:cs="Arial"/>
              </w:rPr>
            </w:pPr>
          </w:p>
        </w:tc>
      </w:tr>
    </w:tbl>
    <w:p w:rsidR="00332B9C" w:rsidRPr="00717595" w:rsidRDefault="00332B9C" w:rsidP="00332B9C">
      <w:pPr>
        <w:tabs>
          <w:tab w:val="left" w:pos="709"/>
        </w:tabs>
        <w:ind w:left="720" w:right="31"/>
        <w:rPr>
          <w:rFonts w:ascii="Arial" w:hAnsi="Arial" w:cs="Arial"/>
          <w:b/>
          <w:sz w:val="24"/>
          <w:szCs w:val="24"/>
        </w:rPr>
      </w:pPr>
      <w:r w:rsidRPr="00717595">
        <w:rPr>
          <w:rFonts w:ascii="Arial" w:hAnsi="Arial" w:cs="Arial"/>
          <w:b/>
          <w:sz w:val="24"/>
          <w:szCs w:val="24"/>
        </w:rPr>
        <w:lastRenderedPageBreak/>
        <w:t>I.1.1.2.4.</w:t>
      </w:r>
      <w:r w:rsidRPr="00717595">
        <w:rPr>
          <w:rFonts w:ascii="Arial" w:hAnsi="Arial" w:cs="Arial"/>
          <w:b/>
          <w:sz w:val="24"/>
          <w:szCs w:val="24"/>
        </w:rPr>
        <w:tab/>
        <w:t>Metale grele – plumb</w:t>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p>
    <w:p w:rsidR="00332B9C" w:rsidRPr="00717595" w:rsidRDefault="00332B9C" w:rsidP="00332B9C">
      <w:pPr>
        <w:tabs>
          <w:tab w:val="num" w:pos="0"/>
        </w:tabs>
        <w:jc w:val="center"/>
        <w:rPr>
          <w:rFonts w:ascii="Arial" w:hAnsi="Arial" w:cs="Arial"/>
          <w:sz w:val="24"/>
          <w:szCs w:val="24"/>
        </w:rPr>
      </w:pPr>
      <w:r w:rsidRPr="00717595">
        <w:rPr>
          <w:rFonts w:ascii="Arial" w:hAnsi="Arial" w:cs="Arial"/>
          <w:noProof/>
          <w:sz w:val="24"/>
          <w:szCs w:val="24"/>
          <w:lang w:eastAsia="ro-RO"/>
        </w:rPr>
        <w:drawing>
          <wp:inline distT="0" distB="0" distL="0" distR="0">
            <wp:extent cx="4895850" cy="1981030"/>
            <wp:effectExtent l="0" t="0" r="0" b="0"/>
            <wp:docPr id="15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2B9C" w:rsidRPr="00717595" w:rsidRDefault="00332B9C" w:rsidP="00332B9C">
      <w:pPr>
        <w:tabs>
          <w:tab w:val="num" w:pos="0"/>
        </w:tabs>
        <w:jc w:val="center"/>
        <w:rPr>
          <w:rFonts w:ascii="Arial" w:hAnsi="Arial" w:cs="Arial"/>
          <w:sz w:val="24"/>
          <w:szCs w:val="24"/>
        </w:rPr>
      </w:pPr>
      <w:r w:rsidRPr="00717595">
        <w:rPr>
          <w:rFonts w:ascii="Arial" w:hAnsi="Arial" w:cs="Arial"/>
          <w:sz w:val="24"/>
          <w:szCs w:val="24"/>
        </w:rPr>
        <w:t xml:space="preserve">Fig.I.1.1.2.4.Concentraţia medie anuală a plumbului </w:t>
      </w:r>
    </w:p>
    <w:p w:rsidR="00332B9C" w:rsidRPr="00717595" w:rsidRDefault="00332B9C" w:rsidP="00332B9C">
      <w:pPr>
        <w:tabs>
          <w:tab w:val="num" w:pos="0"/>
        </w:tabs>
        <w:jc w:val="center"/>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00AB1A9D">
        <w:rPr>
          <w:rFonts w:ascii="Arial" w:hAnsi="Arial" w:cs="Arial"/>
          <w:sz w:val="24"/>
          <w:szCs w:val="24"/>
        </w:rPr>
        <w:t xml:space="preserve">                        </w:t>
      </w:r>
      <w:r w:rsidRPr="00717595">
        <w:rPr>
          <w:rFonts w:ascii="Arial" w:hAnsi="Arial" w:cs="Arial"/>
          <w:sz w:val="24"/>
          <w:szCs w:val="24"/>
        </w:rPr>
        <w:t>Tabel I.1.1.2.4.</w:t>
      </w:r>
    </w:p>
    <w:tbl>
      <w:tblPr>
        <w:tblW w:w="0" w:type="auto"/>
        <w:jc w:val="center"/>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1042"/>
        <w:gridCol w:w="1265"/>
        <w:gridCol w:w="1089"/>
      </w:tblGrid>
      <w:tr w:rsidR="00332B9C" w:rsidRPr="00717595" w:rsidTr="00332B9C">
        <w:trPr>
          <w:jc w:val="center"/>
        </w:trPr>
        <w:tc>
          <w:tcPr>
            <w:tcW w:w="2574"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b/>
                <w:sz w:val="24"/>
                <w:szCs w:val="24"/>
              </w:rPr>
              <w:t>Pb</w:t>
            </w:r>
            <w:r w:rsidRPr="00717595">
              <w:rPr>
                <w:rFonts w:ascii="Arial" w:hAnsi="Arial" w:cs="Arial"/>
                <w:sz w:val="24"/>
                <w:szCs w:val="24"/>
              </w:rPr>
              <w:t xml:space="preserve">   (</w:t>
            </w:r>
            <w:r w:rsidRPr="00717595">
              <w:rPr>
                <w:rFonts w:ascii="Arial" w:hAnsi="Arial" w:cs="Arial"/>
                <w:sz w:val="24"/>
                <w:szCs w:val="24"/>
              </w:rPr>
              <w:sym w:font="Symbol" w:char="F06D"/>
            </w:r>
            <w:r w:rsidRPr="00717595">
              <w:rPr>
                <w:rFonts w:ascii="Arial" w:hAnsi="Arial" w:cs="Arial"/>
                <w:sz w:val="24"/>
                <w:szCs w:val="24"/>
              </w:rPr>
              <w:t>g/mc)</w:t>
            </w:r>
          </w:p>
        </w:tc>
        <w:tc>
          <w:tcPr>
            <w:tcW w:w="1042"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1</w:t>
            </w:r>
          </w:p>
        </w:tc>
        <w:tc>
          <w:tcPr>
            <w:tcW w:w="1265"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3</w:t>
            </w:r>
          </w:p>
        </w:tc>
        <w:tc>
          <w:tcPr>
            <w:tcW w:w="1089"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4</w:t>
            </w:r>
          </w:p>
        </w:tc>
      </w:tr>
      <w:tr w:rsidR="00332B9C" w:rsidRPr="00717595" w:rsidTr="00332B9C">
        <w:trPr>
          <w:jc w:val="center"/>
        </w:trPr>
        <w:tc>
          <w:tcPr>
            <w:tcW w:w="2574"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2008 Medii noe şi dec</w:t>
            </w:r>
          </w:p>
        </w:tc>
        <w:tc>
          <w:tcPr>
            <w:tcW w:w="1042"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0,0092</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0,006</w:t>
            </w:r>
          </w:p>
        </w:tc>
        <w:tc>
          <w:tcPr>
            <w:tcW w:w="1089"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0,0061</w:t>
            </w:r>
          </w:p>
        </w:tc>
      </w:tr>
      <w:tr w:rsidR="00332B9C" w:rsidRPr="00717595" w:rsidTr="00332B9C">
        <w:trPr>
          <w:jc w:val="center"/>
        </w:trPr>
        <w:tc>
          <w:tcPr>
            <w:tcW w:w="2574"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 xml:space="preserve">2009 Media anuală </w:t>
            </w:r>
          </w:p>
        </w:tc>
        <w:tc>
          <w:tcPr>
            <w:tcW w:w="1042"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0,0066</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0,0061</w:t>
            </w:r>
          </w:p>
        </w:tc>
        <w:tc>
          <w:tcPr>
            <w:tcW w:w="1089"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0,0075</w:t>
            </w:r>
          </w:p>
        </w:tc>
      </w:tr>
      <w:tr w:rsidR="00332B9C" w:rsidRPr="00717595" w:rsidTr="00332B9C">
        <w:trPr>
          <w:jc w:val="center"/>
        </w:trPr>
        <w:tc>
          <w:tcPr>
            <w:tcW w:w="2574"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2010 Medii anuale</w:t>
            </w:r>
          </w:p>
        </w:tc>
        <w:tc>
          <w:tcPr>
            <w:tcW w:w="1042"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0,0085</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0,0053</w:t>
            </w:r>
          </w:p>
        </w:tc>
        <w:tc>
          <w:tcPr>
            <w:tcW w:w="1089"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0,0052</w:t>
            </w:r>
          </w:p>
        </w:tc>
      </w:tr>
    </w:tbl>
    <w:p w:rsidR="00332B9C" w:rsidRPr="00717595" w:rsidRDefault="00332B9C" w:rsidP="00156E35">
      <w:pPr>
        <w:tabs>
          <w:tab w:val="num" w:pos="0"/>
        </w:tabs>
        <w:spacing w:after="0"/>
        <w:jc w:val="both"/>
        <w:rPr>
          <w:rFonts w:ascii="Arial" w:hAnsi="Arial" w:cs="Arial"/>
          <w:sz w:val="24"/>
          <w:szCs w:val="24"/>
        </w:rPr>
      </w:pPr>
    </w:p>
    <w:p w:rsidR="00332B9C" w:rsidRPr="00717595" w:rsidRDefault="00332B9C" w:rsidP="00700F4D">
      <w:pPr>
        <w:tabs>
          <w:tab w:val="num" w:pos="0"/>
        </w:tabs>
        <w:jc w:val="both"/>
        <w:rPr>
          <w:rFonts w:ascii="Arial" w:hAnsi="Arial" w:cs="Arial"/>
          <w:b/>
          <w:sz w:val="24"/>
          <w:szCs w:val="24"/>
        </w:rPr>
      </w:pPr>
      <w:r w:rsidRPr="00717595">
        <w:rPr>
          <w:rFonts w:ascii="Arial" w:hAnsi="Arial" w:cs="Arial"/>
          <w:sz w:val="24"/>
          <w:szCs w:val="24"/>
        </w:rPr>
        <w:tab/>
      </w:r>
      <w:r w:rsidRPr="00717595">
        <w:rPr>
          <w:rFonts w:ascii="Arial" w:hAnsi="Arial" w:cs="Arial"/>
          <w:b/>
          <w:sz w:val="24"/>
          <w:szCs w:val="24"/>
        </w:rPr>
        <w:tab/>
        <w:t>I.1.1.2.5. Monoxid de carbon</w:t>
      </w:r>
    </w:p>
    <w:p w:rsidR="00332B9C" w:rsidRPr="00717595" w:rsidRDefault="00332B9C" w:rsidP="00332B9C">
      <w:pPr>
        <w:tabs>
          <w:tab w:val="num" w:pos="0"/>
        </w:tabs>
        <w:jc w:val="center"/>
        <w:rPr>
          <w:rFonts w:ascii="Arial" w:hAnsi="Arial" w:cs="Arial"/>
          <w:sz w:val="24"/>
          <w:szCs w:val="24"/>
        </w:rPr>
      </w:pPr>
      <w:r w:rsidRPr="00717595">
        <w:rPr>
          <w:rFonts w:ascii="Arial" w:hAnsi="Arial" w:cs="Arial"/>
          <w:noProof/>
          <w:sz w:val="24"/>
          <w:szCs w:val="24"/>
          <w:lang w:eastAsia="ro-RO"/>
        </w:rPr>
        <w:drawing>
          <wp:inline distT="0" distB="0" distL="0" distR="0">
            <wp:extent cx="5010150" cy="1828800"/>
            <wp:effectExtent l="0" t="0" r="0" b="0"/>
            <wp:docPr id="157"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2B9C" w:rsidRPr="00717595" w:rsidRDefault="00332B9C" w:rsidP="00332B9C">
      <w:pPr>
        <w:jc w:val="center"/>
        <w:rPr>
          <w:rFonts w:ascii="Arial" w:hAnsi="Arial" w:cs="Arial"/>
          <w:sz w:val="24"/>
          <w:szCs w:val="24"/>
        </w:rPr>
      </w:pPr>
      <w:r w:rsidRPr="00717595">
        <w:rPr>
          <w:rFonts w:ascii="Arial" w:hAnsi="Arial" w:cs="Arial"/>
          <w:sz w:val="24"/>
          <w:szCs w:val="24"/>
        </w:rPr>
        <w:t>Fig. I.1.1.2.5. Concentraţia medie anuală a monoxidului de carbon</w:t>
      </w:r>
      <w:r w:rsidR="00A159C9">
        <w:rPr>
          <w:rFonts w:ascii="Arial" w:hAnsi="Arial" w:cs="Arial"/>
          <w:sz w:val="24"/>
          <w:szCs w:val="24"/>
        </w:rPr>
        <w:t xml:space="preserve"> </w:t>
      </w:r>
      <w:r w:rsidRPr="00717595">
        <w:rPr>
          <w:rFonts w:ascii="Arial" w:hAnsi="Arial" w:cs="Arial"/>
          <w:sz w:val="24"/>
          <w:szCs w:val="24"/>
        </w:rPr>
        <w:t>în perioada 20</w:t>
      </w:r>
      <w:r w:rsidR="00A159C9">
        <w:rPr>
          <w:rFonts w:ascii="Arial" w:hAnsi="Arial" w:cs="Arial"/>
          <w:sz w:val="24"/>
          <w:szCs w:val="24"/>
        </w:rPr>
        <w:t>12</w:t>
      </w:r>
      <w:r w:rsidRPr="00717595">
        <w:rPr>
          <w:rFonts w:ascii="Arial" w:hAnsi="Arial" w:cs="Arial"/>
          <w:sz w:val="24"/>
          <w:szCs w:val="24"/>
        </w:rPr>
        <w:t>-2016</w:t>
      </w:r>
    </w:p>
    <w:p w:rsidR="00332B9C" w:rsidRPr="00717595" w:rsidRDefault="00332B9C" w:rsidP="00332B9C">
      <w:pPr>
        <w:rPr>
          <w:rFonts w:ascii="Arial" w:hAnsi="Arial" w:cs="Arial"/>
          <w:sz w:val="24"/>
          <w:szCs w:val="24"/>
        </w:rPr>
      </w:pP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t>Tabel I.1.1.2.5.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1080"/>
        <w:gridCol w:w="1167"/>
        <w:gridCol w:w="1029"/>
        <w:gridCol w:w="951"/>
        <w:gridCol w:w="1101"/>
      </w:tblGrid>
      <w:tr w:rsidR="00332B9C" w:rsidRPr="00717595" w:rsidTr="00332B9C">
        <w:trPr>
          <w:jc w:val="center"/>
        </w:trPr>
        <w:tc>
          <w:tcPr>
            <w:tcW w:w="2204"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b/>
              </w:rPr>
              <w:t>CO</w:t>
            </w:r>
            <w:r w:rsidRPr="002D0C2A">
              <w:rPr>
                <w:rFonts w:ascii="Arial" w:hAnsi="Arial" w:cs="Arial"/>
              </w:rPr>
              <w:t xml:space="preserve">    (mg/mc)</w:t>
            </w:r>
          </w:p>
        </w:tc>
        <w:tc>
          <w:tcPr>
            <w:tcW w:w="1080"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1</w:t>
            </w:r>
          </w:p>
        </w:tc>
        <w:tc>
          <w:tcPr>
            <w:tcW w:w="1167"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2</w:t>
            </w:r>
          </w:p>
        </w:tc>
        <w:tc>
          <w:tcPr>
            <w:tcW w:w="1029"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3</w:t>
            </w:r>
          </w:p>
        </w:tc>
        <w:tc>
          <w:tcPr>
            <w:tcW w:w="95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4</w:t>
            </w:r>
          </w:p>
        </w:tc>
        <w:tc>
          <w:tcPr>
            <w:tcW w:w="1101" w:type="dxa"/>
          </w:tcPr>
          <w:p w:rsidR="00332B9C" w:rsidRPr="002D0C2A" w:rsidRDefault="007C1699" w:rsidP="002D0C2A">
            <w:pPr>
              <w:spacing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5</w:t>
            </w:r>
          </w:p>
        </w:tc>
      </w:tr>
      <w:tr w:rsidR="00332B9C" w:rsidRPr="00717595" w:rsidTr="00332B9C">
        <w:trPr>
          <w:jc w:val="center"/>
        </w:trPr>
        <w:tc>
          <w:tcPr>
            <w:tcW w:w="2204"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2012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0,27</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0,19</w:t>
            </w:r>
          </w:p>
        </w:tc>
        <w:tc>
          <w:tcPr>
            <w:tcW w:w="1029" w:type="dxa"/>
          </w:tcPr>
          <w:p w:rsidR="00332B9C" w:rsidRPr="002D0C2A" w:rsidRDefault="00332B9C" w:rsidP="002D0C2A">
            <w:pPr>
              <w:spacing w:after="0" w:line="240" w:lineRule="auto"/>
              <w:jc w:val="center"/>
              <w:rPr>
                <w:rFonts w:ascii="Arial" w:hAnsi="Arial" w:cs="Arial"/>
              </w:rPr>
            </w:pPr>
            <w:r w:rsidRPr="002D0C2A">
              <w:rPr>
                <w:rFonts w:ascii="Arial" w:hAnsi="Arial" w:cs="Arial"/>
              </w:rPr>
              <w:t>0,15</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0,42</w:t>
            </w:r>
          </w:p>
        </w:tc>
        <w:tc>
          <w:tcPr>
            <w:tcW w:w="1101" w:type="dxa"/>
          </w:tcPr>
          <w:p w:rsidR="00332B9C" w:rsidRPr="002D0C2A" w:rsidRDefault="00332B9C" w:rsidP="002D0C2A">
            <w:pPr>
              <w:spacing w:after="0" w:line="240" w:lineRule="auto"/>
              <w:jc w:val="center"/>
              <w:rPr>
                <w:rFonts w:ascii="Arial" w:hAnsi="Arial" w:cs="Arial"/>
              </w:rPr>
            </w:pPr>
            <w:r w:rsidRPr="002D0C2A">
              <w:rPr>
                <w:rFonts w:ascii="Arial" w:hAnsi="Arial" w:cs="Arial"/>
              </w:rPr>
              <w:t>0,1</w:t>
            </w:r>
          </w:p>
        </w:tc>
      </w:tr>
      <w:tr w:rsidR="00332B9C" w:rsidRPr="00717595" w:rsidTr="00332B9C">
        <w:trPr>
          <w:jc w:val="center"/>
        </w:trPr>
        <w:tc>
          <w:tcPr>
            <w:tcW w:w="2204"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2013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after="0" w:line="240" w:lineRule="auto"/>
              <w:jc w:val="center"/>
              <w:rPr>
                <w:rFonts w:ascii="Arial" w:hAnsi="Arial" w:cs="Arial"/>
              </w:rPr>
            </w:pPr>
            <w:r w:rsidRPr="002D0C2A">
              <w:rPr>
                <w:rFonts w:ascii="Arial" w:hAnsi="Arial" w:cs="Arial"/>
              </w:rPr>
              <w:t>0,15</w:t>
            </w:r>
          </w:p>
        </w:tc>
        <w:tc>
          <w:tcPr>
            <w:tcW w:w="1029" w:type="dxa"/>
          </w:tcPr>
          <w:p w:rsidR="00332B9C" w:rsidRPr="002D0C2A" w:rsidRDefault="00332B9C" w:rsidP="002D0C2A">
            <w:pPr>
              <w:spacing w:after="0" w:line="240" w:lineRule="auto"/>
              <w:jc w:val="center"/>
              <w:rPr>
                <w:rFonts w:ascii="Arial" w:hAnsi="Arial" w:cs="Arial"/>
              </w:rPr>
            </w:pPr>
            <w:r w:rsidRPr="002D0C2A">
              <w:rPr>
                <w:rFonts w:ascii="Arial" w:hAnsi="Arial" w:cs="Arial"/>
              </w:rPr>
              <w:t>0,14</w:t>
            </w:r>
          </w:p>
        </w:tc>
        <w:tc>
          <w:tcPr>
            <w:tcW w:w="951" w:type="dxa"/>
          </w:tcPr>
          <w:p w:rsidR="00332B9C" w:rsidRPr="002D0C2A" w:rsidRDefault="00332B9C" w:rsidP="002D0C2A">
            <w:pPr>
              <w:spacing w:after="0" w:line="240" w:lineRule="auto"/>
              <w:jc w:val="center"/>
              <w:rPr>
                <w:rFonts w:ascii="Arial" w:hAnsi="Arial" w:cs="Arial"/>
              </w:rPr>
            </w:pPr>
            <w:r w:rsidRPr="002D0C2A">
              <w:rPr>
                <w:rFonts w:ascii="Arial" w:hAnsi="Arial" w:cs="Arial"/>
              </w:rPr>
              <w:t>0,06</w:t>
            </w:r>
          </w:p>
        </w:tc>
        <w:tc>
          <w:tcPr>
            <w:tcW w:w="1101" w:type="dxa"/>
          </w:tcPr>
          <w:p w:rsidR="00332B9C" w:rsidRPr="002D0C2A" w:rsidRDefault="00332B9C" w:rsidP="002D0C2A">
            <w:pPr>
              <w:spacing w:after="0" w:line="240" w:lineRule="auto"/>
              <w:jc w:val="center"/>
              <w:rPr>
                <w:rFonts w:ascii="Arial" w:hAnsi="Arial" w:cs="Arial"/>
              </w:rPr>
            </w:pPr>
            <w:r w:rsidRPr="002D0C2A">
              <w:rPr>
                <w:rFonts w:ascii="Arial" w:hAnsi="Arial" w:cs="Arial"/>
              </w:rPr>
              <w:t>0,08</w:t>
            </w:r>
          </w:p>
        </w:tc>
      </w:tr>
      <w:tr w:rsidR="00332B9C" w:rsidRPr="00717595" w:rsidTr="00332B9C">
        <w:trPr>
          <w:jc w:val="center"/>
        </w:trPr>
        <w:tc>
          <w:tcPr>
            <w:tcW w:w="2204"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2014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w:t>
            </w:r>
          </w:p>
        </w:tc>
        <w:tc>
          <w:tcPr>
            <w:tcW w:w="1167"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0,22</w:t>
            </w:r>
          </w:p>
        </w:tc>
        <w:tc>
          <w:tcPr>
            <w:tcW w:w="1029"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0,21</w:t>
            </w:r>
          </w:p>
        </w:tc>
        <w:tc>
          <w:tcPr>
            <w:tcW w:w="951"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0,11</w:t>
            </w:r>
          </w:p>
        </w:tc>
        <w:tc>
          <w:tcPr>
            <w:tcW w:w="1101"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0,05</w:t>
            </w:r>
          </w:p>
        </w:tc>
      </w:tr>
      <w:tr w:rsidR="00332B9C" w:rsidRPr="00717595" w:rsidTr="00332B9C">
        <w:trPr>
          <w:jc w:val="center"/>
        </w:trPr>
        <w:tc>
          <w:tcPr>
            <w:tcW w:w="2204"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2015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0,34</w:t>
            </w:r>
          </w:p>
        </w:tc>
        <w:tc>
          <w:tcPr>
            <w:tcW w:w="1167"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0,11</w:t>
            </w:r>
          </w:p>
        </w:tc>
        <w:tc>
          <w:tcPr>
            <w:tcW w:w="1029"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0,11</w:t>
            </w:r>
          </w:p>
        </w:tc>
        <w:tc>
          <w:tcPr>
            <w:tcW w:w="951"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0,10</w:t>
            </w:r>
          </w:p>
        </w:tc>
        <w:tc>
          <w:tcPr>
            <w:tcW w:w="1101"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0,04</w:t>
            </w:r>
          </w:p>
        </w:tc>
      </w:tr>
      <w:tr w:rsidR="00332B9C" w:rsidRPr="00717595" w:rsidTr="00332B9C">
        <w:trPr>
          <w:jc w:val="center"/>
        </w:trPr>
        <w:tc>
          <w:tcPr>
            <w:tcW w:w="2204" w:type="dxa"/>
          </w:tcPr>
          <w:p w:rsidR="00332B9C" w:rsidRPr="002D0C2A" w:rsidRDefault="00332B9C" w:rsidP="002D0C2A">
            <w:pPr>
              <w:tabs>
                <w:tab w:val="num" w:pos="0"/>
              </w:tabs>
              <w:spacing w:after="0" w:line="240" w:lineRule="auto"/>
              <w:rPr>
                <w:rFonts w:ascii="Arial" w:hAnsi="Arial" w:cs="Arial"/>
              </w:rPr>
            </w:pPr>
            <w:r w:rsidRPr="002D0C2A">
              <w:rPr>
                <w:rFonts w:ascii="Arial" w:hAnsi="Arial" w:cs="Arial"/>
              </w:rPr>
              <w:t>2016 Medii anuale</w:t>
            </w:r>
          </w:p>
        </w:tc>
        <w:tc>
          <w:tcPr>
            <w:tcW w:w="1080" w:type="dxa"/>
          </w:tcPr>
          <w:p w:rsidR="00332B9C" w:rsidRPr="002D0C2A" w:rsidRDefault="00332B9C" w:rsidP="002D0C2A">
            <w:pPr>
              <w:spacing w:after="0" w:line="240" w:lineRule="auto"/>
              <w:jc w:val="center"/>
              <w:rPr>
                <w:rFonts w:ascii="Arial" w:hAnsi="Arial" w:cs="Arial"/>
              </w:rPr>
            </w:pPr>
            <w:r w:rsidRPr="002D0C2A">
              <w:rPr>
                <w:rFonts w:ascii="Arial" w:hAnsi="Arial" w:cs="Arial"/>
              </w:rPr>
              <w:t>0.19</w:t>
            </w:r>
          </w:p>
        </w:tc>
        <w:tc>
          <w:tcPr>
            <w:tcW w:w="1167"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0.11</w:t>
            </w:r>
          </w:p>
        </w:tc>
        <w:tc>
          <w:tcPr>
            <w:tcW w:w="1029"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0.12</w:t>
            </w:r>
          </w:p>
        </w:tc>
        <w:tc>
          <w:tcPr>
            <w:tcW w:w="951"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0.11</w:t>
            </w:r>
          </w:p>
        </w:tc>
        <w:tc>
          <w:tcPr>
            <w:tcW w:w="1101" w:type="dxa"/>
            <w:vAlign w:val="bottom"/>
          </w:tcPr>
          <w:p w:rsidR="00332B9C" w:rsidRPr="002D0C2A" w:rsidRDefault="00332B9C" w:rsidP="002D0C2A">
            <w:pPr>
              <w:spacing w:after="0" w:line="240" w:lineRule="auto"/>
              <w:jc w:val="center"/>
              <w:rPr>
                <w:rFonts w:ascii="Arial" w:hAnsi="Arial" w:cs="Arial"/>
                <w:bCs/>
              </w:rPr>
            </w:pPr>
            <w:r w:rsidRPr="002D0C2A">
              <w:rPr>
                <w:rFonts w:ascii="Arial" w:hAnsi="Arial" w:cs="Arial"/>
                <w:bCs/>
              </w:rPr>
              <w:t>0.07</w:t>
            </w:r>
          </w:p>
        </w:tc>
      </w:tr>
    </w:tbl>
    <w:p w:rsidR="00332B9C" w:rsidRPr="00717595" w:rsidRDefault="00332B9C" w:rsidP="00A159C9">
      <w:pPr>
        <w:tabs>
          <w:tab w:val="num" w:pos="0"/>
        </w:tabs>
        <w:spacing w:after="0"/>
        <w:ind w:firstLine="720"/>
        <w:jc w:val="both"/>
        <w:rPr>
          <w:rFonts w:ascii="Arial" w:hAnsi="Arial" w:cs="Arial"/>
          <w:sz w:val="24"/>
          <w:szCs w:val="24"/>
        </w:rPr>
      </w:pPr>
    </w:p>
    <w:p w:rsidR="00332B9C" w:rsidRPr="00717595" w:rsidRDefault="00332B9C" w:rsidP="00332B9C">
      <w:pPr>
        <w:tabs>
          <w:tab w:val="num" w:pos="0"/>
        </w:tabs>
        <w:ind w:firstLine="720"/>
        <w:jc w:val="both"/>
        <w:rPr>
          <w:rFonts w:ascii="Arial" w:hAnsi="Arial" w:cs="Arial"/>
          <w:sz w:val="24"/>
          <w:szCs w:val="24"/>
        </w:rPr>
      </w:pPr>
      <w:r w:rsidRPr="00717595">
        <w:rPr>
          <w:rFonts w:ascii="Arial" w:hAnsi="Arial" w:cs="Arial"/>
          <w:sz w:val="24"/>
          <w:szCs w:val="24"/>
        </w:rPr>
        <w:t>Poluantul CO rezultă din arderea incompletă a combustibililor.</w:t>
      </w:r>
    </w:p>
    <w:p w:rsidR="005E33A1" w:rsidRDefault="00332B9C" w:rsidP="00332B9C">
      <w:pPr>
        <w:tabs>
          <w:tab w:val="left" w:pos="709"/>
        </w:tabs>
        <w:ind w:left="720" w:right="31"/>
        <w:rPr>
          <w:rFonts w:ascii="Arial" w:hAnsi="Arial" w:cs="Arial"/>
          <w:b/>
          <w:sz w:val="24"/>
          <w:szCs w:val="24"/>
        </w:rPr>
      </w:pPr>
      <w:r w:rsidRPr="00717595">
        <w:rPr>
          <w:rFonts w:ascii="Arial" w:hAnsi="Arial" w:cs="Arial"/>
          <w:b/>
          <w:sz w:val="24"/>
          <w:szCs w:val="24"/>
        </w:rPr>
        <w:tab/>
      </w:r>
      <w:r w:rsidRPr="00717595">
        <w:rPr>
          <w:rFonts w:ascii="Arial" w:hAnsi="Arial" w:cs="Arial"/>
          <w:b/>
          <w:sz w:val="24"/>
          <w:szCs w:val="24"/>
        </w:rPr>
        <w:tab/>
      </w:r>
    </w:p>
    <w:p w:rsidR="005E33A1" w:rsidRDefault="005E33A1" w:rsidP="00332B9C">
      <w:pPr>
        <w:tabs>
          <w:tab w:val="left" w:pos="709"/>
        </w:tabs>
        <w:ind w:left="720" w:right="31"/>
        <w:rPr>
          <w:rFonts w:ascii="Arial" w:hAnsi="Arial" w:cs="Arial"/>
          <w:b/>
          <w:sz w:val="24"/>
          <w:szCs w:val="24"/>
        </w:rPr>
      </w:pPr>
    </w:p>
    <w:p w:rsidR="00332B9C" w:rsidRPr="00717595" w:rsidRDefault="00332B9C" w:rsidP="00332B9C">
      <w:pPr>
        <w:tabs>
          <w:tab w:val="left" w:pos="709"/>
        </w:tabs>
        <w:ind w:left="720" w:right="31"/>
        <w:rPr>
          <w:rFonts w:ascii="Arial" w:hAnsi="Arial" w:cs="Arial"/>
          <w:b/>
          <w:sz w:val="24"/>
          <w:szCs w:val="24"/>
        </w:rPr>
      </w:pPr>
      <w:r w:rsidRPr="00717595">
        <w:rPr>
          <w:rFonts w:ascii="Arial" w:hAnsi="Arial" w:cs="Arial"/>
          <w:b/>
          <w:sz w:val="24"/>
          <w:szCs w:val="24"/>
        </w:rPr>
        <w:lastRenderedPageBreak/>
        <w:t>I.1.1.2.6. Benzen</w:t>
      </w:r>
    </w:p>
    <w:p w:rsidR="00332B9C" w:rsidRPr="00717595" w:rsidRDefault="00332B9C" w:rsidP="00332B9C">
      <w:pPr>
        <w:tabs>
          <w:tab w:val="num" w:pos="0"/>
        </w:tabs>
        <w:jc w:val="center"/>
        <w:rPr>
          <w:rFonts w:ascii="Arial" w:hAnsi="Arial" w:cs="Arial"/>
          <w:sz w:val="24"/>
          <w:szCs w:val="24"/>
        </w:rPr>
      </w:pPr>
      <w:r w:rsidRPr="00717595">
        <w:rPr>
          <w:rFonts w:ascii="Arial" w:hAnsi="Arial" w:cs="Arial"/>
          <w:noProof/>
          <w:sz w:val="24"/>
          <w:szCs w:val="24"/>
          <w:lang w:eastAsia="ro-RO"/>
        </w:rPr>
        <w:drawing>
          <wp:inline distT="0" distB="0" distL="0" distR="0">
            <wp:extent cx="5210175" cy="1781175"/>
            <wp:effectExtent l="0" t="0" r="0" b="0"/>
            <wp:docPr id="158"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2B9C" w:rsidRPr="00717595" w:rsidRDefault="00332B9C" w:rsidP="00332B9C">
      <w:pPr>
        <w:tabs>
          <w:tab w:val="num" w:pos="0"/>
        </w:tabs>
        <w:jc w:val="center"/>
        <w:rPr>
          <w:rFonts w:ascii="Arial" w:hAnsi="Arial" w:cs="Arial"/>
          <w:sz w:val="24"/>
          <w:szCs w:val="24"/>
        </w:rPr>
      </w:pPr>
      <w:r w:rsidRPr="00717595">
        <w:rPr>
          <w:rFonts w:ascii="Arial" w:hAnsi="Arial" w:cs="Arial"/>
          <w:sz w:val="24"/>
          <w:szCs w:val="24"/>
        </w:rPr>
        <w:t>Fig. I.1.1.2.6. Concentraţia medie anuală a benzenului în perioda 2008- 2016</w:t>
      </w:r>
    </w:p>
    <w:p w:rsidR="00332B9C" w:rsidRPr="00717595" w:rsidRDefault="0099641A" w:rsidP="00332B9C">
      <w:pPr>
        <w:tabs>
          <w:tab w:val="num" w:pos="0"/>
        </w:tabs>
        <w:ind w:firstLine="720"/>
        <w:jc w:val="cente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32B9C" w:rsidRPr="00717595">
        <w:rPr>
          <w:rFonts w:ascii="Arial" w:hAnsi="Arial" w:cs="Arial"/>
          <w:sz w:val="24"/>
          <w:szCs w:val="24"/>
        </w:rPr>
        <w:t>Tabel I.1.1.2.6.</w:t>
      </w:r>
    </w:p>
    <w:tbl>
      <w:tblPr>
        <w:tblW w:w="0" w:type="auto"/>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1080"/>
        <w:gridCol w:w="1080"/>
        <w:gridCol w:w="1265"/>
        <w:gridCol w:w="1265"/>
      </w:tblGrid>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b/>
                <w:sz w:val="24"/>
                <w:szCs w:val="24"/>
              </w:rPr>
              <w:t>Benzen</w:t>
            </w:r>
            <w:r w:rsidRPr="00717595">
              <w:rPr>
                <w:rFonts w:ascii="Arial" w:hAnsi="Arial" w:cs="Arial"/>
                <w:sz w:val="24"/>
                <w:szCs w:val="24"/>
              </w:rPr>
              <w:t xml:space="preserve">    (</w:t>
            </w:r>
            <w:r w:rsidRPr="00717595">
              <w:rPr>
                <w:rFonts w:ascii="Arial" w:hAnsi="Arial" w:cs="Arial"/>
                <w:sz w:val="24"/>
                <w:szCs w:val="24"/>
              </w:rPr>
              <w:sym w:font="Symbol" w:char="F06D"/>
            </w:r>
            <w:r w:rsidRPr="00717595">
              <w:rPr>
                <w:rFonts w:ascii="Arial" w:hAnsi="Arial" w:cs="Arial"/>
                <w:sz w:val="24"/>
                <w:szCs w:val="24"/>
              </w:rPr>
              <w:t>g/mc)</w:t>
            </w:r>
          </w:p>
        </w:tc>
        <w:tc>
          <w:tcPr>
            <w:tcW w:w="1080"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1</w:t>
            </w:r>
          </w:p>
        </w:tc>
        <w:tc>
          <w:tcPr>
            <w:tcW w:w="1080"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2</w:t>
            </w:r>
          </w:p>
        </w:tc>
        <w:tc>
          <w:tcPr>
            <w:tcW w:w="1265" w:type="dxa"/>
          </w:tcPr>
          <w:p w:rsidR="00332B9C" w:rsidRPr="00717595" w:rsidRDefault="007C1699" w:rsidP="002D0C2A">
            <w:pPr>
              <w:spacing w:after="0" w:line="240" w:lineRule="auto"/>
              <w:jc w:val="center"/>
              <w:rPr>
                <w:rFonts w:ascii="Arial" w:hAnsi="Arial" w:cs="Arial"/>
                <w:b/>
                <w:sz w:val="24"/>
                <w:szCs w:val="24"/>
              </w:rPr>
            </w:pPr>
            <w:r>
              <w:rPr>
                <w:rFonts w:ascii="Arial" w:hAnsi="Arial" w:cs="Arial"/>
                <w:b/>
                <w:sz w:val="24"/>
                <w:szCs w:val="24"/>
              </w:rPr>
              <w:t>BR</w:t>
            </w:r>
            <w:r w:rsidR="00332B9C" w:rsidRPr="00717595">
              <w:rPr>
                <w:rFonts w:ascii="Arial" w:hAnsi="Arial" w:cs="Arial"/>
                <w:b/>
                <w:sz w:val="24"/>
                <w:szCs w:val="24"/>
              </w:rPr>
              <w:t>3</w:t>
            </w:r>
          </w:p>
        </w:tc>
        <w:tc>
          <w:tcPr>
            <w:tcW w:w="1265" w:type="dxa"/>
          </w:tcPr>
          <w:p w:rsidR="00332B9C" w:rsidRPr="00717595" w:rsidRDefault="007C1699" w:rsidP="002D0C2A">
            <w:pPr>
              <w:spacing w:after="0" w:line="240" w:lineRule="auto"/>
              <w:jc w:val="center"/>
              <w:rPr>
                <w:rFonts w:ascii="Arial" w:hAnsi="Arial" w:cs="Arial"/>
                <w:sz w:val="24"/>
                <w:szCs w:val="24"/>
              </w:rPr>
            </w:pPr>
            <w:r>
              <w:rPr>
                <w:rFonts w:ascii="Arial" w:hAnsi="Arial" w:cs="Arial"/>
                <w:b/>
                <w:sz w:val="24"/>
                <w:szCs w:val="24"/>
              </w:rPr>
              <w:t>BR</w:t>
            </w:r>
            <w:r w:rsidR="00332B9C" w:rsidRPr="00717595">
              <w:rPr>
                <w:rFonts w:ascii="Arial" w:hAnsi="Arial" w:cs="Arial"/>
                <w:b/>
                <w:sz w:val="24"/>
                <w:szCs w:val="24"/>
              </w:rPr>
              <w:t>5</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 xml:space="preserve">2008 Medii anuale </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3,145</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3,19</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2009 Medii anuale</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4,65</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0,25</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1,48</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2010 Medii anuale</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2,41</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0,13</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1,41</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2,10</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2011 Medii anuale</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1,42</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2,17</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2012 Medii anuale</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2,45</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0,93</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2013 Medii anuale</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2014 Medii anuale</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2015 Medii anuale</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r>
      <w:tr w:rsidR="00332B9C" w:rsidRPr="00717595" w:rsidTr="00332B9C">
        <w:trPr>
          <w:jc w:val="center"/>
        </w:trPr>
        <w:tc>
          <w:tcPr>
            <w:tcW w:w="2285" w:type="dxa"/>
          </w:tcPr>
          <w:p w:rsidR="00332B9C" w:rsidRPr="00717595" w:rsidRDefault="00332B9C" w:rsidP="002D0C2A">
            <w:pPr>
              <w:tabs>
                <w:tab w:val="num" w:pos="0"/>
              </w:tabs>
              <w:spacing w:after="0" w:line="240" w:lineRule="auto"/>
              <w:rPr>
                <w:rFonts w:ascii="Arial" w:hAnsi="Arial" w:cs="Arial"/>
                <w:sz w:val="24"/>
                <w:szCs w:val="24"/>
              </w:rPr>
            </w:pPr>
            <w:r w:rsidRPr="00717595">
              <w:rPr>
                <w:rFonts w:ascii="Arial" w:hAnsi="Arial" w:cs="Arial"/>
                <w:sz w:val="24"/>
                <w:szCs w:val="24"/>
              </w:rPr>
              <w:t>2016 Medii anuale</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1.93</w:t>
            </w:r>
          </w:p>
        </w:tc>
        <w:tc>
          <w:tcPr>
            <w:tcW w:w="1080"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1.2</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w:t>
            </w:r>
          </w:p>
        </w:tc>
        <w:tc>
          <w:tcPr>
            <w:tcW w:w="1265" w:type="dxa"/>
          </w:tcPr>
          <w:p w:rsidR="00332B9C" w:rsidRPr="00717595" w:rsidRDefault="00332B9C" w:rsidP="002D0C2A">
            <w:pPr>
              <w:spacing w:after="0" w:line="240" w:lineRule="auto"/>
              <w:jc w:val="center"/>
              <w:rPr>
                <w:rFonts w:ascii="Arial" w:hAnsi="Arial" w:cs="Arial"/>
                <w:sz w:val="24"/>
                <w:szCs w:val="24"/>
              </w:rPr>
            </w:pPr>
            <w:r w:rsidRPr="00717595">
              <w:rPr>
                <w:rFonts w:ascii="Arial" w:hAnsi="Arial" w:cs="Arial"/>
                <w:sz w:val="24"/>
                <w:szCs w:val="24"/>
              </w:rPr>
              <w:t>1.37</w:t>
            </w:r>
          </w:p>
        </w:tc>
      </w:tr>
    </w:tbl>
    <w:p w:rsidR="00332B9C" w:rsidRPr="00717595" w:rsidRDefault="00332B9C" w:rsidP="0099641A">
      <w:pPr>
        <w:spacing w:after="0"/>
        <w:jc w:val="both"/>
        <w:rPr>
          <w:rFonts w:ascii="Arial" w:hAnsi="Arial" w:cs="Arial"/>
          <w:sz w:val="24"/>
          <w:szCs w:val="24"/>
        </w:rPr>
      </w:pPr>
    </w:p>
    <w:p w:rsidR="00332B9C" w:rsidRPr="00717595" w:rsidRDefault="00332B9C" w:rsidP="00332B9C">
      <w:pPr>
        <w:tabs>
          <w:tab w:val="num" w:pos="0"/>
        </w:tabs>
        <w:ind w:firstLine="720"/>
        <w:rPr>
          <w:rFonts w:ascii="Arial" w:hAnsi="Arial" w:cs="Arial"/>
          <w:b/>
          <w:sz w:val="24"/>
          <w:szCs w:val="24"/>
        </w:rPr>
      </w:pPr>
      <w:r w:rsidRPr="00717595">
        <w:rPr>
          <w:rFonts w:ascii="Arial" w:hAnsi="Arial" w:cs="Arial"/>
          <w:b/>
          <w:sz w:val="24"/>
          <w:szCs w:val="24"/>
        </w:rPr>
        <w:t xml:space="preserve">I.1.1.2.7. Ozon </w:t>
      </w:r>
    </w:p>
    <w:p w:rsidR="00332B9C" w:rsidRPr="00717595" w:rsidRDefault="00332B9C" w:rsidP="00332B9C">
      <w:pPr>
        <w:tabs>
          <w:tab w:val="num" w:pos="0"/>
        </w:tabs>
        <w:ind w:firstLine="720"/>
        <w:rPr>
          <w:rFonts w:ascii="Arial" w:hAnsi="Arial" w:cs="Arial"/>
          <w:sz w:val="24"/>
          <w:szCs w:val="24"/>
        </w:rPr>
      </w:pPr>
      <w:r w:rsidRPr="00717595">
        <w:rPr>
          <w:rFonts w:ascii="Arial" w:hAnsi="Arial" w:cs="Arial"/>
          <w:noProof/>
          <w:sz w:val="24"/>
          <w:szCs w:val="24"/>
          <w:lang w:eastAsia="ro-RO"/>
        </w:rPr>
        <w:drawing>
          <wp:inline distT="0" distB="0" distL="0" distR="0">
            <wp:extent cx="5067300" cy="2162175"/>
            <wp:effectExtent l="0" t="0" r="0" b="0"/>
            <wp:docPr id="159"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2B9C" w:rsidRPr="00717595" w:rsidRDefault="00332B9C" w:rsidP="00332B9C">
      <w:pPr>
        <w:tabs>
          <w:tab w:val="num" w:pos="0"/>
        </w:tabs>
        <w:ind w:firstLine="720"/>
        <w:jc w:val="center"/>
        <w:rPr>
          <w:rFonts w:ascii="Arial" w:hAnsi="Arial" w:cs="Arial"/>
          <w:b/>
          <w:sz w:val="24"/>
          <w:szCs w:val="24"/>
        </w:rPr>
      </w:pPr>
      <w:r w:rsidRPr="00717595">
        <w:rPr>
          <w:rFonts w:ascii="Arial" w:hAnsi="Arial" w:cs="Arial"/>
          <w:sz w:val="24"/>
          <w:szCs w:val="24"/>
        </w:rPr>
        <w:t>Fig. I.1.1.2.7. Concentraţia medie anuală de ozon în perioada 20</w:t>
      </w:r>
      <w:r w:rsidR="00070626">
        <w:rPr>
          <w:rFonts w:ascii="Arial" w:hAnsi="Arial" w:cs="Arial"/>
          <w:sz w:val="24"/>
          <w:szCs w:val="24"/>
        </w:rPr>
        <w:t>12</w:t>
      </w:r>
      <w:r w:rsidRPr="00717595">
        <w:rPr>
          <w:rFonts w:ascii="Arial" w:hAnsi="Arial" w:cs="Arial"/>
          <w:sz w:val="24"/>
          <w:szCs w:val="24"/>
        </w:rPr>
        <w:t>- 2016</w:t>
      </w:r>
    </w:p>
    <w:p w:rsidR="00332B9C" w:rsidRPr="002D0C2A" w:rsidRDefault="00332B9C" w:rsidP="005E33A1">
      <w:pPr>
        <w:tabs>
          <w:tab w:val="num" w:pos="0"/>
        </w:tabs>
        <w:jc w:val="center"/>
        <w:rPr>
          <w:rFonts w:ascii="Arial" w:hAnsi="Arial" w:cs="Arial"/>
        </w:rPr>
      </w:pPr>
      <w:r w:rsidRPr="00717595">
        <w:rPr>
          <w:rFonts w:ascii="Arial" w:hAnsi="Arial" w:cs="Arial"/>
          <w:sz w:val="24"/>
          <w:szCs w:val="24"/>
        </w:rPr>
        <w:tab/>
      </w:r>
      <w:r w:rsidRPr="00717595">
        <w:rPr>
          <w:rFonts w:ascii="Arial" w:hAnsi="Arial" w:cs="Arial"/>
          <w:sz w:val="24"/>
          <w:szCs w:val="24"/>
        </w:rPr>
        <w:tab/>
      </w:r>
      <w:r w:rsidRPr="00717595">
        <w:rPr>
          <w:rFonts w:ascii="Arial" w:hAnsi="Arial" w:cs="Arial"/>
          <w:sz w:val="24"/>
          <w:szCs w:val="24"/>
        </w:rPr>
        <w:tab/>
      </w:r>
      <w:r w:rsidR="00070626">
        <w:rPr>
          <w:rFonts w:ascii="Arial" w:hAnsi="Arial" w:cs="Arial"/>
          <w:sz w:val="24"/>
          <w:szCs w:val="24"/>
        </w:rPr>
        <w:t xml:space="preserve">                 </w:t>
      </w:r>
      <w:r w:rsidR="002D0C2A">
        <w:rPr>
          <w:rFonts w:ascii="Arial" w:hAnsi="Arial" w:cs="Arial"/>
          <w:sz w:val="24"/>
          <w:szCs w:val="24"/>
        </w:rPr>
        <w:tab/>
      </w:r>
      <w:r w:rsidR="002D0C2A">
        <w:rPr>
          <w:rFonts w:ascii="Arial" w:hAnsi="Arial" w:cs="Arial"/>
          <w:sz w:val="24"/>
          <w:szCs w:val="24"/>
        </w:rPr>
        <w:tab/>
      </w:r>
      <w:r w:rsidR="002D0C2A">
        <w:rPr>
          <w:rFonts w:ascii="Arial" w:hAnsi="Arial" w:cs="Arial"/>
          <w:sz w:val="24"/>
          <w:szCs w:val="24"/>
        </w:rPr>
        <w:tab/>
      </w:r>
      <w:r w:rsidR="00070626" w:rsidRPr="002D0C2A">
        <w:rPr>
          <w:rFonts w:ascii="Arial" w:hAnsi="Arial" w:cs="Arial"/>
        </w:rPr>
        <w:t xml:space="preserve"> </w:t>
      </w:r>
      <w:r w:rsidRPr="002D0C2A">
        <w:rPr>
          <w:rFonts w:ascii="Arial" w:hAnsi="Arial" w:cs="Arial"/>
        </w:rPr>
        <w:t>Tabel I.1.1.2.7.</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1080"/>
        <w:gridCol w:w="1080"/>
        <w:gridCol w:w="1167"/>
        <w:gridCol w:w="1265"/>
      </w:tblGrid>
      <w:tr w:rsidR="00332B9C" w:rsidRPr="002D0C2A" w:rsidTr="00332B9C">
        <w:tc>
          <w:tcPr>
            <w:tcW w:w="2194" w:type="dxa"/>
          </w:tcPr>
          <w:p w:rsidR="00332B9C" w:rsidRPr="002D0C2A" w:rsidRDefault="00332B9C" w:rsidP="002D0C2A">
            <w:pPr>
              <w:tabs>
                <w:tab w:val="num" w:pos="0"/>
              </w:tabs>
              <w:spacing w:before="100" w:beforeAutospacing="1" w:after="0" w:line="240" w:lineRule="auto"/>
              <w:jc w:val="center"/>
              <w:rPr>
                <w:rFonts w:ascii="Arial" w:hAnsi="Arial" w:cs="Arial"/>
              </w:rPr>
            </w:pPr>
            <w:r w:rsidRPr="002D0C2A">
              <w:rPr>
                <w:rFonts w:ascii="Arial" w:hAnsi="Arial" w:cs="Arial"/>
                <w:b/>
              </w:rPr>
              <w:t>O</w:t>
            </w:r>
            <w:r w:rsidRPr="002D0C2A">
              <w:rPr>
                <w:rFonts w:ascii="Arial" w:hAnsi="Arial" w:cs="Arial"/>
                <w:b/>
                <w:vertAlign w:val="subscript"/>
              </w:rPr>
              <w:t>3</w:t>
            </w:r>
            <w:r w:rsidRPr="002D0C2A">
              <w:rPr>
                <w:rFonts w:ascii="Arial" w:hAnsi="Arial" w:cs="Arial"/>
              </w:rPr>
              <w:t xml:space="preserve">  (</w:t>
            </w:r>
            <w:r w:rsidRPr="002D0C2A">
              <w:rPr>
                <w:rFonts w:ascii="Arial" w:hAnsi="Arial" w:cs="Arial"/>
              </w:rPr>
              <w:sym w:font="Symbol" w:char="F06D"/>
            </w:r>
            <w:r w:rsidRPr="002D0C2A">
              <w:rPr>
                <w:rFonts w:ascii="Arial" w:hAnsi="Arial" w:cs="Arial"/>
              </w:rPr>
              <w:t>g/mc)</w:t>
            </w:r>
          </w:p>
        </w:tc>
        <w:tc>
          <w:tcPr>
            <w:tcW w:w="1080" w:type="dxa"/>
          </w:tcPr>
          <w:p w:rsidR="00332B9C" w:rsidRPr="002D0C2A" w:rsidRDefault="007C1699" w:rsidP="002D0C2A">
            <w:pPr>
              <w:spacing w:before="100" w:beforeAutospacing="1"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2</w:t>
            </w:r>
          </w:p>
        </w:tc>
        <w:tc>
          <w:tcPr>
            <w:tcW w:w="1080" w:type="dxa"/>
          </w:tcPr>
          <w:p w:rsidR="00332B9C" w:rsidRPr="002D0C2A" w:rsidRDefault="007C1699" w:rsidP="002D0C2A">
            <w:pPr>
              <w:spacing w:before="100" w:beforeAutospacing="1"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3</w:t>
            </w:r>
          </w:p>
        </w:tc>
        <w:tc>
          <w:tcPr>
            <w:tcW w:w="1167" w:type="dxa"/>
          </w:tcPr>
          <w:p w:rsidR="00332B9C" w:rsidRPr="002D0C2A" w:rsidRDefault="007C1699" w:rsidP="002D0C2A">
            <w:pPr>
              <w:spacing w:before="100" w:beforeAutospacing="1"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4</w:t>
            </w:r>
          </w:p>
        </w:tc>
        <w:tc>
          <w:tcPr>
            <w:tcW w:w="1265" w:type="dxa"/>
          </w:tcPr>
          <w:p w:rsidR="00332B9C" w:rsidRPr="002D0C2A" w:rsidRDefault="007C1699" w:rsidP="002D0C2A">
            <w:pPr>
              <w:spacing w:before="100" w:beforeAutospacing="1" w:after="0" w:line="240" w:lineRule="auto"/>
              <w:jc w:val="center"/>
              <w:rPr>
                <w:rFonts w:ascii="Arial" w:hAnsi="Arial" w:cs="Arial"/>
                <w:b/>
              </w:rPr>
            </w:pPr>
            <w:r w:rsidRPr="002D0C2A">
              <w:rPr>
                <w:rFonts w:ascii="Arial" w:hAnsi="Arial" w:cs="Arial"/>
                <w:b/>
              </w:rPr>
              <w:t>BR</w:t>
            </w:r>
            <w:r w:rsidR="00332B9C" w:rsidRPr="002D0C2A">
              <w:rPr>
                <w:rFonts w:ascii="Arial" w:hAnsi="Arial" w:cs="Arial"/>
                <w:b/>
              </w:rPr>
              <w:t>5</w:t>
            </w:r>
          </w:p>
        </w:tc>
      </w:tr>
      <w:tr w:rsidR="00332B9C" w:rsidRPr="002D0C2A" w:rsidTr="00332B9C">
        <w:tc>
          <w:tcPr>
            <w:tcW w:w="2194" w:type="dxa"/>
          </w:tcPr>
          <w:p w:rsidR="00332B9C" w:rsidRPr="002D0C2A" w:rsidRDefault="00332B9C" w:rsidP="002D0C2A">
            <w:pPr>
              <w:tabs>
                <w:tab w:val="num" w:pos="0"/>
              </w:tabs>
              <w:spacing w:before="100" w:beforeAutospacing="1" w:after="0" w:line="240" w:lineRule="auto"/>
              <w:jc w:val="center"/>
              <w:rPr>
                <w:rFonts w:ascii="Arial" w:hAnsi="Arial" w:cs="Arial"/>
              </w:rPr>
            </w:pPr>
            <w:r w:rsidRPr="002D0C2A">
              <w:rPr>
                <w:rFonts w:ascii="Arial" w:hAnsi="Arial" w:cs="Arial"/>
              </w:rPr>
              <w:t>2012 Medii anuale</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64,78</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77,58</w:t>
            </w:r>
          </w:p>
        </w:tc>
        <w:tc>
          <w:tcPr>
            <w:tcW w:w="1265"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76,13</w:t>
            </w:r>
          </w:p>
        </w:tc>
      </w:tr>
      <w:tr w:rsidR="00332B9C" w:rsidRPr="002D0C2A" w:rsidTr="00332B9C">
        <w:tc>
          <w:tcPr>
            <w:tcW w:w="2194" w:type="dxa"/>
          </w:tcPr>
          <w:p w:rsidR="00332B9C" w:rsidRPr="002D0C2A" w:rsidRDefault="00332B9C" w:rsidP="002D0C2A">
            <w:pPr>
              <w:tabs>
                <w:tab w:val="num" w:pos="0"/>
              </w:tabs>
              <w:spacing w:before="100" w:beforeAutospacing="1" w:after="0" w:line="240" w:lineRule="auto"/>
              <w:jc w:val="center"/>
              <w:rPr>
                <w:rFonts w:ascii="Arial" w:hAnsi="Arial" w:cs="Arial"/>
              </w:rPr>
            </w:pPr>
            <w:r w:rsidRPr="002D0C2A">
              <w:rPr>
                <w:rFonts w:ascii="Arial" w:hAnsi="Arial" w:cs="Arial"/>
              </w:rPr>
              <w:t>2013 Medii anuale</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57,39</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64,56</w:t>
            </w:r>
          </w:p>
        </w:tc>
        <w:tc>
          <w:tcPr>
            <w:tcW w:w="1265"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74,3</w:t>
            </w:r>
          </w:p>
        </w:tc>
      </w:tr>
      <w:tr w:rsidR="00332B9C" w:rsidRPr="002D0C2A" w:rsidTr="00332B9C">
        <w:tc>
          <w:tcPr>
            <w:tcW w:w="2194" w:type="dxa"/>
          </w:tcPr>
          <w:p w:rsidR="00332B9C" w:rsidRPr="002D0C2A" w:rsidRDefault="00332B9C" w:rsidP="002D0C2A">
            <w:pPr>
              <w:tabs>
                <w:tab w:val="num" w:pos="0"/>
              </w:tabs>
              <w:spacing w:before="100" w:beforeAutospacing="1" w:after="0" w:line="240" w:lineRule="auto"/>
              <w:jc w:val="center"/>
              <w:rPr>
                <w:rFonts w:ascii="Arial" w:hAnsi="Arial" w:cs="Arial"/>
              </w:rPr>
            </w:pPr>
            <w:r w:rsidRPr="002D0C2A">
              <w:rPr>
                <w:rFonts w:ascii="Arial" w:hAnsi="Arial" w:cs="Arial"/>
              </w:rPr>
              <w:t>2014 Medii anuale</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23,02</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w:t>
            </w:r>
          </w:p>
        </w:tc>
        <w:tc>
          <w:tcPr>
            <w:tcW w:w="1167"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29,23</w:t>
            </w:r>
          </w:p>
        </w:tc>
        <w:tc>
          <w:tcPr>
            <w:tcW w:w="1265"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67,24</w:t>
            </w:r>
          </w:p>
        </w:tc>
      </w:tr>
      <w:tr w:rsidR="00332B9C" w:rsidRPr="002D0C2A" w:rsidTr="00332B9C">
        <w:tc>
          <w:tcPr>
            <w:tcW w:w="2194" w:type="dxa"/>
          </w:tcPr>
          <w:p w:rsidR="00332B9C" w:rsidRPr="002D0C2A" w:rsidRDefault="00332B9C" w:rsidP="002D0C2A">
            <w:pPr>
              <w:tabs>
                <w:tab w:val="num" w:pos="0"/>
              </w:tabs>
              <w:spacing w:before="100" w:beforeAutospacing="1" w:after="0" w:line="240" w:lineRule="auto"/>
              <w:jc w:val="center"/>
              <w:rPr>
                <w:rFonts w:ascii="Arial" w:hAnsi="Arial" w:cs="Arial"/>
              </w:rPr>
            </w:pPr>
            <w:r w:rsidRPr="002D0C2A">
              <w:rPr>
                <w:rFonts w:ascii="Arial" w:hAnsi="Arial" w:cs="Arial"/>
              </w:rPr>
              <w:t>2015 Medii anuale</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53,23</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50,68</w:t>
            </w:r>
          </w:p>
        </w:tc>
        <w:tc>
          <w:tcPr>
            <w:tcW w:w="1167"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46,01</w:t>
            </w:r>
          </w:p>
        </w:tc>
        <w:tc>
          <w:tcPr>
            <w:tcW w:w="1265"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42,25</w:t>
            </w:r>
          </w:p>
        </w:tc>
      </w:tr>
      <w:tr w:rsidR="00332B9C" w:rsidRPr="002D0C2A" w:rsidTr="00332B9C">
        <w:tc>
          <w:tcPr>
            <w:tcW w:w="2194" w:type="dxa"/>
          </w:tcPr>
          <w:p w:rsidR="00332B9C" w:rsidRPr="002D0C2A" w:rsidRDefault="00332B9C" w:rsidP="002D0C2A">
            <w:pPr>
              <w:tabs>
                <w:tab w:val="num" w:pos="0"/>
              </w:tabs>
              <w:spacing w:before="100" w:beforeAutospacing="1" w:after="0" w:line="240" w:lineRule="auto"/>
              <w:jc w:val="center"/>
              <w:rPr>
                <w:rFonts w:ascii="Arial" w:hAnsi="Arial" w:cs="Arial"/>
              </w:rPr>
            </w:pPr>
            <w:r w:rsidRPr="002D0C2A">
              <w:rPr>
                <w:rFonts w:ascii="Arial" w:hAnsi="Arial" w:cs="Arial"/>
              </w:rPr>
              <w:t>2016 Medii anuale</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36.48</w:t>
            </w:r>
          </w:p>
        </w:tc>
        <w:tc>
          <w:tcPr>
            <w:tcW w:w="1080"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43.02</w:t>
            </w:r>
          </w:p>
        </w:tc>
        <w:tc>
          <w:tcPr>
            <w:tcW w:w="1167"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50.05</w:t>
            </w:r>
          </w:p>
        </w:tc>
        <w:tc>
          <w:tcPr>
            <w:tcW w:w="1265" w:type="dxa"/>
          </w:tcPr>
          <w:p w:rsidR="00332B9C" w:rsidRPr="002D0C2A" w:rsidRDefault="00332B9C" w:rsidP="002D0C2A">
            <w:pPr>
              <w:spacing w:before="100" w:beforeAutospacing="1" w:after="0" w:line="240" w:lineRule="auto"/>
              <w:jc w:val="center"/>
              <w:rPr>
                <w:rFonts w:ascii="Arial" w:hAnsi="Arial" w:cs="Arial"/>
              </w:rPr>
            </w:pPr>
            <w:r w:rsidRPr="002D0C2A">
              <w:rPr>
                <w:rFonts w:ascii="Arial" w:hAnsi="Arial" w:cs="Arial"/>
              </w:rPr>
              <w:t>50.45</w:t>
            </w:r>
          </w:p>
        </w:tc>
      </w:tr>
    </w:tbl>
    <w:p w:rsidR="00332B9C" w:rsidRPr="00717595" w:rsidRDefault="00332B9C" w:rsidP="002D0C2A">
      <w:pPr>
        <w:tabs>
          <w:tab w:val="num" w:pos="0"/>
        </w:tabs>
        <w:spacing w:after="0"/>
        <w:ind w:firstLine="720"/>
        <w:jc w:val="both"/>
        <w:rPr>
          <w:rFonts w:ascii="Arial" w:hAnsi="Arial" w:cs="Arial"/>
          <w:sz w:val="24"/>
          <w:szCs w:val="24"/>
        </w:rPr>
      </w:pPr>
    </w:p>
    <w:p w:rsidR="00332B9C" w:rsidRPr="00717595" w:rsidRDefault="00332B9C" w:rsidP="00332B9C">
      <w:pPr>
        <w:tabs>
          <w:tab w:val="num" w:pos="0"/>
        </w:tabs>
        <w:ind w:firstLine="720"/>
        <w:jc w:val="both"/>
        <w:rPr>
          <w:rFonts w:ascii="Arial" w:hAnsi="Arial" w:cs="Arial"/>
          <w:sz w:val="24"/>
          <w:szCs w:val="24"/>
        </w:rPr>
      </w:pPr>
    </w:p>
    <w:p w:rsidR="00332B9C" w:rsidRPr="00717595" w:rsidRDefault="00332B9C" w:rsidP="00332B9C">
      <w:pPr>
        <w:tabs>
          <w:tab w:val="num" w:pos="0"/>
        </w:tabs>
        <w:ind w:firstLine="720"/>
        <w:jc w:val="both"/>
        <w:rPr>
          <w:rFonts w:ascii="Arial" w:hAnsi="Arial" w:cs="Arial"/>
          <w:sz w:val="24"/>
          <w:szCs w:val="24"/>
        </w:rPr>
      </w:pPr>
    </w:p>
    <w:p w:rsidR="00332B9C" w:rsidRPr="00717595" w:rsidRDefault="00332B9C" w:rsidP="00332B9C">
      <w:pPr>
        <w:tabs>
          <w:tab w:val="num" w:pos="0"/>
        </w:tabs>
        <w:ind w:firstLine="720"/>
        <w:jc w:val="both"/>
        <w:rPr>
          <w:rFonts w:ascii="Arial" w:hAnsi="Arial" w:cs="Arial"/>
          <w:sz w:val="24"/>
          <w:szCs w:val="24"/>
        </w:rPr>
      </w:pPr>
    </w:p>
    <w:p w:rsidR="00332B9C" w:rsidRPr="00717595" w:rsidRDefault="00332B9C" w:rsidP="00070626">
      <w:pPr>
        <w:tabs>
          <w:tab w:val="num" w:pos="0"/>
        </w:tabs>
        <w:spacing w:line="240" w:lineRule="auto"/>
        <w:ind w:firstLine="720"/>
        <w:jc w:val="both"/>
        <w:rPr>
          <w:rFonts w:ascii="Arial" w:hAnsi="Arial" w:cs="Arial"/>
          <w:sz w:val="24"/>
          <w:szCs w:val="24"/>
        </w:rPr>
      </w:pPr>
      <w:r w:rsidRPr="00717595">
        <w:rPr>
          <w:rFonts w:ascii="Arial" w:hAnsi="Arial" w:cs="Arial"/>
          <w:sz w:val="24"/>
          <w:szCs w:val="24"/>
        </w:rPr>
        <w:t xml:space="preserve">Valorile orare pentru ozon au fost mai mici decât pragul de alertă (240 μg/mc - medie orară), precum şi faţă de pragul de informare (180 μg/mc - medie orară). De asemenea, concentraţiile maxime a mediilor pe opt ore au fost sub obiectivul pe termen lung pentru protecţia sănătăţii umane şi respectiv valoarea ţintă pentru anul 2015 (120 </w:t>
      </w:r>
      <w:r w:rsidRPr="00717595">
        <w:rPr>
          <w:rFonts w:ascii="Arial" w:hAnsi="Arial" w:cs="Arial"/>
          <w:sz w:val="24"/>
          <w:szCs w:val="24"/>
        </w:rPr>
        <w:sym w:font="Symbol" w:char="F06D"/>
      </w:r>
      <w:r w:rsidRPr="00717595">
        <w:rPr>
          <w:rFonts w:ascii="Arial" w:hAnsi="Arial" w:cs="Arial"/>
          <w:sz w:val="24"/>
          <w:szCs w:val="24"/>
        </w:rPr>
        <w:t>g/mc).</w:t>
      </w:r>
    </w:p>
    <w:p w:rsidR="00A25D9F" w:rsidRPr="00BE5D20" w:rsidRDefault="00A25D9F" w:rsidP="00A25D9F">
      <w:pPr>
        <w:spacing w:after="0" w:line="240" w:lineRule="auto"/>
        <w:jc w:val="both"/>
        <w:rPr>
          <w:rFonts w:ascii="Arial" w:hAnsi="Arial" w:cs="Arial"/>
          <w:b/>
          <w:sz w:val="24"/>
          <w:szCs w:val="24"/>
        </w:rPr>
      </w:pPr>
      <w:r w:rsidRPr="00BE5D20">
        <w:rPr>
          <w:rFonts w:ascii="Arial" w:hAnsi="Arial" w:cs="Arial"/>
          <w:b/>
          <w:sz w:val="24"/>
          <w:szCs w:val="24"/>
        </w:rPr>
        <w:t>I.1.1.2.8. Pulberi sedimentabile</w:t>
      </w:r>
    </w:p>
    <w:p w:rsidR="00A25D9F" w:rsidRPr="00BE5D20" w:rsidRDefault="00A25D9F" w:rsidP="00A25D9F">
      <w:pPr>
        <w:tabs>
          <w:tab w:val="num" w:pos="0"/>
        </w:tabs>
        <w:spacing w:after="0" w:line="240" w:lineRule="auto"/>
        <w:jc w:val="both"/>
        <w:rPr>
          <w:rFonts w:ascii="Arial" w:hAnsi="Arial" w:cs="Arial"/>
          <w:sz w:val="24"/>
          <w:szCs w:val="24"/>
        </w:rPr>
      </w:pPr>
    </w:p>
    <w:p w:rsidR="00A25D9F" w:rsidRPr="00BE5D20" w:rsidRDefault="00A25D9F" w:rsidP="00A25D9F">
      <w:pPr>
        <w:tabs>
          <w:tab w:val="num" w:pos="0"/>
        </w:tabs>
        <w:spacing w:after="0" w:line="240" w:lineRule="auto"/>
        <w:jc w:val="both"/>
        <w:rPr>
          <w:rFonts w:ascii="Arial" w:hAnsi="Arial" w:cs="Arial"/>
          <w:sz w:val="24"/>
          <w:szCs w:val="24"/>
        </w:rPr>
      </w:pPr>
      <w:r w:rsidRPr="00BE5D20">
        <w:rPr>
          <w:rFonts w:ascii="Arial" w:hAnsi="Arial" w:cs="Arial"/>
          <w:sz w:val="24"/>
          <w:szCs w:val="24"/>
        </w:rPr>
        <w:tab/>
        <w:t>Concentraţiile medii anuale, pe puncte de prelevare ale pulberilor sedimentabile,</w:t>
      </w:r>
      <w:r>
        <w:rPr>
          <w:rFonts w:ascii="Arial" w:hAnsi="Arial" w:cs="Arial"/>
          <w:sz w:val="24"/>
          <w:szCs w:val="24"/>
        </w:rPr>
        <w:t xml:space="preserve"> comparativ pentru perioada 2012- 2016</w:t>
      </w:r>
      <w:r w:rsidRPr="00BE5D20">
        <w:rPr>
          <w:rFonts w:ascii="Arial" w:hAnsi="Arial" w:cs="Arial"/>
          <w:sz w:val="24"/>
          <w:szCs w:val="24"/>
        </w:rPr>
        <w:t>, sunt prezentate în figura şi tabelul de mai jos.</w:t>
      </w:r>
    </w:p>
    <w:p w:rsidR="00A25D9F" w:rsidRPr="00BE5D20" w:rsidRDefault="00A25D9F" w:rsidP="00A25D9F">
      <w:pPr>
        <w:tabs>
          <w:tab w:val="num" w:pos="0"/>
        </w:tabs>
        <w:spacing w:after="0" w:line="240" w:lineRule="auto"/>
        <w:jc w:val="center"/>
        <w:rPr>
          <w:rFonts w:ascii="Arial" w:hAnsi="Arial" w:cs="Arial"/>
          <w:b/>
          <w:sz w:val="24"/>
          <w:szCs w:val="24"/>
        </w:rPr>
      </w:pPr>
      <w:r w:rsidRPr="00BE5D20">
        <w:rPr>
          <w:rFonts w:ascii="Arial" w:hAnsi="Arial" w:cs="Arial"/>
          <w:noProof/>
          <w:sz w:val="24"/>
          <w:szCs w:val="24"/>
          <w:lang w:eastAsia="ro-RO"/>
        </w:rPr>
        <w:drawing>
          <wp:inline distT="0" distB="0" distL="0" distR="0">
            <wp:extent cx="5667375" cy="2257425"/>
            <wp:effectExtent l="0" t="0" r="0" b="0"/>
            <wp:docPr id="90"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5D9F" w:rsidRPr="00BE5D20" w:rsidRDefault="00A25D9F" w:rsidP="00A25D9F">
      <w:pPr>
        <w:spacing w:after="0" w:line="240" w:lineRule="auto"/>
        <w:jc w:val="both"/>
        <w:rPr>
          <w:rFonts w:ascii="Arial" w:hAnsi="Arial" w:cs="Arial"/>
          <w:b/>
          <w:sz w:val="24"/>
          <w:szCs w:val="24"/>
        </w:rPr>
      </w:pPr>
    </w:p>
    <w:p w:rsidR="00A25D9F" w:rsidRPr="00BE5D20" w:rsidRDefault="00A25D9F" w:rsidP="00A25D9F">
      <w:pPr>
        <w:spacing w:after="0" w:line="240" w:lineRule="auto"/>
        <w:jc w:val="both"/>
        <w:rPr>
          <w:rFonts w:ascii="Arial" w:hAnsi="Arial" w:cs="Arial"/>
          <w:b/>
          <w:sz w:val="24"/>
          <w:szCs w:val="24"/>
        </w:rPr>
      </w:pPr>
      <w:r w:rsidRPr="00BE5D20">
        <w:rPr>
          <w:rFonts w:ascii="Arial" w:eastAsia="Times New Roman" w:hAnsi="Arial" w:cs="Arial"/>
          <w:iCs/>
          <w:color w:val="000000"/>
          <w:sz w:val="24"/>
          <w:szCs w:val="24"/>
          <w:lang w:eastAsia="ro-RO"/>
        </w:rPr>
        <w:t xml:space="preserve">Fig. I.1.1.2.8. </w:t>
      </w:r>
      <w:r w:rsidRPr="00BE5D20">
        <w:rPr>
          <w:rFonts w:ascii="Arial" w:hAnsi="Arial" w:cs="Arial"/>
          <w:sz w:val="24"/>
          <w:szCs w:val="24"/>
        </w:rPr>
        <w:t>Concentraţia medie anuală de pulber</w:t>
      </w:r>
      <w:r>
        <w:rPr>
          <w:rFonts w:ascii="Arial" w:hAnsi="Arial" w:cs="Arial"/>
          <w:sz w:val="24"/>
          <w:szCs w:val="24"/>
        </w:rPr>
        <w:t>i sedimentabile în perioada 2012</w:t>
      </w:r>
      <w:r w:rsidRPr="00BE5D20">
        <w:rPr>
          <w:rFonts w:ascii="Arial" w:hAnsi="Arial" w:cs="Arial"/>
          <w:sz w:val="24"/>
          <w:szCs w:val="24"/>
        </w:rPr>
        <w:t>-201</w:t>
      </w:r>
      <w:r>
        <w:rPr>
          <w:rFonts w:ascii="Arial" w:hAnsi="Arial" w:cs="Arial"/>
          <w:sz w:val="24"/>
          <w:szCs w:val="24"/>
        </w:rPr>
        <w:t>6</w:t>
      </w:r>
    </w:p>
    <w:p w:rsidR="002A7B1E" w:rsidRDefault="00A25D9F" w:rsidP="00A25D9F">
      <w:pPr>
        <w:tabs>
          <w:tab w:val="num" w:pos="0"/>
        </w:tabs>
        <w:spacing w:after="0" w:line="240" w:lineRule="auto"/>
        <w:jc w:val="both"/>
        <w:rPr>
          <w:rFonts w:ascii="Arial" w:hAnsi="Arial" w:cs="Arial"/>
          <w:b/>
          <w:sz w:val="24"/>
          <w:szCs w:val="24"/>
        </w:rPr>
      </w:pPr>
      <w:r w:rsidRPr="00BE5D20">
        <w:rPr>
          <w:rFonts w:ascii="Arial" w:hAnsi="Arial" w:cs="Arial"/>
          <w:b/>
          <w:sz w:val="24"/>
          <w:szCs w:val="24"/>
        </w:rPr>
        <w:t xml:space="preserve">         </w:t>
      </w:r>
      <w:r w:rsidR="00524A7D">
        <w:rPr>
          <w:rFonts w:ascii="Arial" w:hAnsi="Arial" w:cs="Arial"/>
          <w:b/>
          <w:sz w:val="24"/>
          <w:szCs w:val="24"/>
        </w:rPr>
        <w:tab/>
      </w:r>
      <w:r w:rsidR="00524A7D">
        <w:rPr>
          <w:rFonts w:ascii="Arial" w:hAnsi="Arial" w:cs="Arial"/>
          <w:b/>
          <w:sz w:val="24"/>
          <w:szCs w:val="24"/>
        </w:rPr>
        <w:tab/>
      </w:r>
      <w:r w:rsidR="00524A7D">
        <w:rPr>
          <w:rFonts w:ascii="Arial" w:hAnsi="Arial" w:cs="Arial"/>
          <w:b/>
          <w:sz w:val="24"/>
          <w:szCs w:val="24"/>
        </w:rPr>
        <w:tab/>
      </w:r>
      <w:r w:rsidR="00524A7D">
        <w:rPr>
          <w:rFonts w:ascii="Arial" w:hAnsi="Arial" w:cs="Arial"/>
          <w:b/>
          <w:sz w:val="24"/>
          <w:szCs w:val="24"/>
        </w:rPr>
        <w:tab/>
      </w:r>
      <w:r w:rsidR="00524A7D">
        <w:rPr>
          <w:rFonts w:ascii="Arial" w:hAnsi="Arial" w:cs="Arial"/>
          <w:b/>
          <w:sz w:val="24"/>
          <w:szCs w:val="24"/>
        </w:rPr>
        <w:tab/>
      </w:r>
      <w:r w:rsidR="00524A7D">
        <w:rPr>
          <w:rFonts w:ascii="Arial" w:hAnsi="Arial" w:cs="Arial"/>
          <w:b/>
          <w:sz w:val="24"/>
          <w:szCs w:val="24"/>
        </w:rPr>
        <w:tab/>
      </w:r>
      <w:r w:rsidR="00524A7D">
        <w:rPr>
          <w:rFonts w:ascii="Arial" w:hAnsi="Arial" w:cs="Arial"/>
          <w:b/>
          <w:sz w:val="24"/>
          <w:szCs w:val="24"/>
        </w:rPr>
        <w:tab/>
      </w:r>
      <w:r w:rsidR="00524A7D">
        <w:rPr>
          <w:rFonts w:ascii="Arial" w:hAnsi="Arial" w:cs="Arial"/>
          <w:b/>
          <w:sz w:val="24"/>
          <w:szCs w:val="24"/>
        </w:rPr>
        <w:tab/>
      </w:r>
      <w:r w:rsidR="00524A7D">
        <w:rPr>
          <w:rFonts w:ascii="Arial" w:hAnsi="Arial" w:cs="Arial"/>
          <w:b/>
          <w:sz w:val="24"/>
          <w:szCs w:val="24"/>
        </w:rPr>
        <w:tab/>
      </w:r>
      <w:r w:rsidR="00524A7D">
        <w:rPr>
          <w:rFonts w:ascii="Arial" w:hAnsi="Arial" w:cs="Arial"/>
          <w:b/>
          <w:sz w:val="24"/>
          <w:szCs w:val="24"/>
        </w:rPr>
        <w:tab/>
      </w:r>
      <w:r w:rsidR="00524A7D">
        <w:rPr>
          <w:rFonts w:ascii="Arial" w:hAnsi="Arial" w:cs="Arial"/>
          <w:b/>
          <w:sz w:val="24"/>
          <w:szCs w:val="24"/>
        </w:rPr>
        <w:tab/>
      </w:r>
    </w:p>
    <w:p w:rsidR="00A25D9F" w:rsidRPr="00BE5D20" w:rsidRDefault="002A7B1E" w:rsidP="00A25D9F">
      <w:pPr>
        <w:tabs>
          <w:tab w:val="num" w:pos="0"/>
        </w:tabs>
        <w:spacing w:after="0" w:line="240" w:lineRule="auto"/>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A25D9F" w:rsidRPr="00BE5D20">
        <w:rPr>
          <w:rFonts w:ascii="Arial" w:hAnsi="Arial" w:cs="Arial"/>
          <w:sz w:val="24"/>
          <w:szCs w:val="24"/>
        </w:rPr>
        <w:t xml:space="preserve">Tabel </w:t>
      </w:r>
      <w:r w:rsidR="00A25D9F" w:rsidRPr="00BE5D20">
        <w:rPr>
          <w:rFonts w:ascii="Arial" w:eastAsia="Times New Roman" w:hAnsi="Arial" w:cs="Arial"/>
          <w:iCs/>
          <w:color w:val="000000"/>
          <w:sz w:val="24"/>
          <w:szCs w:val="24"/>
          <w:lang w:eastAsia="ro-RO"/>
        </w:rPr>
        <w:t>I.1.1.2.8.</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2837"/>
        <w:gridCol w:w="850"/>
        <w:gridCol w:w="937"/>
        <w:gridCol w:w="992"/>
        <w:gridCol w:w="992"/>
        <w:gridCol w:w="984"/>
      </w:tblGrid>
      <w:tr w:rsidR="00A25D9F" w:rsidRPr="00BE5D20" w:rsidTr="00156E35">
        <w:trPr>
          <w:trHeight w:val="307"/>
          <w:jc w:val="center"/>
        </w:trPr>
        <w:tc>
          <w:tcPr>
            <w:tcW w:w="1323" w:type="dxa"/>
            <w:vMerge w:val="restart"/>
            <w:shd w:val="clear" w:color="auto" w:fill="D9D9D9"/>
            <w:vAlign w:val="center"/>
          </w:tcPr>
          <w:p w:rsidR="00A25D9F" w:rsidRPr="002D0C2A" w:rsidRDefault="00A25D9F" w:rsidP="00156E35">
            <w:pPr>
              <w:tabs>
                <w:tab w:val="num" w:pos="0"/>
              </w:tabs>
              <w:spacing w:after="0" w:line="240" w:lineRule="auto"/>
              <w:jc w:val="both"/>
              <w:rPr>
                <w:rFonts w:ascii="Arial" w:hAnsi="Arial" w:cs="Arial"/>
                <w:b/>
              </w:rPr>
            </w:pPr>
            <w:r w:rsidRPr="002D0C2A">
              <w:rPr>
                <w:rFonts w:ascii="Arial" w:hAnsi="Arial" w:cs="Arial"/>
                <w:b/>
              </w:rPr>
              <w:t>JUDEŢUL</w:t>
            </w:r>
          </w:p>
        </w:tc>
        <w:tc>
          <w:tcPr>
            <w:tcW w:w="2837" w:type="dxa"/>
            <w:vMerge w:val="restart"/>
            <w:shd w:val="clear" w:color="auto" w:fill="D9D9D9"/>
            <w:vAlign w:val="center"/>
          </w:tcPr>
          <w:p w:rsidR="00A25D9F" w:rsidRPr="002D0C2A" w:rsidRDefault="00A25D9F" w:rsidP="00156E35">
            <w:pPr>
              <w:tabs>
                <w:tab w:val="num" w:pos="0"/>
              </w:tabs>
              <w:spacing w:after="0" w:line="240" w:lineRule="auto"/>
              <w:jc w:val="both"/>
              <w:rPr>
                <w:rFonts w:ascii="Arial" w:hAnsi="Arial" w:cs="Arial"/>
                <w:b/>
              </w:rPr>
            </w:pPr>
            <w:r w:rsidRPr="002D0C2A">
              <w:rPr>
                <w:rFonts w:ascii="Arial" w:hAnsi="Arial" w:cs="Arial"/>
                <w:b/>
              </w:rPr>
              <w:t>Punct de prelevare</w:t>
            </w:r>
          </w:p>
        </w:tc>
        <w:tc>
          <w:tcPr>
            <w:tcW w:w="4755" w:type="dxa"/>
            <w:gridSpan w:val="5"/>
            <w:shd w:val="clear" w:color="auto" w:fill="D9D9D9"/>
            <w:vAlign w:val="center"/>
          </w:tcPr>
          <w:p w:rsidR="00A25D9F" w:rsidRPr="002D0C2A" w:rsidRDefault="00A25D9F" w:rsidP="002D0C2A">
            <w:pPr>
              <w:tabs>
                <w:tab w:val="num" w:pos="0"/>
              </w:tabs>
              <w:spacing w:after="0" w:line="240" w:lineRule="auto"/>
              <w:jc w:val="center"/>
              <w:rPr>
                <w:rFonts w:ascii="Arial" w:hAnsi="Arial" w:cs="Arial"/>
                <w:b/>
              </w:rPr>
            </w:pPr>
            <w:r w:rsidRPr="002D0C2A">
              <w:rPr>
                <w:rFonts w:ascii="Arial" w:hAnsi="Arial" w:cs="Arial"/>
                <w:b/>
              </w:rPr>
              <w:t>Concentraţie medie anuală</w:t>
            </w:r>
          </w:p>
          <w:p w:rsidR="00A25D9F" w:rsidRPr="002D0C2A" w:rsidRDefault="00A25D9F" w:rsidP="002D0C2A">
            <w:pPr>
              <w:tabs>
                <w:tab w:val="num" w:pos="0"/>
              </w:tabs>
              <w:spacing w:after="0" w:line="240" w:lineRule="auto"/>
              <w:jc w:val="center"/>
              <w:rPr>
                <w:rFonts w:ascii="Arial" w:hAnsi="Arial" w:cs="Arial"/>
                <w:b/>
              </w:rPr>
            </w:pPr>
            <w:r w:rsidRPr="002D0C2A">
              <w:rPr>
                <w:rFonts w:ascii="Arial" w:hAnsi="Arial" w:cs="Arial"/>
                <w:b/>
              </w:rPr>
              <w:t>(g/mp/luna)</w:t>
            </w:r>
          </w:p>
        </w:tc>
      </w:tr>
      <w:tr w:rsidR="00A25D9F" w:rsidRPr="00BE5D20" w:rsidTr="00156E35">
        <w:trPr>
          <w:trHeight w:val="307"/>
          <w:jc w:val="center"/>
        </w:trPr>
        <w:tc>
          <w:tcPr>
            <w:tcW w:w="1323" w:type="dxa"/>
            <w:vMerge/>
            <w:tcBorders>
              <w:bottom w:val="single" w:sz="4" w:space="0" w:color="auto"/>
            </w:tcBorders>
            <w:shd w:val="clear" w:color="auto" w:fill="E0E0E0"/>
            <w:vAlign w:val="center"/>
          </w:tcPr>
          <w:p w:rsidR="00A25D9F" w:rsidRPr="002D0C2A" w:rsidRDefault="00A25D9F" w:rsidP="00156E35">
            <w:pPr>
              <w:tabs>
                <w:tab w:val="num" w:pos="0"/>
              </w:tabs>
              <w:spacing w:after="0" w:line="240" w:lineRule="auto"/>
              <w:jc w:val="both"/>
              <w:rPr>
                <w:rFonts w:ascii="Arial" w:hAnsi="Arial" w:cs="Arial"/>
                <w:b/>
              </w:rPr>
            </w:pPr>
          </w:p>
        </w:tc>
        <w:tc>
          <w:tcPr>
            <w:tcW w:w="2837" w:type="dxa"/>
            <w:vMerge/>
            <w:shd w:val="clear" w:color="auto" w:fill="E0E0E0"/>
            <w:vAlign w:val="center"/>
          </w:tcPr>
          <w:p w:rsidR="00A25D9F" w:rsidRPr="002D0C2A" w:rsidRDefault="00A25D9F" w:rsidP="00156E35">
            <w:pPr>
              <w:tabs>
                <w:tab w:val="num" w:pos="0"/>
              </w:tabs>
              <w:spacing w:after="0" w:line="240" w:lineRule="auto"/>
              <w:jc w:val="both"/>
              <w:rPr>
                <w:rFonts w:ascii="Arial" w:hAnsi="Arial" w:cs="Arial"/>
                <w:b/>
              </w:rPr>
            </w:pPr>
          </w:p>
        </w:tc>
        <w:tc>
          <w:tcPr>
            <w:tcW w:w="850" w:type="dxa"/>
            <w:shd w:val="clear" w:color="auto" w:fill="E0E0E0"/>
            <w:vAlign w:val="center"/>
          </w:tcPr>
          <w:p w:rsidR="00A25D9F" w:rsidRPr="002D0C2A" w:rsidRDefault="00A25D9F" w:rsidP="002D0C2A">
            <w:pPr>
              <w:tabs>
                <w:tab w:val="num" w:pos="0"/>
              </w:tabs>
              <w:spacing w:after="0" w:line="240" w:lineRule="auto"/>
              <w:jc w:val="center"/>
              <w:rPr>
                <w:rFonts w:ascii="Arial" w:hAnsi="Arial" w:cs="Arial"/>
                <w:b/>
              </w:rPr>
            </w:pPr>
            <w:r w:rsidRPr="002D0C2A">
              <w:rPr>
                <w:rFonts w:ascii="Arial" w:hAnsi="Arial" w:cs="Arial"/>
                <w:b/>
              </w:rPr>
              <w:t>2012</w:t>
            </w:r>
          </w:p>
        </w:tc>
        <w:tc>
          <w:tcPr>
            <w:tcW w:w="937" w:type="dxa"/>
            <w:shd w:val="clear" w:color="auto" w:fill="E0E0E0"/>
            <w:vAlign w:val="center"/>
          </w:tcPr>
          <w:p w:rsidR="00A25D9F" w:rsidRPr="002D0C2A" w:rsidRDefault="00A25D9F" w:rsidP="002D0C2A">
            <w:pPr>
              <w:tabs>
                <w:tab w:val="num" w:pos="0"/>
              </w:tabs>
              <w:spacing w:after="0" w:line="240" w:lineRule="auto"/>
              <w:jc w:val="center"/>
              <w:rPr>
                <w:rFonts w:ascii="Arial" w:hAnsi="Arial" w:cs="Arial"/>
                <w:b/>
              </w:rPr>
            </w:pPr>
            <w:r w:rsidRPr="002D0C2A">
              <w:rPr>
                <w:rFonts w:ascii="Arial" w:hAnsi="Arial" w:cs="Arial"/>
                <w:b/>
              </w:rPr>
              <w:t>2013</w:t>
            </w:r>
          </w:p>
        </w:tc>
        <w:tc>
          <w:tcPr>
            <w:tcW w:w="992" w:type="dxa"/>
            <w:shd w:val="clear" w:color="auto" w:fill="E0E0E0"/>
            <w:vAlign w:val="center"/>
          </w:tcPr>
          <w:p w:rsidR="00A25D9F" w:rsidRPr="002D0C2A" w:rsidRDefault="00A25D9F" w:rsidP="002D0C2A">
            <w:pPr>
              <w:tabs>
                <w:tab w:val="num" w:pos="0"/>
              </w:tabs>
              <w:spacing w:after="0" w:line="240" w:lineRule="auto"/>
              <w:jc w:val="center"/>
              <w:rPr>
                <w:rFonts w:ascii="Arial" w:hAnsi="Arial" w:cs="Arial"/>
                <w:b/>
              </w:rPr>
            </w:pPr>
            <w:r w:rsidRPr="002D0C2A">
              <w:rPr>
                <w:rFonts w:ascii="Arial" w:hAnsi="Arial" w:cs="Arial"/>
                <w:b/>
              </w:rPr>
              <w:t>2014</w:t>
            </w:r>
          </w:p>
        </w:tc>
        <w:tc>
          <w:tcPr>
            <w:tcW w:w="992" w:type="dxa"/>
            <w:shd w:val="clear" w:color="auto" w:fill="E0E0E0"/>
            <w:vAlign w:val="center"/>
          </w:tcPr>
          <w:p w:rsidR="00A25D9F" w:rsidRPr="002D0C2A" w:rsidRDefault="00A25D9F" w:rsidP="002D0C2A">
            <w:pPr>
              <w:tabs>
                <w:tab w:val="num" w:pos="0"/>
              </w:tabs>
              <w:spacing w:after="0" w:line="240" w:lineRule="auto"/>
              <w:jc w:val="center"/>
              <w:rPr>
                <w:rFonts w:ascii="Arial" w:hAnsi="Arial" w:cs="Arial"/>
                <w:b/>
              </w:rPr>
            </w:pPr>
            <w:r w:rsidRPr="002D0C2A">
              <w:rPr>
                <w:rFonts w:ascii="Arial" w:hAnsi="Arial" w:cs="Arial"/>
                <w:b/>
              </w:rPr>
              <w:t>2015</w:t>
            </w:r>
          </w:p>
        </w:tc>
        <w:tc>
          <w:tcPr>
            <w:tcW w:w="984" w:type="dxa"/>
            <w:shd w:val="clear" w:color="auto" w:fill="E0E0E0"/>
            <w:vAlign w:val="center"/>
          </w:tcPr>
          <w:p w:rsidR="00A25D9F" w:rsidRPr="002D0C2A" w:rsidRDefault="00A25D9F" w:rsidP="002D0C2A">
            <w:pPr>
              <w:tabs>
                <w:tab w:val="num" w:pos="0"/>
              </w:tabs>
              <w:spacing w:after="0" w:line="240" w:lineRule="auto"/>
              <w:jc w:val="center"/>
              <w:rPr>
                <w:rFonts w:ascii="Arial" w:hAnsi="Arial" w:cs="Arial"/>
                <w:b/>
              </w:rPr>
            </w:pPr>
            <w:r w:rsidRPr="002D0C2A">
              <w:rPr>
                <w:rFonts w:ascii="Arial" w:hAnsi="Arial" w:cs="Arial"/>
                <w:b/>
              </w:rPr>
              <w:t>2016</w:t>
            </w:r>
          </w:p>
        </w:tc>
      </w:tr>
      <w:tr w:rsidR="00A25D9F" w:rsidRPr="00BE5D20" w:rsidTr="00156E35">
        <w:trPr>
          <w:trHeight w:val="307"/>
          <w:jc w:val="center"/>
        </w:trPr>
        <w:tc>
          <w:tcPr>
            <w:tcW w:w="1323" w:type="dxa"/>
            <w:vMerge w:val="restart"/>
            <w:shd w:val="clear" w:color="auto" w:fill="D9D9D9"/>
          </w:tcPr>
          <w:p w:rsidR="00A25D9F" w:rsidRPr="002D0C2A" w:rsidRDefault="00217620" w:rsidP="00156E35">
            <w:pPr>
              <w:tabs>
                <w:tab w:val="num" w:pos="0"/>
              </w:tabs>
              <w:spacing w:after="0" w:line="240" w:lineRule="auto"/>
              <w:jc w:val="both"/>
              <w:rPr>
                <w:rFonts w:ascii="Arial" w:hAnsi="Arial" w:cs="Arial"/>
              </w:rPr>
            </w:pPr>
            <w:r w:rsidRPr="002D0C2A">
              <w:rPr>
                <w:rFonts w:ascii="Arial" w:hAnsi="Arial" w:cs="Arial"/>
              </w:rPr>
              <w:t>Brăila</w:t>
            </w: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Sediu APM</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5,27</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5,64</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4,24</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4,78</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3,28</w:t>
            </w:r>
          </w:p>
        </w:tc>
      </w:tr>
      <w:tr w:rsidR="00A25D9F" w:rsidRPr="00BE5D20" w:rsidTr="00156E35">
        <w:trPr>
          <w:trHeight w:val="307"/>
          <w:jc w:val="center"/>
        </w:trPr>
        <w:tc>
          <w:tcPr>
            <w:tcW w:w="1323" w:type="dxa"/>
            <w:vMerge/>
            <w:shd w:val="clear" w:color="auto" w:fill="D9D9D9"/>
            <w:vAlign w:val="center"/>
          </w:tcPr>
          <w:p w:rsidR="00A25D9F" w:rsidRPr="002D0C2A" w:rsidRDefault="00A25D9F" w:rsidP="00156E35">
            <w:pPr>
              <w:spacing w:after="0" w:line="240" w:lineRule="auto"/>
              <w:jc w:val="both"/>
              <w:rPr>
                <w:rFonts w:ascii="Arial" w:hAnsi="Arial" w:cs="Arial"/>
                <w:b/>
              </w:rPr>
            </w:pP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Uzina de Apă</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7,01</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7,75</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6,23</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5,14</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8,28</w:t>
            </w:r>
          </w:p>
        </w:tc>
      </w:tr>
      <w:tr w:rsidR="00A25D9F" w:rsidRPr="00BE5D20" w:rsidTr="00156E35">
        <w:trPr>
          <w:trHeight w:val="307"/>
          <w:jc w:val="center"/>
        </w:trPr>
        <w:tc>
          <w:tcPr>
            <w:tcW w:w="1323" w:type="dxa"/>
            <w:vMerge/>
            <w:shd w:val="clear" w:color="auto" w:fill="D9D9D9"/>
            <w:vAlign w:val="center"/>
          </w:tcPr>
          <w:p w:rsidR="00A25D9F" w:rsidRPr="002D0C2A" w:rsidRDefault="00A25D9F" w:rsidP="00156E35">
            <w:pPr>
              <w:spacing w:after="0" w:line="240" w:lineRule="auto"/>
              <w:jc w:val="both"/>
              <w:rPr>
                <w:rFonts w:ascii="Arial" w:hAnsi="Arial" w:cs="Arial"/>
                <w:b/>
              </w:rPr>
            </w:pP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Vărsătura</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15,25</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16,89</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16,39</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20,40</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10,79</w:t>
            </w:r>
          </w:p>
        </w:tc>
      </w:tr>
      <w:tr w:rsidR="00A25D9F" w:rsidRPr="00BE5D20" w:rsidTr="00156E35">
        <w:trPr>
          <w:trHeight w:val="307"/>
          <w:jc w:val="center"/>
        </w:trPr>
        <w:tc>
          <w:tcPr>
            <w:tcW w:w="1323" w:type="dxa"/>
            <w:vMerge/>
            <w:shd w:val="clear" w:color="auto" w:fill="D9D9D9"/>
            <w:vAlign w:val="center"/>
          </w:tcPr>
          <w:p w:rsidR="00A25D9F" w:rsidRPr="002D0C2A" w:rsidRDefault="00A25D9F" w:rsidP="00156E35">
            <w:pPr>
              <w:spacing w:after="0" w:line="240" w:lineRule="auto"/>
              <w:jc w:val="both"/>
              <w:rPr>
                <w:rFonts w:ascii="Arial" w:hAnsi="Arial" w:cs="Arial"/>
                <w:b/>
              </w:rPr>
            </w:pP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Str.Gen.Gh.Avramescu</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13,91</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8,56</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6,61</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5,45</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7,68</w:t>
            </w:r>
          </w:p>
        </w:tc>
      </w:tr>
      <w:tr w:rsidR="00A25D9F" w:rsidRPr="00BE5D20" w:rsidTr="00156E35">
        <w:trPr>
          <w:trHeight w:val="307"/>
          <w:jc w:val="center"/>
        </w:trPr>
        <w:tc>
          <w:tcPr>
            <w:tcW w:w="1323" w:type="dxa"/>
            <w:vMerge/>
            <w:shd w:val="clear" w:color="auto" w:fill="D9D9D9"/>
            <w:vAlign w:val="center"/>
          </w:tcPr>
          <w:p w:rsidR="00A25D9F" w:rsidRPr="002D0C2A" w:rsidRDefault="00A25D9F" w:rsidP="00156E35">
            <w:pPr>
              <w:spacing w:after="0" w:line="240" w:lineRule="auto"/>
              <w:jc w:val="both"/>
              <w:rPr>
                <w:rFonts w:ascii="Arial" w:hAnsi="Arial" w:cs="Arial"/>
                <w:b/>
              </w:rPr>
            </w:pP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Staţia Nord</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5,34</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6,52</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5,88</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4,46</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5,12</w:t>
            </w:r>
          </w:p>
        </w:tc>
      </w:tr>
      <w:tr w:rsidR="00A25D9F" w:rsidRPr="00BE5D20" w:rsidTr="00156E35">
        <w:trPr>
          <w:trHeight w:val="307"/>
          <w:jc w:val="center"/>
        </w:trPr>
        <w:tc>
          <w:tcPr>
            <w:tcW w:w="1323" w:type="dxa"/>
            <w:vMerge/>
            <w:shd w:val="clear" w:color="auto" w:fill="D9D9D9"/>
            <w:vAlign w:val="center"/>
          </w:tcPr>
          <w:p w:rsidR="00A25D9F" w:rsidRPr="002D0C2A" w:rsidRDefault="00A25D9F" w:rsidP="00156E35">
            <w:pPr>
              <w:spacing w:after="0" w:line="240" w:lineRule="auto"/>
              <w:jc w:val="both"/>
              <w:rPr>
                <w:rFonts w:ascii="Arial" w:hAnsi="Arial" w:cs="Arial"/>
                <w:b/>
              </w:rPr>
            </w:pP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 xml:space="preserve">SC Hercules </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8,25</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10,16</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8,56</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8,77</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11,05</w:t>
            </w:r>
          </w:p>
        </w:tc>
      </w:tr>
      <w:tr w:rsidR="00A25D9F" w:rsidRPr="00BE5D20" w:rsidTr="00156E35">
        <w:trPr>
          <w:trHeight w:val="307"/>
          <w:jc w:val="center"/>
        </w:trPr>
        <w:tc>
          <w:tcPr>
            <w:tcW w:w="1323" w:type="dxa"/>
            <w:vMerge/>
            <w:shd w:val="clear" w:color="auto" w:fill="D9D9D9"/>
            <w:vAlign w:val="center"/>
          </w:tcPr>
          <w:p w:rsidR="00A25D9F" w:rsidRPr="002D0C2A" w:rsidRDefault="00A25D9F" w:rsidP="00156E35">
            <w:pPr>
              <w:spacing w:after="0" w:line="240" w:lineRule="auto"/>
              <w:jc w:val="both"/>
              <w:rPr>
                <w:rFonts w:ascii="Arial" w:hAnsi="Arial" w:cs="Arial"/>
                <w:b/>
              </w:rPr>
            </w:pP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Termoelectrica Chiscani</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5,78</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5,86</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5,88</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4,99</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4,66</w:t>
            </w:r>
          </w:p>
        </w:tc>
      </w:tr>
      <w:tr w:rsidR="00A25D9F" w:rsidRPr="00BE5D20" w:rsidTr="00156E35">
        <w:trPr>
          <w:trHeight w:val="307"/>
          <w:jc w:val="center"/>
        </w:trPr>
        <w:tc>
          <w:tcPr>
            <w:tcW w:w="1323" w:type="dxa"/>
            <w:vMerge/>
            <w:shd w:val="clear" w:color="auto" w:fill="D9D9D9"/>
            <w:vAlign w:val="center"/>
          </w:tcPr>
          <w:p w:rsidR="00A25D9F" w:rsidRPr="002D0C2A" w:rsidRDefault="00A25D9F" w:rsidP="00156E35">
            <w:pPr>
              <w:spacing w:after="0" w:line="240" w:lineRule="auto"/>
              <w:jc w:val="both"/>
              <w:rPr>
                <w:rFonts w:ascii="Arial" w:hAnsi="Arial" w:cs="Arial"/>
                <w:b/>
              </w:rPr>
            </w:pP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Str. Galați</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11,12</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11,78</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7,68</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6,94</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5,17</w:t>
            </w:r>
          </w:p>
        </w:tc>
      </w:tr>
      <w:tr w:rsidR="00A25D9F" w:rsidRPr="00BE5D20" w:rsidTr="00156E35">
        <w:trPr>
          <w:trHeight w:val="307"/>
          <w:jc w:val="center"/>
        </w:trPr>
        <w:tc>
          <w:tcPr>
            <w:tcW w:w="1323" w:type="dxa"/>
            <w:vMerge/>
            <w:shd w:val="clear" w:color="auto" w:fill="D9D9D9"/>
            <w:vAlign w:val="center"/>
          </w:tcPr>
          <w:p w:rsidR="00A25D9F" w:rsidRPr="002D0C2A" w:rsidRDefault="00A25D9F" w:rsidP="00156E35">
            <w:pPr>
              <w:spacing w:after="0" w:line="240" w:lineRule="auto"/>
              <w:jc w:val="both"/>
              <w:rPr>
                <w:rFonts w:ascii="Arial" w:hAnsi="Arial" w:cs="Arial"/>
                <w:b/>
              </w:rPr>
            </w:pP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Cazasu</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4,57</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4,30</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4,07</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4,75</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6,93</w:t>
            </w:r>
          </w:p>
        </w:tc>
      </w:tr>
      <w:tr w:rsidR="00A25D9F" w:rsidRPr="00BE5D20" w:rsidTr="00156E35">
        <w:trPr>
          <w:trHeight w:val="307"/>
          <w:jc w:val="center"/>
        </w:trPr>
        <w:tc>
          <w:tcPr>
            <w:tcW w:w="1323" w:type="dxa"/>
            <w:vMerge/>
            <w:shd w:val="clear" w:color="auto" w:fill="D9D9D9"/>
            <w:vAlign w:val="center"/>
          </w:tcPr>
          <w:p w:rsidR="00A25D9F" w:rsidRPr="002D0C2A" w:rsidRDefault="00A25D9F" w:rsidP="00156E35">
            <w:pPr>
              <w:spacing w:after="0" w:line="240" w:lineRule="auto"/>
              <w:jc w:val="both"/>
              <w:rPr>
                <w:rFonts w:ascii="Arial" w:hAnsi="Arial" w:cs="Arial"/>
                <w:b/>
              </w:rPr>
            </w:pPr>
          </w:p>
        </w:tc>
        <w:tc>
          <w:tcPr>
            <w:tcW w:w="2837" w:type="dxa"/>
            <w:vAlign w:val="center"/>
          </w:tcPr>
          <w:p w:rsidR="00A25D9F" w:rsidRPr="002D0C2A" w:rsidRDefault="00A25D9F" w:rsidP="00156E35">
            <w:pPr>
              <w:tabs>
                <w:tab w:val="num" w:pos="0"/>
              </w:tabs>
              <w:spacing w:after="0" w:line="240" w:lineRule="auto"/>
              <w:jc w:val="both"/>
              <w:rPr>
                <w:rFonts w:ascii="Arial" w:hAnsi="Arial" w:cs="Arial"/>
              </w:rPr>
            </w:pPr>
            <w:r w:rsidRPr="002D0C2A">
              <w:rPr>
                <w:rFonts w:ascii="Arial" w:hAnsi="Arial" w:cs="Arial"/>
              </w:rPr>
              <w:t>Primăria</w:t>
            </w:r>
            <w:r w:rsidR="00217620" w:rsidRPr="002D0C2A">
              <w:rPr>
                <w:rFonts w:ascii="Arial" w:hAnsi="Arial" w:cs="Arial"/>
              </w:rPr>
              <w:t>Brăila</w:t>
            </w:r>
          </w:p>
        </w:tc>
        <w:tc>
          <w:tcPr>
            <w:tcW w:w="850"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11,94</w:t>
            </w:r>
          </w:p>
        </w:tc>
        <w:tc>
          <w:tcPr>
            <w:tcW w:w="937"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10,90</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10,07</w:t>
            </w:r>
          </w:p>
        </w:tc>
        <w:tc>
          <w:tcPr>
            <w:tcW w:w="992"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7,31</w:t>
            </w:r>
          </w:p>
        </w:tc>
        <w:tc>
          <w:tcPr>
            <w:tcW w:w="984" w:type="dxa"/>
          </w:tcPr>
          <w:p w:rsidR="00A25D9F" w:rsidRPr="002D0C2A" w:rsidRDefault="00A25D9F" w:rsidP="002D0C2A">
            <w:pPr>
              <w:tabs>
                <w:tab w:val="num" w:pos="0"/>
              </w:tabs>
              <w:spacing w:after="0" w:line="240" w:lineRule="auto"/>
              <w:jc w:val="center"/>
              <w:rPr>
                <w:rFonts w:ascii="Arial" w:hAnsi="Arial" w:cs="Arial"/>
              </w:rPr>
            </w:pPr>
            <w:r w:rsidRPr="002D0C2A">
              <w:rPr>
                <w:rFonts w:ascii="Arial" w:hAnsi="Arial" w:cs="Arial"/>
              </w:rPr>
              <w:t>7,45</w:t>
            </w:r>
          </w:p>
        </w:tc>
      </w:tr>
      <w:tr w:rsidR="00A25D9F" w:rsidRPr="00BE5D20" w:rsidTr="00156E35">
        <w:trPr>
          <w:trHeight w:val="307"/>
          <w:jc w:val="center"/>
        </w:trPr>
        <w:tc>
          <w:tcPr>
            <w:tcW w:w="8915" w:type="dxa"/>
            <w:gridSpan w:val="7"/>
            <w:shd w:val="clear" w:color="auto" w:fill="D9D9D9"/>
            <w:vAlign w:val="center"/>
          </w:tcPr>
          <w:p w:rsidR="00A25D9F" w:rsidRPr="002D0C2A" w:rsidRDefault="00A25D9F" w:rsidP="00156E35">
            <w:pPr>
              <w:tabs>
                <w:tab w:val="num" w:pos="0"/>
              </w:tabs>
              <w:spacing w:after="0" w:line="240" w:lineRule="auto"/>
              <w:jc w:val="both"/>
              <w:rPr>
                <w:rFonts w:ascii="Arial" w:hAnsi="Arial" w:cs="Arial"/>
                <w:b/>
              </w:rPr>
            </w:pPr>
            <w:r w:rsidRPr="002D0C2A">
              <w:rPr>
                <w:rFonts w:ascii="Arial" w:hAnsi="Arial" w:cs="Arial"/>
                <w:b/>
              </w:rPr>
              <w:t>CMA =  17g/mp/luna</w:t>
            </w:r>
          </w:p>
        </w:tc>
      </w:tr>
    </w:tbl>
    <w:p w:rsidR="00A25D9F" w:rsidRPr="00BE5D20" w:rsidRDefault="00A25D9F" w:rsidP="00A25D9F">
      <w:pPr>
        <w:spacing w:after="0" w:line="240" w:lineRule="auto"/>
        <w:jc w:val="both"/>
        <w:rPr>
          <w:rFonts w:ascii="Arial" w:hAnsi="Arial" w:cs="Arial"/>
          <w:sz w:val="24"/>
          <w:szCs w:val="24"/>
        </w:rPr>
      </w:pPr>
    </w:p>
    <w:p w:rsidR="00A25D9F" w:rsidRPr="00BE5D20" w:rsidRDefault="00A25D9F" w:rsidP="00A25D9F">
      <w:pPr>
        <w:spacing w:after="0" w:line="240" w:lineRule="auto"/>
        <w:jc w:val="both"/>
        <w:rPr>
          <w:rFonts w:ascii="Arial" w:hAnsi="Arial" w:cs="Arial"/>
          <w:sz w:val="24"/>
          <w:szCs w:val="24"/>
        </w:rPr>
      </w:pPr>
      <w:r>
        <w:rPr>
          <w:rFonts w:ascii="Arial" w:hAnsi="Arial" w:cs="Arial"/>
          <w:sz w:val="24"/>
          <w:szCs w:val="24"/>
        </w:rPr>
        <w:t>Tendința mediei în ultimii trei</w:t>
      </w:r>
      <w:r w:rsidRPr="00BE5D20">
        <w:rPr>
          <w:rFonts w:ascii="Arial" w:hAnsi="Arial" w:cs="Arial"/>
          <w:sz w:val="24"/>
          <w:szCs w:val="24"/>
        </w:rPr>
        <w:t xml:space="preserve"> ani, la acest indicator, este în scădere în </w:t>
      </w:r>
      <w:r>
        <w:rPr>
          <w:rFonts w:ascii="Arial" w:hAnsi="Arial" w:cs="Arial"/>
          <w:sz w:val="24"/>
          <w:szCs w:val="24"/>
        </w:rPr>
        <w:t>4</w:t>
      </w:r>
      <w:r w:rsidRPr="00BE5D20">
        <w:rPr>
          <w:rFonts w:ascii="Arial" w:hAnsi="Arial" w:cs="Arial"/>
          <w:sz w:val="24"/>
          <w:szCs w:val="24"/>
        </w:rPr>
        <w:t>puncte de prelevare, ușoar</w:t>
      </w:r>
      <w:r>
        <w:rPr>
          <w:rFonts w:ascii="Arial" w:hAnsi="Arial" w:cs="Arial"/>
          <w:sz w:val="24"/>
          <w:szCs w:val="24"/>
        </w:rPr>
        <w:t>ă creștere în punctele Uzina de apa</w:t>
      </w:r>
      <w:r w:rsidRPr="00BE5D20">
        <w:rPr>
          <w:rFonts w:ascii="Arial" w:hAnsi="Arial" w:cs="Arial"/>
          <w:sz w:val="24"/>
          <w:szCs w:val="24"/>
        </w:rPr>
        <w:t>, Str.Gen.Gh.Avramescu</w:t>
      </w:r>
      <w:r>
        <w:rPr>
          <w:rFonts w:ascii="Arial" w:hAnsi="Arial" w:cs="Arial"/>
          <w:sz w:val="24"/>
          <w:szCs w:val="24"/>
        </w:rPr>
        <w:t>,</w:t>
      </w:r>
      <w:r w:rsidRPr="00BE5D20">
        <w:rPr>
          <w:rFonts w:ascii="Arial" w:hAnsi="Arial" w:cs="Arial"/>
          <w:sz w:val="24"/>
          <w:szCs w:val="24"/>
        </w:rPr>
        <w:t xml:space="preserve"> Stația Nord</w:t>
      </w:r>
      <w:r>
        <w:rPr>
          <w:rFonts w:ascii="Arial" w:hAnsi="Arial" w:cs="Arial"/>
          <w:sz w:val="24"/>
          <w:szCs w:val="24"/>
        </w:rPr>
        <w:t>.</w:t>
      </w:r>
    </w:p>
    <w:p w:rsidR="00700F4D" w:rsidRDefault="00700F4D" w:rsidP="00C625DB">
      <w:pPr>
        <w:tabs>
          <w:tab w:val="left" w:leader="dot" w:pos="9356"/>
        </w:tabs>
        <w:spacing w:after="0" w:line="240" w:lineRule="auto"/>
        <w:rPr>
          <w:rFonts w:ascii="Arial" w:hAnsi="Arial" w:cs="Arial"/>
          <w:b/>
          <w:i/>
          <w:sz w:val="24"/>
          <w:szCs w:val="24"/>
        </w:rPr>
      </w:pPr>
    </w:p>
    <w:p w:rsidR="00935C2D" w:rsidRPr="00C625DB" w:rsidRDefault="005D6311" w:rsidP="00C625DB">
      <w:pPr>
        <w:tabs>
          <w:tab w:val="left" w:leader="dot" w:pos="9356"/>
        </w:tabs>
        <w:spacing w:after="0" w:line="240" w:lineRule="auto"/>
        <w:rPr>
          <w:rFonts w:ascii="Arial" w:hAnsi="Arial" w:cs="Arial"/>
          <w:b/>
          <w:i/>
          <w:sz w:val="24"/>
          <w:szCs w:val="24"/>
        </w:rPr>
      </w:pPr>
      <w:r w:rsidRPr="00C625DB">
        <w:rPr>
          <w:rFonts w:ascii="Arial" w:hAnsi="Arial" w:cs="Arial"/>
          <w:b/>
          <w:i/>
          <w:sz w:val="24"/>
          <w:szCs w:val="24"/>
        </w:rPr>
        <w:t xml:space="preserve">  </w:t>
      </w:r>
      <w:r w:rsidR="00977BAE" w:rsidRPr="00C625DB">
        <w:rPr>
          <w:rFonts w:ascii="Arial" w:hAnsi="Arial" w:cs="Arial"/>
          <w:b/>
          <w:i/>
          <w:sz w:val="24"/>
          <w:szCs w:val="24"/>
        </w:rPr>
        <w:t>I.1.2.  Efectele poluării aerului înconjurător</w:t>
      </w:r>
    </w:p>
    <w:p w:rsidR="00977BAE" w:rsidRPr="00C625DB" w:rsidRDefault="00977BAE" w:rsidP="00C625DB">
      <w:pPr>
        <w:tabs>
          <w:tab w:val="left" w:leader="dot" w:pos="9356"/>
        </w:tabs>
        <w:spacing w:after="0" w:line="240" w:lineRule="auto"/>
        <w:rPr>
          <w:rFonts w:ascii="Arial" w:hAnsi="Arial" w:cs="Arial"/>
          <w:b/>
          <w:sz w:val="24"/>
          <w:szCs w:val="24"/>
        </w:rPr>
      </w:pPr>
      <w:r w:rsidRPr="00C625DB">
        <w:rPr>
          <w:rFonts w:ascii="Arial" w:hAnsi="Arial" w:cs="Arial"/>
          <w:i/>
          <w:sz w:val="24"/>
          <w:szCs w:val="24"/>
        </w:rPr>
        <w:t xml:space="preserve">             </w:t>
      </w:r>
      <w:r w:rsidRPr="00C625DB">
        <w:rPr>
          <w:rFonts w:ascii="Arial" w:hAnsi="Arial" w:cs="Arial"/>
          <w:sz w:val="24"/>
          <w:szCs w:val="24"/>
        </w:rPr>
        <w:t xml:space="preserve"> </w:t>
      </w:r>
      <w:r w:rsidRPr="00C625DB">
        <w:rPr>
          <w:rFonts w:ascii="Arial" w:hAnsi="Arial" w:cs="Arial"/>
          <w:b/>
          <w:sz w:val="24"/>
          <w:szCs w:val="24"/>
        </w:rPr>
        <w:t>I.1.2.1. Efectele poluării aerului înconjurător asupra sănătății</w:t>
      </w:r>
    </w:p>
    <w:p w:rsidR="00935C2D" w:rsidRPr="00C625DB" w:rsidRDefault="00977BAE" w:rsidP="00C625DB">
      <w:pPr>
        <w:tabs>
          <w:tab w:val="left" w:leader="dot" w:pos="9356"/>
        </w:tabs>
        <w:spacing w:after="0" w:line="240" w:lineRule="auto"/>
        <w:rPr>
          <w:rFonts w:ascii="Arial" w:hAnsi="Arial" w:cs="Arial"/>
          <w:b/>
          <w:sz w:val="24"/>
          <w:szCs w:val="24"/>
        </w:rPr>
      </w:pPr>
      <w:r w:rsidRPr="00C625DB">
        <w:rPr>
          <w:rFonts w:ascii="Arial" w:hAnsi="Arial" w:cs="Arial"/>
          <w:b/>
          <w:sz w:val="24"/>
          <w:szCs w:val="24"/>
        </w:rPr>
        <w:t xml:space="preserve">              I.1.2.2. Efectele poluării aerului înconjurător asupra ecosistemelor </w:t>
      </w:r>
    </w:p>
    <w:p w:rsidR="00977BAE" w:rsidRPr="00C625DB" w:rsidRDefault="00977BAE" w:rsidP="00C625DB">
      <w:pPr>
        <w:tabs>
          <w:tab w:val="left" w:leader="dot" w:pos="9356"/>
        </w:tabs>
        <w:spacing w:after="0" w:line="240" w:lineRule="auto"/>
        <w:rPr>
          <w:rFonts w:ascii="Arial" w:hAnsi="Arial" w:cs="Arial"/>
          <w:b/>
          <w:sz w:val="24"/>
          <w:szCs w:val="24"/>
        </w:rPr>
      </w:pPr>
      <w:r w:rsidRPr="00C625DB">
        <w:rPr>
          <w:rFonts w:ascii="Arial" w:hAnsi="Arial" w:cs="Arial"/>
          <w:b/>
          <w:sz w:val="24"/>
          <w:szCs w:val="24"/>
        </w:rPr>
        <w:t xml:space="preserve">              I.1.2.3. Efectele poluării aerului înconjurător asupra solului și vegetației </w:t>
      </w:r>
    </w:p>
    <w:p w:rsidR="00E2170A" w:rsidRPr="00C625DB" w:rsidRDefault="00E2170A" w:rsidP="00C625DB">
      <w:pPr>
        <w:spacing w:after="0" w:line="240" w:lineRule="auto"/>
        <w:jc w:val="center"/>
        <w:rPr>
          <w:rFonts w:ascii="Arial" w:hAnsi="Arial" w:cs="Arial"/>
          <w:b/>
          <w:sz w:val="20"/>
          <w:szCs w:val="20"/>
        </w:rPr>
      </w:pPr>
    </w:p>
    <w:p w:rsidR="005E33A1" w:rsidRDefault="005E33A1" w:rsidP="009B53B3">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lang w:val="fr-BE"/>
        </w:rPr>
        <w:lastRenderedPageBreak/>
        <w:t>I.2. Factoriideterminan</w:t>
      </w:r>
      <w:r w:rsidRPr="00E018F0">
        <w:rPr>
          <w:rFonts w:ascii="Arial" w:hAnsi="Arial" w:cs="Arial"/>
          <w:b/>
          <w:sz w:val="24"/>
          <w:szCs w:val="24"/>
        </w:rPr>
        <w:t>ți și presiunile care afectează starea de calitate a aerului înconjurător</w:t>
      </w:r>
    </w:p>
    <w:p w:rsidR="000D5637" w:rsidRDefault="000D5637" w:rsidP="000D5637">
      <w:pPr>
        <w:spacing w:after="0" w:line="240" w:lineRule="auto"/>
        <w:jc w:val="both"/>
        <w:rPr>
          <w:rFonts w:ascii="Arial" w:hAnsi="Arial" w:cs="Arial"/>
          <w:b/>
          <w:i/>
          <w:sz w:val="24"/>
          <w:szCs w:val="24"/>
        </w:rPr>
      </w:pPr>
      <w:r w:rsidRPr="00AB2BC1">
        <w:rPr>
          <w:rFonts w:ascii="Arial" w:hAnsi="Arial" w:cs="Arial"/>
          <w:b/>
          <w:i/>
          <w:sz w:val="24"/>
          <w:szCs w:val="24"/>
        </w:rPr>
        <w:t>I.2.1. Emisiile de poluanți atmosferici și principalele surse de emisie</w:t>
      </w:r>
    </w:p>
    <w:p w:rsidR="000D5637" w:rsidRPr="00AB2BC1" w:rsidRDefault="000D5637" w:rsidP="000D5637">
      <w:pPr>
        <w:spacing w:after="0" w:line="240" w:lineRule="auto"/>
        <w:jc w:val="both"/>
        <w:rPr>
          <w:rFonts w:ascii="Arial" w:hAnsi="Arial" w:cs="Arial"/>
          <w:b/>
          <w:sz w:val="24"/>
          <w:szCs w:val="24"/>
        </w:rPr>
      </w:pPr>
      <w:r>
        <w:rPr>
          <w:rFonts w:ascii="Arial" w:hAnsi="Arial" w:cs="Arial"/>
          <w:b/>
          <w:sz w:val="24"/>
          <w:szCs w:val="24"/>
        </w:rPr>
        <w:t>I.21.1.Energia</w:t>
      </w:r>
    </w:p>
    <w:p w:rsidR="000D5637" w:rsidRPr="004047AB" w:rsidRDefault="000D5637" w:rsidP="000D5637">
      <w:pPr>
        <w:spacing w:after="0" w:line="240" w:lineRule="auto"/>
        <w:jc w:val="both"/>
        <w:rPr>
          <w:rFonts w:ascii="Arial" w:hAnsi="Arial" w:cs="Arial"/>
          <w:sz w:val="24"/>
          <w:szCs w:val="24"/>
          <w:lang w:val="en-US"/>
        </w:rPr>
      </w:pPr>
      <w:r w:rsidRPr="004047AB">
        <w:rPr>
          <w:rFonts w:ascii="Arial" w:hAnsi="Arial" w:cs="Arial"/>
          <w:sz w:val="24"/>
          <w:szCs w:val="24"/>
          <w:lang w:val="en-US"/>
        </w:rPr>
        <w:t>Cod indicator România RO 01</w:t>
      </w:r>
    </w:p>
    <w:p w:rsidR="000D5637" w:rsidRPr="004047AB" w:rsidRDefault="000D5637" w:rsidP="000D5637">
      <w:pPr>
        <w:spacing w:after="0" w:line="240" w:lineRule="auto"/>
        <w:jc w:val="both"/>
        <w:rPr>
          <w:rFonts w:ascii="Arial" w:hAnsi="Arial" w:cs="Arial"/>
          <w:sz w:val="24"/>
          <w:szCs w:val="24"/>
          <w:lang w:val="en-US"/>
        </w:rPr>
      </w:pPr>
      <w:r w:rsidRPr="004047AB">
        <w:rPr>
          <w:rFonts w:ascii="Arial" w:hAnsi="Arial" w:cs="Arial"/>
          <w:sz w:val="24"/>
          <w:szCs w:val="24"/>
          <w:lang w:val="en-US"/>
        </w:rPr>
        <w:t>Emisiile de substanțeacidifiante</w:t>
      </w:r>
    </w:p>
    <w:p w:rsidR="000D5637" w:rsidRDefault="000D5637" w:rsidP="000D5637">
      <w:pPr>
        <w:spacing w:after="0" w:line="240" w:lineRule="auto"/>
        <w:jc w:val="both"/>
        <w:rPr>
          <w:rFonts w:ascii="Arial" w:hAnsi="Arial" w:cs="Arial"/>
          <w:sz w:val="24"/>
          <w:szCs w:val="24"/>
          <w:lang w:val="fr-BE"/>
        </w:rPr>
      </w:pPr>
      <w:r w:rsidRPr="004047AB">
        <w:rPr>
          <w:rFonts w:ascii="Arial" w:hAnsi="Arial" w:cs="Arial"/>
          <w:sz w:val="24"/>
          <w:szCs w:val="24"/>
          <w:lang w:val="en-US"/>
        </w:rPr>
        <w:t>Indicatorulurmăreștetendințeleemisiilorantropice ale substanțeloracidifiante :oxizi de azot (NOx), amoniac (NH</w:t>
      </w:r>
      <w:r w:rsidRPr="004047AB">
        <w:rPr>
          <w:rFonts w:ascii="Arial" w:hAnsi="Arial" w:cs="Arial"/>
          <w:sz w:val="24"/>
          <w:szCs w:val="24"/>
          <w:vertAlign w:val="subscript"/>
          <w:lang w:val="en-US"/>
        </w:rPr>
        <w:t>3</w:t>
      </w:r>
      <w:r w:rsidRPr="004047AB">
        <w:rPr>
          <w:rFonts w:ascii="Arial" w:hAnsi="Arial" w:cs="Arial"/>
          <w:sz w:val="24"/>
          <w:szCs w:val="24"/>
          <w:lang w:val="en-US"/>
        </w:rPr>
        <w:t>) șioxizi de sulf (SOx, SO</w:t>
      </w:r>
      <w:r w:rsidRPr="004047AB">
        <w:rPr>
          <w:rFonts w:ascii="Arial" w:hAnsi="Arial" w:cs="Arial"/>
          <w:sz w:val="24"/>
          <w:szCs w:val="24"/>
          <w:vertAlign w:val="subscript"/>
          <w:lang w:val="en-US"/>
        </w:rPr>
        <w:t>2</w:t>
      </w:r>
      <w:r w:rsidRPr="004047AB">
        <w:rPr>
          <w:rFonts w:ascii="Arial" w:hAnsi="Arial" w:cs="Arial"/>
          <w:sz w:val="24"/>
          <w:szCs w:val="24"/>
          <w:lang w:val="en-US"/>
        </w:rPr>
        <w:t xml:space="preserve">). </w:t>
      </w:r>
      <w:r>
        <w:rPr>
          <w:rFonts w:ascii="Arial" w:hAnsi="Arial" w:cs="Arial"/>
          <w:sz w:val="24"/>
          <w:szCs w:val="24"/>
          <w:lang w:val="fr-BE"/>
        </w:rPr>
        <w:t>Principalelesectoaresursă de emisii de substanțe acidifiante sunt: producțiașidistribuțiaenergiei, utlizareaenergieiîn industrie, proceseleindustriale, transportulrutier, nerutier, sectorulcomercial, industrial.</w:t>
      </w:r>
    </w:p>
    <w:p w:rsidR="000D5637" w:rsidRPr="00C82BD6" w:rsidRDefault="000D5637" w:rsidP="000D5637">
      <w:pPr>
        <w:tabs>
          <w:tab w:val="num" w:pos="0"/>
        </w:tabs>
        <w:spacing w:after="0" w:line="240" w:lineRule="auto"/>
        <w:jc w:val="both"/>
        <w:rPr>
          <w:rFonts w:ascii="Arial" w:hAnsi="Arial" w:cs="Arial"/>
          <w:sz w:val="24"/>
          <w:szCs w:val="24"/>
        </w:rPr>
      </w:pPr>
      <w:r w:rsidRPr="00C82BD6">
        <w:rPr>
          <w:rFonts w:ascii="Arial" w:hAnsi="Arial" w:cs="Arial"/>
          <w:sz w:val="24"/>
          <w:szCs w:val="24"/>
        </w:rPr>
        <w:t xml:space="preserve">Acidifierea este procesul de modificare a caracterului chimic natural al unui component al mediului, conducând la modificarea pH-ului aerului, precipitaţiilor şi chiar al solului. </w:t>
      </w:r>
    </w:p>
    <w:p w:rsidR="000D5637" w:rsidRPr="005B44FF" w:rsidRDefault="000D5637" w:rsidP="000D5637">
      <w:pPr>
        <w:spacing w:after="0" w:line="240" w:lineRule="auto"/>
        <w:jc w:val="both"/>
        <w:rPr>
          <w:rFonts w:ascii="Arial" w:hAnsi="Arial" w:cs="Arial"/>
          <w:sz w:val="24"/>
          <w:szCs w:val="24"/>
        </w:rPr>
      </w:pPr>
      <w:r w:rsidRPr="00C82BD6">
        <w:rPr>
          <w:rFonts w:ascii="Arial" w:hAnsi="Arial" w:cs="Arial"/>
          <w:bCs/>
          <w:sz w:val="24"/>
          <w:szCs w:val="24"/>
        </w:rPr>
        <w:t xml:space="preserve">Acidifierea atmosferei este produsă de transformarea emisiilor de </w:t>
      </w:r>
      <w:r w:rsidRPr="00C82BD6">
        <w:rPr>
          <w:rFonts w:ascii="Arial" w:hAnsi="Arial" w:cs="Arial"/>
          <w:sz w:val="24"/>
          <w:szCs w:val="24"/>
        </w:rPr>
        <w:t>oxizii de sulf, oxizii de azot  şi amoniac</w:t>
      </w:r>
      <w:r w:rsidRPr="00C82BD6">
        <w:rPr>
          <w:rFonts w:ascii="Arial" w:hAnsi="Arial" w:cs="Arial"/>
          <w:b/>
          <w:sz w:val="24"/>
          <w:szCs w:val="24"/>
        </w:rPr>
        <w:t xml:space="preserve"> în substanţe acide. </w:t>
      </w:r>
      <w:r w:rsidRPr="00C82BD6">
        <w:rPr>
          <w:rFonts w:ascii="Arial" w:hAnsi="Arial" w:cs="Arial"/>
          <w:bCs/>
          <w:sz w:val="24"/>
          <w:szCs w:val="24"/>
        </w:rPr>
        <w:t>Efectul sinergic al acestor poluanţi are un impact semnificativ asupra factorilor de mediu: aer, apă şi sol</w:t>
      </w:r>
      <w:r>
        <w:rPr>
          <w:rFonts w:ascii="Arial" w:hAnsi="Arial" w:cs="Arial"/>
          <w:bCs/>
          <w:sz w:val="24"/>
          <w:szCs w:val="24"/>
        </w:rPr>
        <w:t>.</w:t>
      </w:r>
    </w:p>
    <w:p w:rsidR="000D5637" w:rsidRDefault="000D5637" w:rsidP="000D5637">
      <w:pPr>
        <w:spacing w:after="0" w:line="240" w:lineRule="auto"/>
        <w:jc w:val="both"/>
        <w:rPr>
          <w:rFonts w:ascii="Arial" w:hAnsi="Arial" w:cs="Arial"/>
          <w:b/>
          <w:color w:val="FF0000"/>
          <w:sz w:val="24"/>
          <w:szCs w:val="24"/>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Fig.nr.I.2.1-1</w:t>
      </w:r>
    </w:p>
    <w:p w:rsidR="000D5637" w:rsidRDefault="000D5637" w:rsidP="000D5637">
      <w:pPr>
        <w:spacing w:after="0" w:line="240" w:lineRule="auto"/>
        <w:jc w:val="center"/>
        <w:rPr>
          <w:rFonts w:ascii="Arial" w:hAnsi="Arial" w:cs="Arial"/>
          <w:sz w:val="24"/>
          <w:szCs w:val="24"/>
        </w:rPr>
      </w:pPr>
      <w:r w:rsidRPr="009E1F57">
        <w:rPr>
          <w:rFonts w:ascii="Arial" w:hAnsi="Arial" w:cs="Arial"/>
          <w:noProof/>
          <w:sz w:val="24"/>
          <w:szCs w:val="24"/>
          <w:lang w:eastAsia="ro-RO"/>
        </w:rPr>
        <w:drawing>
          <wp:inline distT="0" distB="0" distL="0" distR="0">
            <wp:extent cx="4714875" cy="2428875"/>
            <wp:effectExtent l="19050" t="0" r="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D5637" w:rsidRDefault="000D5637" w:rsidP="000D5637">
      <w:pPr>
        <w:spacing w:after="0" w:line="240" w:lineRule="auto"/>
        <w:jc w:val="both"/>
        <w:rPr>
          <w:rFonts w:ascii="Arial" w:hAnsi="Arial" w:cs="Arial"/>
          <w:sz w:val="24"/>
          <w:szCs w:val="24"/>
        </w:rPr>
      </w:pPr>
    </w:p>
    <w:p w:rsidR="000D5637" w:rsidRPr="00263640" w:rsidRDefault="000D5637" w:rsidP="000D5637">
      <w:pPr>
        <w:spacing w:after="0" w:line="240" w:lineRule="auto"/>
        <w:jc w:val="both"/>
        <w:rPr>
          <w:rFonts w:ascii="Arial" w:hAnsi="Arial" w:cs="Arial"/>
          <w:sz w:val="24"/>
          <w:szCs w:val="24"/>
        </w:rPr>
      </w:pPr>
      <w:r w:rsidRPr="00263640">
        <w:rPr>
          <w:rFonts w:ascii="Arial" w:hAnsi="Arial" w:cs="Arial"/>
          <w:sz w:val="24"/>
          <w:szCs w:val="24"/>
        </w:rPr>
        <w:t>Cod indicator România RO 02</w:t>
      </w:r>
    </w:p>
    <w:p w:rsidR="000D5637" w:rsidRPr="00263640" w:rsidRDefault="000D5637" w:rsidP="000D5637">
      <w:pPr>
        <w:spacing w:after="0" w:line="240" w:lineRule="auto"/>
        <w:jc w:val="both"/>
        <w:rPr>
          <w:rFonts w:ascii="Arial" w:hAnsi="Arial" w:cs="Arial"/>
          <w:sz w:val="24"/>
          <w:szCs w:val="24"/>
        </w:rPr>
      </w:pPr>
      <w:r w:rsidRPr="00263640">
        <w:rPr>
          <w:rFonts w:ascii="Arial" w:hAnsi="Arial" w:cs="Arial"/>
          <w:sz w:val="24"/>
          <w:szCs w:val="24"/>
        </w:rPr>
        <w:t>Emisiile de precursori ai ozonului</w:t>
      </w:r>
    </w:p>
    <w:p w:rsidR="000D5637" w:rsidRPr="00E018F0" w:rsidRDefault="000D5637" w:rsidP="000D5637">
      <w:pPr>
        <w:spacing w:after="0" w:line="240" w:lineRule="auto"/>
        <w:jc w:val="both"/>
        <w:rPr>
          <w:rFonts w:ascii="Arial" w:hAnsi="Arial" w:cs="Arial"/>
          <w:sz w:val="24"/>
          <w:szCs w:val="24"/>
        </w:rPr>
      </w:pPr>
      <w:r w:rsidRPr="00263640">
        <w:rPr>
          <w:rFonts w:ascii="Arial" w:hAnsi="Arial" w:cs="Arial"/>
          <w:sz w:val="24"/>
          <w:szCs w:val="24"/>
        </w:rPr>
        <w:t>Indicatorul urmărește tendințele emisiilor antropice de pol</w:t>
      </w:r>
      <w:r w:rsidRPr="00E018F0">
        <w:rPr>
          <w:rFonts w:ascii="Arial" w:hAnsi="Arial" w:cs="Arial"/>
          <w:sz w:val="24"/>
          <w:szCs w:val="24"/>
        </w:rPr>
        <w:t>uanți precursori ai ozonului: oxizi de azot (NOx), monoxid de carbon (CO), metan(CH</w:t>
      </w:r>
      <w:r w:rsidRPr="00E018F0">
        <w:rPr>
          <w:rFonts w:ascii="Arial" w:hAnsi="Arial" w:cs="Arial"/>
          <w:sz w:val="24"/>
          <w:szCs w:val="24"/>
          <w:vertAlign w:val="subscript"/>
        </w:rPr>
        <w:t>4</w:t>
      </w:r>
      <w:r w:rsidRPr="00E018F0">
        <w:rPr>
          <w:rFonts w:ascii="Arial" w:hAnsi="Arial" w:cs="Arial"/>
          <w:sz w:val="24"/>
          <w:szCs w:val="24"/>
        </w:rPr>
        <w:t>) și compuși organici volatili nemetanici(COVNM) proveniți din: producția și distribuția energiei, utilizarea energiei în industrie, procesele industriale, transportul rutier, nerutier, sectorul comercial, industrial.</w:t>
      </w:r>
    </w:p>
    <w:p w:rsidR="000D5637" w:rsidRPr="00E018F0" w:rsidRDefault="000D5637" w:rsidP="000D5637">
      <w:pPr>
        <w:spacing w:after="0" w:line="240" w:lineRule="auto"/>
        <w:jc w:val="both"/>
        <w:rPr>
          <w:rFonts w:ascii="Arial" w:hAnsi="Arial" w:cs="Arial"/>
          <w:sz w:val="24"/>
          <w:szCs w:val="24"/>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nr.I.2.1-2</w:t>
      </w:r>
    </w:p>
    <w:p w:rsidR="000D5637" w:rsidRPr="003F517B" w:rsidRDefault="000D5637" w:rsidP="000D5637">
      <w:pPr>
        <w:tabs>
          <w:tab w:val="left" w:pos="1215"/>
        </w:tabs>
        <w:spacing w:after="0" w:line="240" w:lineRule="auto"/>
        <w:jc w:val="center"/>
        <w:rPr>
          <w:rFonts w:ascii="Arial" w:hAnsi="Arial" w:cs="Arial"/>
          <w:sz w:val="24"/>
          <w:szCs w:val="24"/>
          <w:lang w:val="fr-BE"/>
        </w:rPr>
      </w:pPr>
      <w:r w:rsidRPr="0026738F">
        <w:rPr>
          <w:rFonts w:ascii="Arial" w:hAnsi="Arial" w:cs="Arial"/>
          <w:noProof/>
          <w:sz w:val="24"/>
          <w:szCs w:val="24"/>
          <w:lang w:eastAsia="ro-RO"/>
        </w:rPr>
        <w:drawing>
          <wp:inline distT="0" distB="0" distL="0" distR="0">
            <wp:extent cx="5057775" cy="2143125"/>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5637" w:rsidRDefault="000D5637" w:rsidP="000D5637">
      <w:pPr>
        <w:spacing w:after="0" w:line="240" w:lineRule="auto"/>
        <w:jc w:val="both"/>
        <w:rPr>
          <w:rFonts w:ascii="Arial" w:hAnsi="Arial" w:cs="Arial"/>
          <w:sz w:val="24"/>
          <w:szCs w:val="24"/>
        </w:rPr>
      </w:pPr>
      <w:r w:rsidRPr="00C82BD6">
        <w:rPr>
          <w:rFonts w:ascii="Arial" w:hAnsi="Arial" w:cs="Arial"/>
          <w:sz w:val="24"/>
          <w:szCs w:val="24"/>
        </w:rPr>
        <w:lastRenderedPageBreak/>
        <w:t>Emisiile de oxizi de azot provin în pri</w:t>
      </w:r>
      <w:r>
        <w:rPr>
          <w:rFonts w:ascii="Arial" w:hAnsi="Arial" w:cs="Arial"/>
          <w:sz w:val="24"/>
          <w:szCs w:val="24"/>
        </w:rPr>
        <w:t>ncipal din</w:t>
      </w:r>
      <w:r w:rsidRPr="00C82BD6">
        <w:rPr>
          <w:rFonts w:ascii="Arial" w:hAnsi="Arial" w:cs="Arial"/>
          <w:sz w:val="24"/>
          <w:szCs w:val="24"/>
        </w:rPr>
        <w:t xml:space="preserve"> traficul rutier</w:t>
      </w:r>
      <w:r>
        <w:rPr>
          <w:rFonts w:ascii="Arial" w:hAnsi="Arial" w:cs="Arial"/>
          <w:sz w:val="24"/>
          <w:szCs w:val="24"/>
        </w:rPr>
        <w:t>, dinindustria energetică</w:t>
      </w:r>
      <w:r w:rsidRPr="00C82BD6">
        <w:rPr>
          <w:rFonts w:ascii="Arial" w:hAnsi="Arial" w:cs="Arial"/>
          <w:sz w:val="24"/>
          <w:szCs w:val="24"/>
        </w:rPr>
        <w:t xml:space="preserve"> şi din industria de prelucrare.</w:t>
      </w:r>
    </w:p>
    <w:p w:rsidR="000D5637" w:rsidRPr="00A40F43" w:rsidRDefault="000D5637" w:rsidP="000D5637">
      <w:pPr>
        <w:pStyle w:val="BodyTextIndent"/>
        <w:rPr>
          <w:rFonts w:ascii="Arial" w:hAnsi="Arial" w:cs="Arial"/>
          <w:sz w:val="24"/>
          <w:szCs w:val="24"/>
        </w:rPr>
      </w:pPr>
      <w:r w:rsidRPr="00A40F43">
        <w:rPr>
          <w:rFonts w:ascii="Arial" w:hAnsi="Arial" w:cs="Arial"/>
          <w:sz w:val="24"/>
          <w:szCs w:val="24"/>
        </w:rPr>
        <w:t xml:space="preserve">Compuşii organici volatili (COV) sunt compuşi chimici care au o presiune a vaporilor crescută, de unde rezultă volatilitatea lor ridicată.Aceste emisii sunt generate preponderent din activităţile de extractie, de stocare şi distribuţie a combustibililor fosili. </w:t>
      </w:r>
    </w:p>
    <w:p w:rsidR="000D5637" w:rsidRPr="00865683" w:rsidRDefault="000D5637" w:rsidP="000D5637">
      <w:pPr>
        <w:spacing w:after="0" w:line="240" w:lineRule="auto"/>
        <w:jc w:val="both"/>
        <w:rPr>
          <w:rFonts w:ascii="Arial" w:hAnsi="Arial" w:cs="Arial"/>
          <w:sz w:val="24"/>
          <w:szCs w:val="24"/>
        </w:rPr>
      </w:pPr>
      <w:r w:rsidRPr="00865683">
        <w:rPr>
          <w:rFonts w:ascii="Arial" w:hAnsi="Arial" w:cs="Arial"/>
          <w:sz w:val="24"/>
          <w:szCs w:val="24"/>
        </w:rPr>
        <w:t>Cod indicator România RO 03</w:t>
      </w:r>
    </w:p>
    <w:p w:rsidR="000D5637"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primareșiprecursorisecundari de particule</w:t>
      </w:r>
    </w:p>
    <w:p w:rsidR="000D5637"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Indicatorulurmăreștetendințeleemisiilor de particule primare cu diametrul mai mic de 2,5µm (PM</w:t>
      </w:r>
      <w:r w:rsidRPr="00AC7ABD">
        <w:rPr>
          <w:rFonts w:ascii="Arial" w:hAnsi="Arial" w:cs="Arial"/>
          <w:sz w:val="24"/>
          <w:szCs w:val="24"/>
          <w:vertAlign w:val="subscript"/>
          <w:lang w:val="fr-BE"/>
        </w:rPr>
        <w:t>2,5</w:t>
      </w:r>
      <w:r>
        <w:rPr>
          <w:rFonts w:ascii="Arial" w:hAnsi="Arial" w:cs="Arial"/>
          <w:sz w:val="24"/>
          <w:szCs w:val="24"/>
          <w:lang w:val="fr-BE"/>
        </w:rPr>
        <w:t>) șirespectiv 10µm (PM</w:t>
      </w:r>
      <w:r>
        <w:rPr>
          <w:rFonts w:ascii="Arial" w:hAnsi="Arial" w:cs="Arial"/>
          <w:sz w:val="24"/>
          <w:szCs w:val="24"/>
          <w:vertAlign w:val="subscript"/>
          <w:lang w:val="fr-BE"/>
        </w:rPr>
        <w:t>10</w:t>
      </w:r>
      <w:r>
        <w:rPr>
          <w:rFonts w:ascii="Arial" w:hAnsi="Arial" w:cs="Arial"/>
          <w:sz w:val="24"/>
          <w:szCs w:val="24"/>
          <w:lang w:val="fr-BE"/>
        </w:rPr>
        <w:t>) provenite de la sursele antropice pe sectoare de sursă: producția și distribuția energiei, utilizarea energiei în industrie, procesele industriale, transportul rutier, nerutier, sectorul comercial, industrial.</w:t>
      </w:r>
    </w:p>
    <w:p w:rsidR="000D5637" w:rsidRDefault="000D5637" w:rsidP="000D5637">
      <w:pPr>
        <w:spacing w:after="0" w:line="240" w:lineRule="auto"/>
        <w:jc w:val="both"/>
        <w:rPr>
          <w:rFonts w:ascii="Arial" w:hAnsi="Arial" w:cs="Arial"/>
          <w:sz w:val="24"/>
          <w:szCs w:val="24"/>
          <w:lang w:val="fr-BE"/>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nr.I.2.1-3</w:t>
      </w:r>
    </w:p>
    <w:p w:rsidR="000D5637" w:rsidRDefault="000D5637" w:rsidP="000D5637">
      <w:pPr>
        <w:spacing w:after="0" w:line="240" w:lineRule="auto"/>
        <w:jc w:val="center"/>
        <w:rPr>
          <w:rFonts w:ascii="Arial" w:hAnsi="Arial" w:cs="Arial"/>
          <w:sz w:val="24"/>
          <w:szCs w:val="24"/>
        </w:rPr>
      </w:pPr>
      <w:r w:rsidRPr="00900E48">
        <w:rPr>
          <w:rFonts w:ascii="Arial" w:hAnsi="Arial" w:cs="Arial"/>
          <w:noProof/>
          <w:sz w:val="24"/>
          <w:szCs w:val="24"/>
          <w:lang w:eastAsia="ro-RO"/>
        </w:rPr>
        <w:drawing>
          <wp:inline distT="0" distB="0" distL="0" distR="0">
            <wp:extent cx="5038725" cy="2419350"/>
            <wp:effectExtent l="0" t="0" r="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D5637" w:rsidRPr="009D7F1C"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Cod indicator România RO 38</w:t>
      </w:r>
    </w:p>
    <w:p w:rsidR="000D5637" w:rsidRDefault="000D5637" w:rsidP="000D5637">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metale grele</w:t>
      </w:r>
    </w:p>
    <w:p w:rsidR="000D5637"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Indicatorul urmărește tendințele emisiilor antropice pe sectoarede activitate: producția și distribuția energiei, utilizarea energieiîn industrie, procesele industriale, transportul rutier, nerutier, sectorul comercial, industrial.</w:t>
      </w:r>
    </w:p>
    <w:p w:rsidR="000D5637" w:rsidRDefault="000D5637" w:rsidP="000D5637">
      <w:pPr>
        <w:tabs>
          <w:tab w:val="left" w:pos="5025"/>
        </w:tabs>
        <w:spacing w:after="0" w:line="240" w:lineRule="auto"/>
        <w:jc w:val="both"/>
        <w:rPr>
          <w:rFonts w:ascii="Arial" w:hAnsi="Arial" w:cs="Arial"/>
          <w:b/>
          <w:color w:val="FF0000"/>
          <w:sz w:val="24"/>
          <w:szCs w:val="24"/>
        </w:rPr>
      </w:pPr>
      <w:r w:rsidRPr="00334127">
        <w:rPr>
          <w:rFonts w:ascii="Arial" w:hAnsi="Arial" w:cs="Arial"/>
          <w:sz w:val="24"/>
          <w:szCs w:val="24"/>
        </w:rPr>
        <w:t xml:space="preserve">Principalele activităţi generatoare de emisii cu conţinut de metale grele </w:t>
      </w:r>
      <w:r>
        <w:rPr>
          <w:rFonts w:ascii="Arial" w:hAnsi="Arial" w:cs="Arial"/>
          <w:sz w:val="24"/>
          <w:szCs w:val="24"/>
        </w:rPr>
        <w:t>sunt traficul naval,</w:t>
      </w:r>
      <w:r w:rsidRPr="00334127">
        <w:rPr>
          <w:rFonts w:ascii="Arial" w:hAnsi="Arial" w:cs="Arial"/>
          <w:sz w:val="24"/>
          <w:szCs w:val="24"/>
        </w:rPr>
        <w:t xml:space="preserve"> traficul rutier</w:t>
      </w:r>
      <w:r>
        <w:rPr>
          <w:rFonts w:ascii="Arial" w:hAnsi="Arial" w:cs="Arial"/>
          <w:sz w:val="24"/>
          <w:szCs w:val="24"/>
        </w:rPr>
        <w:t>.</w:t>
      </w:r>
    </w:p>
    <w:p w:rsidR="000D5637"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w:t>
      </w:r>
      <w:r>
        <w:rPr>
          <w:rFonts w:ascii="Arial" w:hAnsi="Arial" w:cs="Arial"/>
          <w:b/>
          <w:color w:val="FF0000"/>
          <w:sz w:val="24"/>
          <w:szCs w:val="24"/>
        </w:rPr>
        <w:t xml:space="preserve"> </w:t>
      </w:r>
      <w:r w:rsidRPr="00982309">
        <w:rPr>
          <w:rFonts w:ascii="Arial" w:hAnsi="Arial" w:cs="Arial"/>
          <w:b/>
          <w:color w:val="FF0000"/>
          <w:sz w:val="24"/>
          <w:szCs w:val="24"/>
        </w:rPr>
        <w:t>4</w:t>
      </w:r>
    </w:p>
    <w:p w:rsidR="000D5637" w:rsidRPr="00982309" w:rsidRDefault="004775EA" w:rsidP="000D5637">
      <w:pPr>
        <w:spacing w:after="0" w:line="240" w:lineRule="auto"/>
        <w:jc w:val="both"/>
        <w:rPr>
          <w:rFonts w:ascii="Arial" w:hAnsi="Arial" w:cs="Arial"/>
          <w:b/>
          <w:color w:val="FF0000"/>
          <w:sz w:val="24"/>
          <w:szCs w:val="24"/>
        </w:rPr>
      </w:pPr>
      <w:r>
        <w:rPr>
          <w:rFonts w:ascii="Arial" w:hAnsi="Arial" w:cs="Arial"/>
          <w:b/>
          <w:noProof/>
          <w:color w:val="FF0000"/>
          <w:sz w:val="24"/>
          <w:szCs w:val="24"/>
          <w:lang w:eastAsia="ro-RO"/>
        </w:rPr>
        <w:drawing>
          <wp:anchor distT="0" distB="0" distL="114300" distR="114300" simplePos="0" relativeHeight="251675648" behindDoc="0" locked="0" layoutInCell="1" allowOverlap="1">
            <wp:simplePos x="0" y="0"/>
            <wp:positionH relativeFrom="column">
              <wp:posOffset>613410</wp:posOffset>
            </wp:positionH>
            <wp:positionV relativeFrom="paragraph">
              <wp:align>top</wp:align>
            </wp:positionV>
            <wp:extent cx="4972050" cy="2838450"/>
            <wp:effectExtent l="19050" t="0" r="0" b="0"/>
            <wp:wrapSquare wrapText="bothSides"/>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0D5637" w:rsidRDefault="000D5637" w:rsidP="000D5637">
      <w:pPr>
        <w:spacing w:after="0" w:line="240" w:lineRule="auto"/>
        <w:jc w:val="both"/>
        <w:rPr>
          <w:rFonts w:ascii="Arial" w:hAnsi="Arial" w:cs="Arial"/>
          <w:sz w:val="24"/>
          <w:szCs w:val="24"/>
        </w:rPr>
      </w:pPr>
    </w:p>
    <w:p w:rsidR="000D5637" w:rsidRPr="00865683" w:rsidRDefault="000D5637" w:rsidP="000D5637">
      <w:pPr>
        <w:spacing w:after="0" w:line="240" w:lineRule="auto"/>
        <w:jc w:val="both"/>
        <w:rPr>
          <w:rFonts w:ascii="Arial" w:hAnsi="Arial" w:cs="Arial"/>
          <w:sz w:val="24"/>
          <w:szCs w:val="24"/>
          <w:lang w:val="en-US"/>
        </w:rPr>
      </w:pPr>
      <w:r>
        <w:rPr>
          <w:rFonts w:ascii="Arial" w:hAnsi="Arial" w:cs="Arial"/>
          <w:sz w:val="24"/>
          <w:szCs w:val="24"/>
        </w:rPr>
        <w:br w:type="textWrapping" w:clear="all"/>
      </w:r>
      <w:r w:rsidRPr="00865683">
        <w:rPr>
          <w:rFonts w:ascii="Arial" w:hAnsi="Arial" w:cs="Arial"/>
          <w:sz w:val="24"/>
          <w:szCs w:val="24"/>
          <w:lang w:val="en-US"/>
        </w:rPr>
        <w:lastRenderedPageBreak/>
        <w:t>Cod indicator România RO 39</w:t>
      </w:r>
    </w:p>
    <w:p w:rsidR="000D5637" w:rsidRDefault="000D5637" w:rsidP="000D5637">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poluanți organici persistenți</w:t>
      </w:r>
      <w:r w:rsidRPr="00246C15">
        <w:rPr>
          <w:rFonts w:ascii="Arial" w:hAnsi="Arial" w:cs="Arial"/>
          <w:sz w:val="24"/>
          <w:szCs w:val="24"/>
          <w:lang w:val="fr-BE"/>
        </w:rPr>
        <w:tab/>
      </w:r>
    </w:p>
    <w:p w:rsidR="000D5637"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Indicatorul urmărește tendințele emisiilor antropice de poluanți organici persistenți, de hidrocarburi aromatice policiclice (PAH) pe sectoare de activitate: producția și distribuția energiei, utilizarea energiei în industrie, procesele industriale, transportul rutier, nerutier, sectorul comercial, industrial, agricultura, depozitele de deșeuri.</w:t>
      </w:r>
    </w:p>
    <w:p w:rsidR="000D5637" w:rsidRPr="00334127" w:rsidRDefault="000D5637" w:rsidP="000D5637">
      <w:pPr>
        <w:spacing w:after="0" w:line="240" w:lineRule="auto"/>
        <w:jc w:val="both"/>
        <w:rPr>
          <w:rFonts w:ascii="Arial" w:hAnsi="Arial" w:cs="Arial"/>
          <w:sz w:val="24"/>
          <w:szCs w:val="24"/>
        </w:rPr>
      </w:pPr>
      <w:r w:rsidRPr="00334127">
        <w:rPr>
          <w:rFonts w:ascii="Arial" w:hAnsi="Arial" w:cs="Arial"/>
          <w:sz w:val="24"/>
          <w:szCs w:val="24"/>
        </w:rPr>
        <w:t>Poluanţii organici persistenţi sunt substanţe chimice foarte stabile, care se pot acumula în lanţurile trofice biologice, cu un grad mare de risc asupra sănătăţii omului şi mediului înconjurător.</w:t>
      </w: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nr.I.2.1-5</w:t>
      </w:r>
    </w:p>
    <w:p w:rsidR="000D5637" w:rsidRDefault="000D5637" w:rsidP="000D5637">
      <w:pPr>
        <w:spacing w:after="0" w:line="240" w:lineRule="auto"/>
        <w:jc w:val="both"/>
        <w:rPr>
          <w:rFonts w:ascii="Arial" w:hAnsi="Arial" w:cs="Arial"/>
          <w:sz w:val="24"/>
          <w:szCs w:val="24"/>
          <w:lang w:val="en-US"/>
        </w:rPr>
      </w:pPr>
    </w:p>
    <w:p w:rsidR="000D5637" w:rsidRDefault="000D5637" w:rsidP="000D5637">
      <w:pPr>
        <w:spacing w:after="0" w:line="240" w:lineRule="auto"/>
        <w:jc w:val="center"/>
        <w:rPr>
          <w:rFonts w:ascii="Arial" w:hAnsi="Arial" w:cs="Arial"/>
          <w:sz w:val="24"/>
          <w:szCs w:val="24"/>
        </w:rPr>
      </w:pPr>
      <w:r w:rsidRPr="00DA4A96">
        <w:rPr>
          <w:rFonts w:ascii="Arial" w:hAnsi="Arial" w:cs="Arial"/>
          <w:noProof/>
          <w:sz w:val="24"/>
          <w:szCs w:val="24"/>
          <w:lang w:eastAsia="ro-RO"/>
        </w:rPr>
        <w:drawing>
          <wp:inline distT="0" distB="0" distL="0" distR="0">
            <wp:extent cx="5095875" cy="2228850"/>
            <wp:effectExtent l="19050" t="0" r="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D5637" w:rsidRPr="00D37B40" w:rsidRDefault="000D5637" w:rsidP="000D5637">
      <w:pPr>
        <w:spacing w:after="0" w:line="240" w:lineRule="auto"/>
        <w:jc w:val="both"/>
        <w:rPr>
          <w:rFonts w:ascii="Arial" w:hAnsi="Arial" w:cs="Arial"/>
          <w:sz w:val="24"/>
          <w:szCs w:val="24"/>
          <w:lang w:val="fr-FR"/>
        </w:rPr>
      </w:pPr>
    </w:p>
    <w:p w:rsidR="000D5637" w:rsidRPr="00ED0273" w:rsidRDefault="000D5637" w:rsidP="000D5637">
      <w:pPr>
        <w:spacing w:after="0" w:line="240" w:lineRule="auto"/>
        <w:jc w:val="both"/>
        <w:rPr>
          <w:rFonts w:ascii="Arial" w:hAnsi="Arial" w:cs="Arial"/>
          <w:b/>
          <w:sz w:val="24"/>
          <w:szCs w:val="24"/>
        </w:rPr>
      </w:pPr>
      <w:r w:rsidRPr="00ED0273">
        <w:rPr>
          <w:rFonts w:ascii="Arial" w:hAnsi="Arial" w:cs="Arial"/>
          <w:b/>
          <w:sz w:val="24"/>
          <w:szCs w:val="24"/>
        </w:rPr>
        <w:t>I.2.1.2. Industria</w:t>
      </w:r>
    </w:p>
    <w:p w:rsidR="000D5637" w:rsidRPr="003F517B" w:rsidRDefault="000D5637" w:rsidP="000D5637">
      <w:pPr>
        <w:spacing w:after="0" w:line="240" w:lineRule="auto"/>
        <w:jc w:val="both"/>
        <w:rPr>
          <w:rFonts w:ascii="Arial" w:hAnsi="Arial" w:cs="Arial"/>
          <w:sz w:val="24"/>
          <w:szCs w:val="24"/>
          <w:lang w:val="en-US"/>
        </w:rPr>
      </w:pPr>
      <w:r w:rsidRPr="003F517B">
        <w:rPr>
          <w:rFonts w:ascii="Arial" w:hAnsi="Arial" w:cs="Arial"/>
          <w:sz w:val="24"/>
          <w:szCs w:val="24"/>
          <w:lang w:val="en-US"/>
        </w:rPr>
        <w:t>Cod indicator România RO 01</w:t>
      </w:r>
    </w:p>
    <w:p w:rsidR="000D5637"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0D5637" w:rsidRDefault="000D5637" w:rsidP="000D5637">
      <w:pPr>
        <w:spacing w:after="0" w:line="240" w:lineRule="auto"/>
        <w:jc w:val="both"/>
        <w:rPr>
          <w:rFonts w:ascii="Arial" w:hAnsi="Arial" w:cs="Arial"/>
          <w:sz w:val="24"/>
          <w:szCs w:val="24"/>
          <w:lang w:val="fr-BE"/>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nr.I.2.1.2-1</w:t>
      </w:r>
    </w:p>
    <w:p w:rsidR="000D5637" w:rsidRDefault="000D5637" w:rsidP="000D5637">
      <w:pPr>
        <w:spacing w:after="0" w:line="240" w:lineRule="auto"/>
        <w:jc w:val="center"/>
        <w:rPr>
          <w:rFonts w:ascii="Arial" w:hAnsi="Arial" w:cs="Arial"/>
          <w:sz w:val="24"/>
          <w:szCs w:val="24"/>
          <w:lang w:val="fr-BE"/>
        </w:rPr>
      </w:pPr>
      <w:r w:rsidRPr="009A23DB">
        <w:rPr>
          <w:rFonts w:ascii="Arial" w:hAnsi="Arial" w:cs="Arial"/>
          <w:noProof/>
          <w:sz w:val="24"/>
          <w:szCs w:val="24"/>
          <w:lang w:eastAsia="ro-RO"/>
        </w:rPr>
        <w:drawing>
          <wp:inline distT="0" distB="0" distL="0" distR="0">
            <wp:extent cx="5095875" cy="2247900"/>
            <wp:effectExtent l="19050" t="0" r="0"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D5637" w:rsidRDefault="000D5637" w:rsidP="000D5637">
      <w:pPr>
        <w:spacing w:after="0" w:line="240" w:lineRule="auto"/>
        <w:jc w:val="center"/>
        <w:rPr>
          <w:rFonts w:ascii="Arial" w:hAnsi="Arial" w:cs="Arial"/>
          <w:sz w:val="24"/>
          <w:szCs w:val="24"/>
          <w:lang w:val="fr-BE"/>
        </w:rPr>
      </w:pPr>
    </w:p>
    <w:p w:rsidR="000D5637" w:rsidRDefault="000D5637" w:rsidP="000D5637">
      <w:pPr>
        <w:tabs>
          <w:tab w:val="num" w:pos="0"/>
        </w:tabs>
        <w:spacing w:after="0" w:line="240" w:lineRule="auto"/>
        <w:jc w:val="both"/>
        <w:rPr>
          <w:rFonts w:ascii="Arial" w:hAnsi="Arial" w:cs="Arial"/>
          <w:sz w:val="24"/>
          <w:szCs w:val="24"/>
        </w:rPr>
      </w:pPr>
      <w:r>
        <w:rPr>
          <w:rFonts w:ascii="Arial" w:hAnsi="Arial" w:cs="Arial"/>
          <w:sz w:val="24"/>
          <w:szCs w:val="24"/>
          <w:lang w:val="fr-BE"/>
        </w:rPr>
        <w:t>Înanul 2015cele</w:t>
      </w:r>
      <w:r>
        <w:rPr>
          <w:rFonts w:ascii="Arial" w:hAnsi="Arial" w:cs="Arial"/>
          <w:sz w:val="24"/>
          <w:szCs w:val="24"/>
        </w:rPr>
        <w:t xml:space="preserve"> două instalații mari de ardere nu au funcționat, SC CET SA a notificat APM Brăila în data de 26.03.2014  privind situația societății, meționând că s-au început demersurile legale în vederea deschiderii procedurii de insolvență. De asemenea SC Termoelectrica SA, devenită Societatea Complexul Energetic Oltenia SA  Sucursala Electrocentrale Chiscani nu a funcționat  în anul 2015.</w:t>
      </w:r>
    </w:p>
    <w:p w:rsidR="000D5637" w:rsidRDefault="000D5637" w:rsidP="000D5637">
      <w:pPr>
        <w:tabs>
          <w:tab w:val="num" w:pos="0"/>
        </w:tabs>
        <w:spacing w:after="0" w:line="240" w:lineRule="auto"/>
        <w:jc w:val="both"/>
        <w:rPr>
          <w:rFonts w:ascii="Arial" w:hAnsi="Arial" w:cs="Arial"/>
          <w:sz w:val="24"/>
          <w:szCs w:val="24"/>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nr.I.2.1.2-2</w:t>
      </w:r>
    </w:p>
    <w:p w:rsidR="000D5637" w:rsidRDefault="000D5637" w:rsidP="000D5637">
      <w:pPr>
        <w:spacing w:after="0" w:line="240" w:lineRule="auto"/>
        <w:jc w:val="both"/>
        <w:rPr>
          <w:rFonts w:ascii="Arial" w:hAnsi="Arial" w:cs="Arial"/>
          <w:sz w:val="24"/>
          <w:szCs w:val="24"/>
          <w:lang w:val="fr-BE"/>
        </w:rPr>
      </w:pPr>
    </w:p>
    <w:p w:rsidR="000D5637" w:rsidRDefault="000D5637" w:rsidP="000D5637">
      <w:pPr>
        <w:spacing w:after="0" w:line="240" w:lineRule="auto"/>
        <w:jc w:val="center"/>
        <w:rPr>
          <w:rFonts w:ascii="Arial" w:hAnsi="Arial" w:cs="Arial"/>
          <w:sz w:val="24"/>
          <w:szCs w:val="24"/>
          <w:lang w:val="fr-BE"/>
        </w:rPr>
      </w:pPr>
      <w:r w:rsidRPr="004F6013">
        <w:rPr>
          <w:rFonts w:ascii="Arial" w:hAnsi="Arial" w:cs="Arial"/>
          <w:noProof/>
          <w:sz w:val="24"/>
          <w:szCs w:val="24"/>
          <w:lang w:eastAsia="ro-RO"/>
        </w:rPr>
        <w:lastRenderedPageBreak/>
        <w:drawing>
          <wp:inline distT="0" distB="0" distL="0" distR="0">
            <wp:extent cx="5095875" cy="2276475"/>
            <wp:effectExtent l="19050" t="0" r="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nr.I.2.1.2-</w:t>
      </w:r>
      <w:r>
        <w:rPr>
          <w:rFonts w:ascii="Arial" w:hAnsi="Arial" w:cs="Arial"/>
          <w:b/>
          <w:color w:val="FF0000"/>
          <w:sz w:val="24"/>
          <w:szCs w:val="24"/>
        </w:rPr>
        <w:t xml:space="preserve"> </w:t>
      </w:r>
      <w:r w:rsidRPr="00982309">
        <w:rPr>
          <w:rFonts w:ascii="Arial" w:hAnsi="Arial" w:cs="Arial"/>
          <w:b/>
          <w:color w:val="FF0000"/>
          <w:sz w:val="24"/>
          <w:szCs w:val="24"/>
        </w:rPr>
        <w:t>3</w:t>
      </w:r>
    </w:p>
    <w:p w:rsidR="000D5637" w:rsidRPr="003F517B" w:rsidRDefault="000D5637" w:rsidP="000D5637">
      <w:pPr>
        <w:spacing w:after="0" w:line="240" w:lineRule="auto"/>
        <w:rPr>
          <w:rFonts w:ascii="Arial" w:hAnsi="Arial" w:cs="Arial"/>
          <w:sz w:val="24"/>
          <w:szCs w:val="24"/>
          <w:lang w:val="fr-BE"/>
        </w:rPr>
      </w:pPr>
      <w:r w:rsidRPr="00993E19">
        <w:rPr>
          <w:rFonts w:ascii="Arial" w:hAnsi="Arial" w:cs="Arial"/>
          <w:noProof/>
          <w:sz w:val="24"/>
          <w:szCs w:val="24"/>
          <w:lang w:eastAsia="ro-RO"/>
        </w:rPr>
        <w:drawing>
          <wp:inline distT="0" distB="0" distL="0" distR="0">
            <wp:extent cx="5876925" cy="2733675"/>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D5637" w:rsidRDefault="000D5637" w:rsidP="000D5637">
      <w:pPr>
        <w:spacing w:after="0" w:line="240" w:lineRule="auto"/>
        <w:jc w:val="both"/>
        <w:rPr>
          <w:rFonts w:ascii="Arial" w:hAnsi="Arial" w:cs="Arial"/>
          <w:sz w:val="24"/>
          <w:szCs w:val="24"/>
          <w:lang w:val="fr-BE"/>
        </w:rPr>
      </w:pPr>
    </w:p>
    <w:p w:rsidR="000D5637" w:rsidRDefault="000D5637" w:rsidP="000D5637">
      <w:pPr>
        <w:spacing w:after="0" w:line="240" w:lineRule="auto"/>
        <w:jc w:val="both"/>
        <w:rPr>
          <w:rFonts w:ascii="Arial" w:hAnsi="Arial" w:cs="Arial"/>
          <w:sz w:val="24"/>
          <w:szCs w:val="24"/>
          <w:lang w:val="fr-BE"/>
        </w:rPr>
      </w:pPr>
      <w:r w:rsidRPr="0026738F">
        <w:rPr>
          <w:rFonts w:ascii="Arial" w:hAnsi="Arial" w:cs="Arial"/>
          <w:sz w:val="24"/>
          <w:szCs w:val="24"/>
          <w:lang w:val="fr-BE"/>
        </w:rPr>
        <w:t>Cod indicatorRomânia RO 02</w:t>
      </w:r>
    </w:p>
    <w:p w:rsidR="000D5637"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precursori ai ozonului</w:t>
      </w:r>
    </w:p>
    <w:p w:rsidR="000D5637" w:rsidRDefault="000D5637" w:rsidP="000D5637">
      <w:pPr>
        <w:spacing w:after="0" w:line="240" w:lineRule="auto"/>
        <w:jc w:val="both"/>
        <w:rPr>
          <w:rFonts w:ascii="Arial" w:hAnsi="Arial" w:cs="Arial"/>
          <w:sz w:val="24"/>
          <w:szCs w:val="24"/>
          <w:lang w:val="fr-BE"/>
        </w:rPr>
      </w:pPr>
    </w:p>
    <w:p w:rsidR="000D5637"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nr.I.2.1.2-</w:t>
      </w:r>
      <w:r>
        <w:rPr>
          <w:rFonts w:ascii="Arial" w:hAnsi="Arial" w:cs="Arial"/>
          <w:b/>
          <w:color w:val="FF0000"/>
          <w:sz w:val="24"/>
          <w:szCs w:val="24"/>
        </w:rPr>
        <w:t xml:space="preserve"> </w:t>
      </w:r>
      <w:r w:rsidRPr="00982309">
        <w:rPr>
          <w:rFonts w:ascii="Arial" w:hAnsi="Arial" w:cs="Arial"/>
          <w:b/>
          <w:color w:val="FF0000"/>
          <w:sz w:val="24"/>
          <w:szCs w:val="24"/>
        </w:rPr>
        <w:t>4</w:t>
      </w:r>
    </w:p>
    <w:p w:rsidR="000D5637" w:rsidRPr="00982309" w:rsidRDefault="000D5637" w:rsidP="000D5637">
      <w:pPr>
        <w:spacing w:after="0" w:line="240" w:lineRule="auto"/>
        <w:jc w:val="both"/>
        <w:rPr>
          <w:rFonts w:ascii="Arial" w:hAnsi="Arial" w:cs="Arial"/>
          <w:b/>
          <w:color w:val="FF0000"/>
          <w:sz w:val="24"/>
          <w:szCs w:val="24"/>
        </w:rPr>
      </w:pPr>
      <w:r>
        <w:rPr>
          <w:rFonts w:ascii="Arial" w:hAnsi="Arial" w:cs="Arial"/>
          <w:b/>
          <w:noProof/>
          <w:color w:val="FF0000"/>
          <w:sz w:val="24"/>
          <w:szCs w:val="24"/>
          <w:lang w:eastAsia="ro-RO"/>
        </w:rPr>
        <w:drawing>
          <wp:anchor distT="0" distB="0" distL="114300" distR="114300" simplePos="0" relativeHeight="251676672" behindDoc="0" locked="0" layoutInCell="1" allowOverlap="1">
            <wp:simplePos x="0" y="0"/>
            <wp:positionH relativeFrom="column">
              <wp:posOffset>699135</wp:posOffset>
            </wp:positionH>
            <wp:positionV relativeFrom="paragraph">
              <wp:posOffset>151130</wp:posOffset>
            </wp:positionV>
            <wp:extent cx="4333875" cy="2552700"/>
            <wp:effectExtent l="19050" t="0" r="0" b="0"/>
            <wp:wrapSquare wrapText="bothSides"/>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D5637" w:rsidRPr="00E018F0" w:rsidRDefault="000D5637" w:rsidP="000D5637">
      <w:pPr>
        <w:spacing w:after="0" w:line="240" w:lineRule="auto"/>
        <w:jc w:val="both"/>
        <w:rPr>
          <w:rFonts w:ascii="Arial" w:hAnsi="Arial" w:cs="Arial"/>
          <w:sz w:val="24"/>
          <w:szCs w:val="24"/>
          <w:lang w:val="en-US"/>
        </w:rPr>
      </w:pPr>
      <w:r w:rsidRPr="00E018F0">
        <w:rPr>
          <w:rFonts w:ascii="Arial" w:hAnsi="Arial" w:cs="Arial"/>
          <w:sz w:val="24"/>
          <w:szCs w:val="24"/>
          <w:lang w:val="en-US"/>
        </w:rPr>
        <w:br w:type="textWrapping" w:clear="all"/>
      </w:r>
    </w:p>
    <w:p w:rsidR="000D5637" w:rsidRPr="00E018F0" w:rsidRDefault="000D5637" w:rsidP="000D5637">
      <w:pPr>
        <w:spacing w:after="0" w:line="240" w:lineRule="auto"/>
        <w:jc w:val="both"/>
        <w:rPr>
          <w:rFonts w:ascii="Arial" w:hAnsi="Arial" w:cs="Arial"/>
          <w:sz w:val="24"/>
          <w:szCs w:val="24"/>
          <w:lang w:val="en-US"/>
        </w:rPr>
      </w:pPr>
      <w:r w:rsidRPr="00E018F0">
        <w:rPr>
          <w:rFonts w:ascii="Arial" w:hAnsi="Arial" w:cs="Arial"/>
          <w:sz w:val="24"/>
          <w:szCs w:val="24"/>
          <w:lang w:val="en-US"/>
        </w:rPr>
        <w:t>Cod indicator România RO 03</w:t>
      </w:r>
    </w:p>
    <w:p w:rsidR="000D5637"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 și precursori secundari de particule</w:t>
      </w: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lastRenderedPageBreak/>
        <w:t>Fig. nr.I.2.1.2-</w:t>
      </w:r>
      <w:r>
        <w:rPr>
          <w:rFonts w:ascii="Arial" w:hAnsi="Arial" w:cs="Arial"/>
          <w:b/>
          <w:color w:val="FF0000"/>
          <w:sz w:val="24"/>
          <w:szCs w:val="24"/>
        </w:rPr>
        <w:t xml:space="preserve"> </w:t>
      </w:r>
      <w:r w:rsidRPr="00982309">
        <w:rPr>
          <w:rFonts w:ascii="Arial" w:hAnsi="Arial" w:cs="Arial"/>
          <w:b/>
          <w:color w:val="FF0000"/>
          <w:sz w:val="24"/>
          <w:szCs w:val="24"/>
        </w:rPr>
        <w:t>5</w:t>
      </w:r>
    </w:p>
    <w:p w:rsidR="000D5637" w:rsidRDefault="000D5637" w:rsidP="000D5637">
      <w:pPr>
        <w:spacing w:after="0" w:line="240" w:lineRule="auto"/>
        <w:jc w:val="center"/>
        <w:rPr>
          <w:rFonts w:ascii="Arial" w:hAnsi="Arial" w:cs="Arial"/>
          <w:sz w:val="24"/>
          <w:szCs w:val="24"/>
        </w:rPr>
      </w:pPr>
      <w:r w:rsidRPr="0071390C">
        <w:rPr>
          <w:rFonts w:ascii="Arial" w:hAnsi="Arial" w:cs="Arial"/>
          <w:noProof/>
          <w:sz w:val="24"/>
          <w:szCs w:val="24"/>
          <w:lang w:eastAsia="ro-RO"/>
        </w:rPr>
        <w:drawing>
          <wp:inline distT="0" distB="0" distL="0" distR="0">
            <wp:extent cx="4848225" cy="2324100"/>
            <wp:effectExtent l="19050" t="0" r="0"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D5637" w:rsidRDefault="000D5637" w:rsidP="000D5637">
      <w:pPr>
        <w:spacing w:after="0" w:line="240" w:lineRule="auto"/>
        <w:jc w:val="both"/>
        <w:rPr>
          <w:rFonts w:ascii="Arial" w:hAnsi="Arial" w:cs="Arial"/>
          <w:sz w:val="24"/>
          <w:szCs w:val="24"/>
          <w:lang w:val="fr-BE"/>
        </w:rPr>
      </w:pPr>
    </w:p>
    <w:p w:rsidR="000D5637" w:rsidRPr="009D7F1C"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Cod indicatorRomânia RO 39</w:t>
      </w:r>
    </w:p>
    <w:p w:rsidR="000D5637" w:rsidRPr="00246C15" w:rsidRDefault="000D5637" w:rsidP="000D5637">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poluanț iorganici persistenți</w:t>
      </w:r>
      <w:r w:rsidRPr="00246C15">
        <w:rPr>
          <w:rFonts w:ascii="Arial" w:hAnsi="Arial" w:cs="Arial"/>
          <w:sz w:val="24"/>
          <w:szCs w:val="24"/>
          <w:lang w:val="fr-BE"/>
        </w:rPr>
        <w:tab/>
      </w: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nr.I.2.1.2-</w:t>
      </w:r>
      <w:r>
        <w:rPr>
          <w:rFonts w:ascii="Arial" w:hAnsi="Arial" w:cs="Arial"/>
          <w:b/>
          <w:color w:val="FF0000"/>
          <w:sz w:val="24"/>
          <w:szCs w:val="24"/>
        </w:rPr>
        <w:t xml:space="preserve"> </w:t>
      </w:r>
      <w:r w:rsidRPr="00982309">
        <w:rPr>
          <w:rFonts w:ascii="Arial" w:hAnsi="Arial" w:cs="Arial"/>
          <w:b/>
          <w:color w:val="FF0000"/>
          <w:sz w:val="24"/>
          <w:szCs w:val="24"/>
        </w:rPr>
        <w:t>6</w:t>
      </w:r>
    </w:p>
    <w:p w:rsidR="000D5637" w:rsidRDefault="000D5637" w:rsidP="000D5637">
      <w:pPr>
        <w:spacing w:after="0" w:line="240" w:lineRule="auto"/>
        <w:jc w:val="center"/>
        <w:rPr>
          <w:rFonts w:ascii="Arial" w:hAnsi="Arial" w:cs="Arial"/>
          <w:sz w:val="24"/>
          <w:szCs w:val="24"/>
        </w:rPr>
      </w:pPr>
      <w:r w:rsidRPr="0071390C">
        <w:rPr>
          <w:rFonts w:ascii="Arial" w:hAnsi="Arial" w:cs="Arial"/>
          <w:noProof/>
          <w:sz w:val="24"/>
          <w:szCs w:val="24"/>
          <w:lang w:eastAsia="ro-RO"/>
        </w:rPr>
        <w:drawing>
          <wp:inline distT="0" distB="0" distL="0" distR="0">
            <wp:extent cx="4772025" cy="2371725"/>
            <wp:effectExtent l="1905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D5637" w:rsidRPr="00ED0273" w:rsidRDefault="000D5637" w:rsidP="000D5637">
      <w:pPr>
        <w:spacing w:after="0" w:line="240" w:lineRule="auto"/>
        <w:jc w:val="both"/>
        <w:rPr>
          <w:rFonts w:ascii="Arial" w:hAnsi="Arial" w:cs="Arial"/>
          <w:b/>
          <w:sz w:val="24"/>
          <w:szCs w:val="24"/>
        </w:rPr>
      </w:pPr>
      <w:r w:rsidRPr="00ED0273">
        <w:rPr>
          <w:rFonts w:ascii="Arial" w:hAnsi="Arial" w:cs="Arial"/>
          <w:b/>
          <w:sz w:val="24"/>
          <w:szCs w:val="24"/>
        </w:rPr>
        <w:t>I.2.1.3. Transportul</w:t>
      </w:r>
    </w:p>
    <w:p w:rsidR="000D5637" w:rsidRDefault="000D5637" w:rsidP="000D5637">
      <w:pPr>
        <w:spacing w:after="0" w:line="240" w:lineRule="auto"/>
        <w:jc w:val="both"/>
        <w:rPr>
          <w:rFonts w:ascii="Arial" w:hAnsi="Arial" w:cs="Arial"/>
          <w:sz w:val="24"/>
          <w:szCs w:val="24"/>
          <w:lang w:val="en-US"/>
        </w:rPr>
      </w:pPr>
      <w:r w:rsidRPr="002D3D6B">
        <w:rPr>
          <w:rFonts w:ascii="Arial" w:hAnsi="Arial" w:cs="Arial"/>
          <w:sz w:val="24"/>
          <w:szCs w:val="24"/>
          <w:lang w:val="en-US"/>
        </w:rPr>
        <w:t>Cod indicator România RO 01</w:t>
      </w:r>
    </w:p>
    <w:p w:rsidR="000D5637" w:rsidRPr="003F1F50"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rPr>
        <w:t>Fig. nr.I.2.1.3-1</w:t>
      </w:r>
    </w:p>
    <w:p w:rsidR="000D5637" w:rsidRDefault="000D5637" w:rsidP="000D5637">
      <w:pPr>
        <w:spacing w:after="0" w:line="240" w:lineRule="auto"/>
        <w:jc w:val="center"/>
        <w:rPr>
          <w:rFonts w:ascii="Arial" w:hAnsi="Arial" w:cs="Arial"/>
          <w:sz w:val="24"/>
          <w:szCs w:val="24"/>
          <w:lang w:val="en-US"/>
        </w:rPr>
      </w:pPr>
      <w:r>
        <w:rPr>
          <w:rFonts w:ascii="Arial" w:hAnsi="Arial" w:cs="Arial"/>
          <w:noProof/>
          <w:sz w:val="24"/>
          <w:szCs w:val="24"/>
          <w:lang w:eastAsia="ro-RO"/>
        </w:rPr>
        <w:drawing>
          <wp:inline distT="0" distB="0" distL="0" distR="0">
            <wp:extent cx="5267325" cy="2828925"/>
            <wp:effectExtent l="1905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Pr="009D7F1C" w:rsidRDefault="000D5637" w:rsidP="000D5637">
      <w:pPr>
        <w:spacing w:after="0" w:line="240" w:lineRule="auto"/>
        <w:jc w:val="both"/>
        <w:rPr>
          <w:rFonts w:ascii="Arial" w:hAnsi="Arial" w:cs="Arial"/>
          <w:sz w:val="24"/>
          <w:szCs w:val="24"/>
          <w:lang w:val="fr-BE"/>
        </w:rPr>
      </w:pPr>
      <w:r w:rsidRPr="009D7F1C">
        <w:rPr>
          <w:rFonts w:ascii="Arial" w:hAnsi="Arial" w:cs="Arial"/>
          <w:sz w:val="24"/>
          <w:szCs w:val="24"/>
          <w:lang w:val="fr-BE"/>
        </w:rPr>
        <w:lastRenderedPageBreak/>
        <w:t>Cod indicator</w:t>
      </w:r>
      <w:r>
        <w:rPr>
          <w:rFonts w:ascii="Arial" w:hAnsi="Arial" w:cs="Arial"/>
          <w:sz w:val="24"/>
          <w:szCs w:val="24"/>
          <w:lang w:val="fr-BE"/>
        </w:rPr>
        <w:t xml:space="preserve"> </w:t>
      </w:r>
      <w:r w:rsidRPr="009D7F1C">
        <w:rPr>
          <w:rFonts w:ascii="Arial" w:hAnsi="Arial" w:cs="Arial"/>
          <w:sz w:val="24"/>
          <w:szCs w:val="24"/>
          <w:lang w:val="fr-BE"/>
        </w:rPr>
        <w:t>România RO 02</w:t>
      </w:r>
    </w:p>
    <w:p w:rsidR="000D5637" w:rsidRPr="003F1F50"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precursori ai ozonului</w:t>
      </w: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rPr>
        <w:t>Fig. nr.I.2.1.3-2</w:t>
      </w:r>
    </w:p>
    <w:p w:rsidR="000D5637" w:rsidRPr="009D7F1C" w:rsidRDefault="000D5637" w:rsidP="000D5637">
      <w:pPr>
        <w:spacing w:after="0" w:line="240" w:lineRule="auto"/>
        <w:jc w:val="both"/>
        <w:rPr>
          <w:rFonts w:ascii="Arial" w:hAnsi="Arial" w:cs="Arial"/>
          <w:sz w:val="24"/>
          <w:szCs w:val="24"/>
          <w:lang w:val="fr-BE"/>
        </w:rPr>
      </w:pPr>
    </w:p>
    <w:p w:rsidR="000D5637" w:rsidRDefault="000D5637" w:rsidP="000D5637">
      <w:pPr>
        <w:spacing w:after="0" w:line="240" w:lineRule="auto"/>
        <w:jc w:val="center"/>
        <w:rPr>
          <w:rFonts w:ascii="Arial" w:hAnsi="Arial" w:cs="Arial"/>
          <w:sz w:val="24"/>
          <w:szCs w:val="24"/>
          <w:lang w:val="en-US"/>
        </w:rPr>
      </w:pPr>
      <w:r w:rsidRPr="00A57A94">
        <w:rPr>
          <w:rFonts w:ascii="Arial" w:hAnsi="Arial" w:cs="Arial"/>
          <w:noProof/>
          <w:sz w:val="24"/>
          <w:szCs w:val="24"/>
          <w:lang w:eastAsia="ro-RO"/>
        </w:rPr>
        <w:drawing>
          <wp:inline distT="0" distB="0" distL="0" distR="0">
            <wp:extent cx="5267325" cy="2695575"/>
            <wp:effectExtent l="1905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D5637" w:rsidRPr="00924D9A" w:rsidRDefault="000D5637" w:rsidP="000D5637">
      <w:pPr>
        <w:spacing w:after="0" w:line="240" w:lineRule="auto"/>
        <w:jc w:val="both"/>
        <w:rPr>
          <w:rFonts w:ascii="Arial" w:hAnsi="Arial" w:cs="Arial"/>
          <w:sz w:val="24"/>
          <w:szCs w:val="24"/>
          <w:lang w:val="en-US"/>
        </w:rPr>
      </w:pPr>
    </w:p>
    <w:p w:rsidR="000D5637" w:rsidRPr="009D7F1C"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Cod indicator România RO 03</w:t>
      </w:r>
    </w:p>
    <w:p w:rsidR="000D5637"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 și precursori secundari de particule</w:t>
      </w:r>
    </w:p>
    <w:p w:rsidR="000D5637" w:rsidRDefault="000D5637" w:rsidP="000D5637">
      <w:pPr>
        <w:spacing w:after="0" w:line="240" w:lineRule="auto"/>
        <w:jc w:val="both"/>
        <w:rPr>
          <w:rFonts w:ascii="Arial" w:hAnsi="Arial" w:cs="Arial"/>
          <w:sz w:val="24"/>
          <w:szCs w:val="24"/>
          <w:lang w:val="fr-BE"/>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rPr>
        <w:t>Fig. nr.I.2.1.3-</w:t>
      </w:r>
      <w:r>
        <w:rPr>
          <w:rFonts w:ascii="Arial" w:hAnsi="Arial" w:cs="Arial"/>
          <w:b/>
          <w:sz w:val="24"/>
          <w:szCs w:val="24"/>
        </w:rPr>
        <w:t xml:space="preserve"> </w:t>
      </w:r>
      <w:r w:rsidRPr="00E018F0">
        <w:rPr>
          <w:rFonts w:ascii="Arial" w:hAnsi="Arial" w:cs="Arial"/>
          <w:b/>
          <w:sz w:val="24"/>
          <w:szCs w:val="24"/>
        </w:rPr>
        <w:t>3</w:t>
      </w:r>
    </w:p>
    <w:p w:rsidR="000D5637" w:rsidRPr="00645202" w:rsidRDefault="000D5637" w:rsidP="000D5637">
      <w:pPr>
        <w:spacing w:after="0" w:line="240" w:lineRule="auto"/>
        <w:jc w:val="both"/>
        <w:rPr>
          <w:rFonts w:ascii="Arial" w:hAnsi="Arial" w:cs="Arial"/>
          <w:sz w:val="24"/>
          <w:szCs w:val="24"/>
          <w:lang w:val="fr-BE"/>
        </w:rPr>
      </w:pPr>
    </w:p>
    <w:p w:rsidR="000D5637" w:rsidRPr="00924D9A" w:rsidRDefault="000D5637" w:rsidP="000D5637">
      <w:pPr>
        <w:tabs>
          <w:tab w:val="left" w:pos="7560"/>
        </w:tabs>
        <w:spacing w:after="0" w:line="240" w:lineRule="auto"/>
        <w:jc w:val="center"/>
        <w:rPr>
          <w:rFonts w:ascii="Arial" w:hAnsi="Arial" w:cs="Arial"/>
          <w:sz w:val="24"/>
          <w:szCs w:val="24"/>
          <w:lang w:val="en-US"/>
        </w:rPr>
      </w:pPr>
      <w:r w:rsidRPr="0039283B">
        <w:rPr>
          <w:rFonts w:ascii="Arial" w:hAnsi="Arial" w:cs="Arial"/>
          <w:noProof/>
          <w:sz w:val="24"/>
          <w:szCs w:val="24"/>
          <w:lang w:eastAsia="ro-RO"/>
        </w:rPr>
        <w:drawing>
          <wp:inline distT="0" distB="0" distL="0" distR="0">
            <wp:extent cx="5029200" cy="3238500"/>
            <wp:effectExtent l="1905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D5637" w:rsidRPr="00924D9A" w:rsidRDefault="000D5637" w:rsidP="000D5637">
      <w:pPr>
        <w:spacing w:after="0" w:line="240" w:lineRule="auto"/>
        <w:jc w:val="both"/>
        <w:rPr>
          <w:rFonts w:ascii="Arial" w:hAnsi="Arial" w:cs="Arial"/>
          <w:sz w:val="24"/>
          <w:szCs w:val="24"/>
          <w:lang w:val="en-US"/>
        </w:rPr>
      </w:pPr>
    </w:p>
    <w:p w:rsidR="000D5637" w:rsidRPr="009D7F1C"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Cod indicatorRomânia RO 38</w:t>
      </w:r>
    </w:p>
    <w:p w:rsidR="000D5637" w:rsidRDefault="000D5637" w:rsidP="000D5637">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metale grele</w:t>
      </w:r>
    </w:p>
    <w:p w:rsidR="000D5637" w:rsidRPr="00924D9A" w:rsidRDefault="000D5637" w:rsidP="000D5637">
      <w:pPr>
        <w:tabs>
          <w:tab w:val="left" w:pos="5025"/>
        </w:tabs>
        <w:spacing w:after="0" w:line="240" w:lineRule="auto"/>
        <w:jc w:val="both"/>
        <w:rPr>
          <w:rFonts w:ascii="Arial" w:hAnsi="Arial" w:cs="Arial"/>
          <w:sz w:val="24"/>
          <w:szCs w:val="24"/>
          <w:lang w:val="en-US"/>
        </w:rPr>
      </w:pPr>
      <w:r>
        <w:rPr>
          <w:rFonts w:ascii="Arial" w:hAnsi="Arial" w:cs="Arial"/>
          <w:sz w:val="24"/>
          <w:szCs w:val="24"/>
          <w:lang w:val="en-US"/>
        </w:rPr>
        <w:tab/>
      </w: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rPr>
        <w:t>Fig. nr.I.2.1.3-4</w:t>
      </w:r>
    </w:p>
    <w:p w:rsidR="000D5637" w:rsidRDefault="000D5637" w:rsidP="000D5637">
      <w:pPr>
        <w:spacing w:after="0" w:line="240" w:lineRule="auto"/>
        <w:jc w:val="center"/>
        <w:rPr>
          <w:rFonts w:ascii="Arial" w:hAnsi="Arial" w:cs="Arial"/>
          <w:sz w:val="24"/>
          <w:szCs w:val="24"/>
          <w:lang w:val="en-US"/>
        </w:rPr>
      </w:pPr>
      <w:r w:rsidRPr="009B1672">
        <w:rPr>
          <w:rFonts w:ascii="Arial" w:hAnsi="Arial" w:cs="Arial"/>
          <w:noProof/>
          <w:sz w:val="24"/>
          <w:szCs w:val="24"/>
          <w:lang w:eastAsia="ro-RO"/>
        </w:rPr>
        <w:lastRenderedPageBreak/>
        <w:drawing>
          <wp:inline distT="0" distB="0" distL="0" distR="0">
            <wp:extent cx="5143500" cy="2847975"/>
            <wp:effectExtent l="1905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D5637" w:rsidRPr="00ED0273" w:rsidRDefault="000D5637" w:rsidP="000D5637">
      <w:pPr>
        <w:spacing w:after="0" w:line="240" w:lineRule="auto"/>
        <w:jc w:val="both"/>
        <w:rPr>
          <w:rFonts w:ascii="Arial" w:hAnsi="Arial" w:cs="Arial"/>
          <w:b/>
          <w:sz w:val="24"/>
          <w:szCs w:val="24"/>
          <w:lang w:val="fr-BE"/>
        </w:rPr>
      </w:pPr>
      <w:r w:rsidRPr="00ED0273">
        <w:rPr>
          <w:rFonts w:ascii="Arial" w:hAnsi="Arial" w:cs="Arial"/>
          <w:b/>
          <w:sz w:val="24"/>
          <w:szCs w:val="24"/>
          <w:lang w:val="fr-BE"/>
        </w:rPr>
        <w:t>I.2.1.4 Agricultura</w:t>
      </w:r>
    </w:p>
    <w:p w:rsidR="000D5637" w:rsidRPr="00352C60" w:rsidRDefault="000D5637" w:rsidP="000D5637">
      <w:pPr>
        <w:spacing w:after="0" w:line="240" w:lineRule="auto"/>
        <w:jc w:val="both"/>
        <w:rPr>
          <w:rFonts w:ascii="Arial" w:hAnsi="Arial" w:cs="Arial"/>
          <w:sz w:val="24"/>
          <w:szCs w:val="24"/>
          <w:lang w:val="fr-BE"/>
        </w:rPr>
      </w:pPr>
      <w:r w:rsidRPr="00352C60">
        <w:rPr>
          <w:rFonts w:ascii="Arial" w:hAnsi="Arial" w:cs="Arial"/>
          <w:sz w:val="24"/>
          <w:szCs w:val="24"/>
          <w:lang w:val="fr-BE"/>
        </w:rPr>
        <w:t>Cod indicatorRomânia RO 01</w:t>
      </w:r>
    </w:p>
    <w:p w:rsidR="000D5637" w:rsidRPr="003F1F50"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nr.I.2.1.4-1</w:t>
      </w:r>
    </w:p>
    <w:p w:rsidR="000D5637" w:rsidRPr="003F517B" w:rsidRDefault="000D5637" w:rsidP="000D5637">
      <w:pPr>
        <w:spacing w:after="0" w:line="240" w:lineRule="auto"/>
        <w:jc w:val="center"/>
        <w:rPr>
          <w:rFonts w:ascii="Arial" w:hAnsi="Arial" w:cs="Arial"/>
          <w:sz w:val="24"/>
          <w:szCs w:val="24"/>
          <w:lang w:val="fr-BE"/>
        </w:rPr>
      </w:pPr>
      <w:r w:rsidRPr="00352C60">
        <w:rPr>
          <w:rFonts w:ascii="Arial" w:hAnsi="Arial" w:cs="Arial"/>
          <w:noProof/>
          <w:sz w:val="24"/>
          <w:szCs w:val="24"/>
          <w:lang w:eastAsia="ro-RO"/>
        </w:rPr>
        <w:drawing>
          <wp:inline distT="0" distB="0" distL="0" distR="0">
            <wp:extent cx="5029200" cy="2295525"/>
            <wp:effectExtent l="1905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D5637" w:rsidRPr="003F517B" w:rsidRDefault="000D5637" w:rsidP="000D5637">
      <w:pPr>
        <w:spacing w:after="0" w:line="240" w:lineRule="auto"/>
        <w:jc w:val="both"/>
        <w:rPr>
          <w:rFonts w:ascii="Arial" w:hAnsi="Arial" w:cs="Arial"/>
          <w:sz w:val="24"/>
          <w:szCs w:val="24"/>
          <w:lang w:val="fr-BE"/>
        </w:rPr>
      </w:pPr>
    </w:p>
    <w:p w:rsidR="000D5637" w:rsidRPr="004D1A96" w:rsidRDefault="000D5637" w:rsidP="000D5637">
      <w:pPr>
        <w:spacing w:after="0" w:line="240" w:lineRule="auto"/>
        <w:jc w:val="both"/>
        <w:rPr>
          <w:rFonts w:ascii="Arial" w:hAnsi="Arial" w:cs="Arial"/>
          <w:sz w:val="24"/>
          <w:szCs w:val="24"/>
          <w:lang w:val="fr-BE"/>
        </w:rPr>
      </w:pPr>
    </w:p>
    <w:p w:rsidR="000D5637" w:rsidRPr="00E018F0" w:rsidRDefault="000D5637" w:rsidP="000D5637">
      <w:pPr>
        <w:spacing w:after="0" w:line="240" w:lineRule="auto"/>
        <w:jc w:val="both"/>
        <w:rPr>
          <w:rFonts w:ascii="Arial" w:hAnsi="Arial" w:cs="Arial"/>
          <w:b/>
          <w:sz w:val="24"/>
          <w:szCs w:val="24"/>
          <w:lang w:val="en-US"/>
        </w:rPr>
      </w:pPr>
      <w:r w:rsidRPr="00E018F0">
        <w:rPr>
          <w:rFonts w:ascii="Arial" w:hAnsi="Arial" w:cs="Arial"/>
          <w:b/>
          <w:sz w:val="24"/>
          <w:szCs w:val="24"/>
          <w:lang w:val="en-US"/>
        </w:rPr>
        <w:t>I.3.Tendințe și</w:t>
      </w:r>
      <w:r>
        <w:rPr>
          <w:rFonts w:ascii="Arial" w:hAnsi="Arial" w:cs="Arial"/>
          <w:b/>
          <w:sz w:val="24"/>
          <w:szCs w:val="24"/>
          <w:lang w:val="en-US"/>
        </w:rPr>
        <w:t xml:space="preserve"> </w:t>
      </w:r>
      <w:r w:rsidRPr="00E018F0">
        <w:rPr>
          <w:rFonts w:ascii="Arial" w:hAnsi="Arial" w:cs="Arial"/>
          <w:b/>
          <w:sz w:val="24"/>
          <w:szCs w:val="24"/>
          <w:lang w:val="en-US"/>
        </w:rPr>
        <w:t>prognoze</w:t>
      </w:r>
      <w:r>
        <w:rPr>
          <w:rFonts w:ascii="Arial" w:hAnsi="Arial" w:cs="Arial"/>
          <w:b/>
          <w:sz w:val="24"/>
          <w:szCs w:val="24"/>
          <w:lang w:val="en-US"/>
        </w:rPr>
        <w:t xml:space="preserve"> </w:t>
      </w:r>
      <w:r w:rsidRPr="00E018F0">
        <w:rPr>
          <w:rFonts w:ascii="Arial" w:hAnsi="Arial" w:cs="Arial"/>
          <w:b/>
          <w:sz w:val="24"/>
          <w:szCs w:val="24"/>
          <w:lang w:val="en-US"/>
        </w:rPr>
        <w:t>privind</w:t>
      </w:r>
      <w:r>
        <w:rPr>
          <w:rFonts w:ascii="Arial" w:hAnsi="Arial" w:cs="Arial"/>
          <w:b/>
          <w:sz w:val="24"/>
          <w:szCs w:val="24"/>
          <w:lang w:val="en-US"/>
        </w:rPr>
        <w:t xml:space="preserve"> </w:t>
      </w:r>
      <w:r w:rsidRPr="00E018F0">
        <w:rPr>
          <w:rFonts w:ascii="Arial" w:hAnsi="Arial" w:cs="Arial"/>
          <w:b/>
          <w:sz w:val="24"/>
          <w:szCs w:val="24"/>
          <w:lang w:val="en-US"/>
        </w:rPr>
        <w:t>poluarea</w:t>
      </w:r>
      <w:r>
        <w:rPr>
          <w:rFonts w:ascii="Arial" w:hAnsi="Arial" w:cs="Arial"/>
          <w:b/>
          <w:sz w:val="24"/>
          <w:szCs w:val="24"/>
          <w:lang w:val="en-US"/>
        </w:rPr>
        <w:t xml:space="preserve"> </w:t>
      </w:r>
      <w:r w:rsidRPr="00E018F0">
        <w:rPr>
          <w:rFonts w:ascii="Arial" w:hAnsi="Arial" w:cs="Arial"/>
          <w:b/>
          <w:sz w:val="24"/>
          <w:szCs w:val="24"/>
          <w:lang w:val="en-US"/>
        </w:rPr>
        <w:t>aerului</w:t>
      </w:r>
      <w:r>
        <w:rPr>
          <w:rFonts w:ascii="Arial" w:hAnsi="Arial" w:cs="Arial"/>
          <w:b/>
          <w:sz w:val="24"/>
          <w:szCs w:val="24"/>
          <w:lang w:val="en-US"/>
        </w:rPr>
        <w:t xml:space="preserve"> </w:t>
      </w:r>
      <w:r w:rsidRPr="00E018F0">
        <w:rPr>
          <w:rFonts w:ascii="Arial" w:hAnsi="Arial" w:cs="Arial"/>
          <w:b/>
          <w:sz w:val="24"/>
          <w:szCs w:val="24"/>
          <w:lang w:val="en-US"/>
        </w:rPr>
        <w:t>înconjurător</w:t>
      </w:r>
    </w:p>
    <w:p w:rsidR="000D5637" w:rsidRPr="00BF3397" w:rsidRDefault="000D5637" w:rsidP="000D5637">
      <w:pPr>
        <w:spacing w:after="0" w:line="240" w:lineRule="auto"/>
        <w:jc w:val="both"/>
        <w:rPr>
          <w:rFonts w:ascii="Arial" w:hAnsi="Arial" w:cs="Arial"/>
          <w:sz w:val="24"/>
          <w:szCs w:val="24"/>
          <w:lang w:val="fr-BE"/>
        </w:rPr>
      </w:pPr>
      <w:r w:rsidRPr="00BF3397">
        <w:rPr>
          <w:rFonts w:ascii="Arial" w:hAnsi="Arial" w:cs="Arial"/>
          <w:sz w:val="24"/>
          <w:szCs w:val="24"/>
          <w:lang w:val="fr-BE"/>
        </w:rPr>
        <w:t>Cod indicatorRomânia RO 01</w:t>
      </w:r>
    </w:p>
    <w:p w:rsidR="000D5637" w:rsidRPr="003F1F50"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Emisiile de substanțe acidifiante</w:t>
      </w: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nr.I.3-1</w:t>
      </w:r>
    </w:p>
    <w:p w:rsidR="000D5637" w:rsidRDefault="000D5637" w:rsidP="000D5637">
      <w:pPr>
        <w:tabs>
          <w:tab w:val="left" w:pos="1020"/>
        </w:tabs>
        <w:spacing w:after="0" w:line="240" w:lineRule="auto"/>
        <w:jc w:val="center"/>
        <w:rPr>
          <w:rFonts w:ascii="Arial" w:hAnsi="Arial" w:cs="Arial"/>
          <w:sz w:val="24"/>
          <w:szCs w:val="24"/>
          <w:lang w:val="en-US"/>
        </w:rPr>
      </w:pPr>
      <w:r w:rsidRPr="006901A3">
        <w:rPr>
          <w:rFonts w:ascii="Arial" w:hAnsi="Arial" w:cs="Arial"/>
          <w:noProof/>
          <w:sz w:val="24"/>
          <w:szCs w:val="24"/>
          <w:lang w:eastAsia="ro-RO"/>
        </w:rPr>
        <w:drawing>
          <wp:inline distT="0" distB="0" distL="0" distR="0">
            <wp:extent cx="4991100" cy="2362200"/>
            <wp:effectExtent l="1905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rPr>
        <w:t>Fig. nr.I.3-2</w:t>
      </w:r>
    </w:p>
    <w:p w:rsidR="000D5637" w:rsidRDefault="000D5637" w:rsidP="000D5637">
      <w:pPr>
        <w:spacing w:after="0" w:line="240" w:lineRule="auto"/>
        <w:jc w:val="center"/>
        <w:rPr>
          <w:rFonts w:ascii="Arial" w:hAnsi="Arial" w:cs="Arial"/>
          <w:sz w:val="24"/>
          <w:szCs w:val="24"/>
          <w:lang w:val="en-US"/>
        </w:rPr>
      </w:pPr>
      <w:r w:rsidRPr="005A26CF">
        <w:rPr>
          <w:rFonts w:ascii="Arial" w:hAnsi="Arial" w:cs="Arial"/>
          <w:noProof/>
          <w:sz w:val="24"/>
          <w:szCs w:val="24"/>
          <w:lang w:eastAsia="ro-RO"/>
        </w:rPr>
        <w:drawing>
          <wp:inline distT="0" distB="0" distL="0" distR="0">
            <wp:extent cx="4943475" cy="2276475"/>
            <wp:effectExtent l="1905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lang w:val="en-US"/>
        </w:rPr>
        <w:tab/>
      </w:r>
      <w:r w:rsidRPr="00E018F0">
        <w:rPr>
          <w:rFonts w:ascii="Arial" w:hAnsi="Arial" w:cs="Arial"/>
          <w:b/>
          <w:sz w:val="24"/>
          <w:szCs w:val="24"/>
        </w:rPr>
        <w:t>Fig. nr.I.3-3</w:t>
      </w:r>
    </w:p>
    <w:p w:rsidR="000D5637" w:rsidRDefault="000D5637" w:rsidP="000D5637">
      <w:pPr>
        <w:spacing w:after="0" w:line="240" w:lineRule="auto"/>
        <w:jc w:val="both"/>
        <w:rPr>
          <w:rFonts w:ascii="Arial" w:hAnsi="Arial" w:cs="Arial"/>
          <w:sz w:val="24"/>
          <w:szCs w:val="24"/>
          <w:lang w:val="en-US"/>
        </w:rPr>
      </w:pPr>
    </w:p>
    <w:p w:rsidR="000D5637" w:rsidRDefault="000D5637" w:rsidP="000D5637">
      <w:pPr>
        <w:tabs>
          <w:tab w:val="left" w:pos="1170"/>
        </w:tabs>
        <w:spacing w:after="0" w:line="240" w:lineRule="auto"/>
        <w:jc w:val="center"/>
        <w:rPr>
          <w:rFonts w:ascii="Arial" w:hAnsi="Arial" w:cs="Arial"/>
          <w:sz w:val="24"/>
          <w:szCs w:val="24"/>
          <w:lang w:val="en-US"/>
        </w:rPr>
      </w:pPr>
      <w:r w:rsidRPr="006E16E7">
        <w:rPr>
          <w:rFonts w:ascii="Arial" w:hAnsi="Arial" w:cs="Arial"/>
          <w:noProof/>
          <w:sz w:val="24"/>
          <w:szCs w:val="24"/>
          <w:lang w:eastAsia="ro-RO"/>
        </w:rPr>
        <w:drawing>
          <wp:inline distT="0" distB="0" distL="0" distR="0">
            <wp:extent cx="4857750" cy="2333625"/>
            <wp:effectExtent l="1905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rPr>
        <w:t>Fig. nr.I.3-</w:t>
      </w:r>
      <w:r>
        <w:rPr>
          <w:rFonts w:ascii="Arial" w:hAnsi="Arial" w:cs="Arial"/>
          <w:b/>
          <w:sz w:val="24"/>
          <w:szCs w:val="24"/>
        </w:rPr>
        <w:t xml:space="preserve"> </w:t>
      </w:r>
      <w:r w:rsidRPr="00E018F0">
        <w:rPr>
          <w:rFonts w:ascii="Arial" w:hAnsi="Arial" w:cs="Arial"/>
          <w:b/>
          <w:sz w:val="24"/>
          <w:szCs w:val="24"/>
        </w:rPr>
        <w:t>4</w:t>
      </w:r>
    </w:p>
    <w:p w:rsidR="000D5637" w:rsidRDefault="000D5637" w:rsidP="000D5637">
      <w:pPr>
        <w:spacing w:after="0" w:line="240" w:lineRule="auto"/>
        <w:jc w:val="center"/>
        <w:rPr>
          <w:rFonts w:ascii="Arial" w:hAnsi="Arial" w:cs="Arial"/>
          <w:sz w:val="24"/>
          <w:szCs w:val="24"/>
          <w:lang w:val="en-US"/>
        </w:rPr>
      </w:pPr>
      <w:r w:rsidRPr="0024317E">
        <w:rPr>
          <w:rFonts w:ascii="Arial" w:hAnsi="Arial" w:cs="Arial"/>
          <w:noProof/>
          <w:sz w:val="24"/>
          <w:szCs w:val="24"/>
          <w:lang w:eastAsia="ro-RO"/>
        </w:rPr>
        <w:drawing>
          <wp:inline distT="0" distB="0" distL="0" distR="0">
            <wp:extent cx="4972050" cy="2390775"/>
            <wp:effectExtent l="1905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D5637" w:rsidRPr="000160A7" w:rsidRDefault="000D5637" w:rsidP="000D5637">
      <w:pPr>
        <w:spacing w:after="0" w:line="240" w:lineRule="auto"/>
        <w:jc w:val="both"/>
        <w:rPr>
          <w:rFonts w:ascii="Arial" w:hAnsi="Arial" w:cs="Arial"/>
          <w:sz w:val="24"/>
          <w:szCs w:val="24"/>
          <w:lang w:val="en-US"/>
        </w:rPr>
      </w:pPr>
    </w:p>
    <w:p w:rsidR="000D5637" w:rsidRDefault="000D5637" w:rsidP="000D5637">
      <w:pPr>
        <w:spacing w:after="0" w:line="240" w:lineRule="auto"/>
        <w:jc w:val="both"/>
        <w:rPr>
          <w:rFonts w:ascii="Arial" w:hAnsi="Arial" w:cs="Arial"/>
          <w:sz w:val="24"/>
          <w:szCs w:val="24"/>
          <w:lang w:val="en-US"/>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nr.I.3-</w:t>
      </w:r>
      <w:r>
        <w:rPr>
          <w:rFonts w:ascii="Arial" w:hAnsi="Arial" w:cs="Arial"/>
          <w:b/>
          <w:color w:val="FF0000"/>
          <w:sz w:val="24"/>
          <w:szCs w:val="24"/>
        </w:rPr>
        <w:t xml:space="preserve"> </w:t>
      </w:r>
      <w:r w:rsidRPr="00982309">
        <w:rPr>
          <w:rFonts w:ascii="Arial" w:hAnsi="Arial" w:cs="Arial"/>
          <w:b/>
          <w:color w:val="FF0000"/>
          <w:sz w:val="24"/>
          <w:szCs w:val="24"/>
        </w:rPr>
        <w:t>5</w:t>
      </w:r>
    </w:p>
    <w:p w:rsidR="000D5637" w:rsidRDefault="000D5637" w:rsidP="000D5637">
      <w:pPr>
        <w:spacing w:after="0" w:line="240" w:lineRule="auto"/>
        <w:jc w:val="center"/>
        <w:rPr>
          <w:rFonts w:ascii="Arial" w:hAnsi="Arial" w:cs="Arial"/>
          <w:sz w:val="24"/>
          <w:szCs w:val="24"/>
          <w:lang w:val="en-US"/>
        </w:rPr>
      </w:pPr>
      <w:r w:rsidRPr="00991C0B">
        <w:rPr>
          <w:rFonts w:ascii="Arial" w:hAnsi="Arial" w:cs="Arial"/>
          <w:noProof/>
          <w:sz w:val="24"/>
          <w:szCs w:val="24"/>
          <w:lang w:eastAsia="ro-RO"/>
        </w:rPr>
        <w:lastRenderedPageBreak/>
        <w:drawing>
          <wp:inline distT="0" distB="0" distL="0" distR="0">
            <wp:extent cx="4876800" cy="2695575"/>
            <wp:effectExtent l="1905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D5637" w:rsidRDefault="000D5637" w:rsidP="000D5637">
      <w:pPr>
        <w:spacing w:after="0" w:line="240" w:lineRule="auto"/>
        <w:jc w:val="both"/>
        <w:rPr>
          <w:rFonts w:ascii="Arial" w:hAnsi="Arial" w:cs="Arial"/>
          <w:sz w:val="24"/>
          <w:szCs w:val="24"/>
          <w:lang w:val="fr-BE"/>
        </w:rPr>
      </w:pPr>
    </w:p>
    <w:p w:rsidR="000D5637" w:rsidRPr="00E018F0" w:rsidRDefault="000D5637" w:rsidP="000D5637">
      <w:pPr>
        <w:spacing w:after="0" w:line="240" w:lineRule="auto"/>
        <w:jc w:val="both"/>
        <w:rPr>
          <w:rFonts w:ascii="Arial" w:hAnsi="Arial" w:cs="Arial"/>
          <w:sz w:val="24"/>
          <w:szCs w:val="24"/>
          <w:lang w:val="fr-BE"/>
        </w:rPr>
      </w:pPr>
      <w:r w:rsidRPr="00E018F0">
        <w:rPr>
          <w:rFonts w:ascii="Arial" w:hAnsi="Arial" w:cs="Arial"/>
          <w:sz w:val="24"/>
          <w:szCs w:val="24"/>
          <w:lang w:val="fr-BE"/>
        </w:rPr>
        <w:t>Cod indicatorRomânia RO 02</w:t>
      </w:r>
    </w:p>
    <w:p w:rsidR="000D5637"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precursori ai ozonului</w:t>
      </w:r>
    </w:p>
    <w:p w:rsidR="000D5637" w:rsidRPr="003F517B" w:rsidRDefault="000D5637" w:rsidP="000D5637">
      <w:pPr>
        <w:spacing w:after="0" w:line="240" w:lineRule="auto"/>
        <w:jc w:val="both"/>
        <w:rPr>
          <w:rFonts w:ascii="Arial" w:hAnsi="Arial" w:cs="Arial"/>
          <w:sz w:val="24"/>
          <w:szCs w:val="24"/>
          <w:lang w:val="fr-BE"/>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lang w:val="fr-BE"/>
        </w:rPr>
        <w:tab/>
      </w:r>
      <w:r w:rsidRPr="00982309">
        <w:rPr>
          <w:rFonts w:ascii="Arial" w:hAnsi="Arial" w:cs="Arial"/>
          <w:b/>
          <w:color w:val="FF0000"/>
          <w:sz w:val="24"/>
          <w:szCs w:val="24"/>
        </w:rPr>
        <w:t>Fig. nr.I.3-6</w:t>
      </w:r>
    </w:p>
    <w:p w:rsidR="000D5637" w:rsidRPr="003F517B" w:rsidRDefault="000D5637" w:rsidP="000D5637">
      <w:pPr>
        <w:tabs>
          <w:tab w:val="left" w:pos="1215"/>
        </w:tabs>
        <w:spacing w:after="0" w:line="240" w:lineRule="auto"/>
        <w:jc w:val="both"/>
        <w:rPr>
          <w:rFonts w:ascii="Arial" w:hAnsi="Arial" w:cs="Arial"/>
          <w:sz w:val="24"/>
          <w:szCs w:val="24"/>
          <w:lang w:val="fr-BE"/>
        </w:rPr>
      </w:pPr>
    </w:p>
    <w:p w:rsidR="000D5637" w:rsidRDefault="000D5637" w:rsidP="000D5637">
      <w:pPr>
        <w:spacing w:after="0" w:line="240" w:lineRule="auto"/>
        <w:jc w:val="center"/>
        <w:rPr>
          <w:rFonts w:ascii="Arial" w:hAnsi="Arial" w:cs="Arial"/>
          <w:sz w:val="24"/>
          <w:szCs w:val="24"/>
          <w:lang w:val="en-US"/>
        </w:rPr>
      </w:pPr>
      <w:r w:rsidRPr="006133AC">
        <w:rPr>
          <w:rFonts w:ascii="Arial" w:hAnsi="Arial" w:cs="Arial"/>
          <w:noProof/>
          <w:sz w:val="24"/>
          <w:szCs w:val="24"/>
          <w:lang w:eastAsia="ro-RO"/>
        </w:rPr>
        <w:drawing>
          <wp:inline distT="0" distB="0" distL="0" distR="0">
            <wp:extent cx="4819650" cy="2390775"/>
            <wp:effectExtent l="19050" t="0" r="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lang w:val="en-US"/>
        </w:rPr>
        <w:tab/>
      </w:r>
      <w:r w:rsidRPr="00E018F0">
        <w:rPr>
          <w:rFonts w:ascii="Arial" w:hAnsi="Arial" w:cs="Arial"/>
          <w:b/>
          <w:sz w:val="24"/>
          <w:szCs w:val="24"/>
        </w:rPr>
        <w:t>Fig. nr.I.3-7</w:t>
      </w:r>
    </w:p>
    <w:p w:rsidR="000D5637" w:rsidRDefault="000D5637" w:rsidP="000D5637">
      <w:pPr>
        <w:spacing w:after="0" w:line="240" w:lineRule="auto"/>
        <w:jc w:val="both"/>
        <w:rPr>
          <w:rFonts w:ascii="Arial" w:hAnsi="Arial" w:cs="Arial"/>
          <w:sz w:val="24"/>
          <w:szCs w:val="24"/>
          <w:lang w:val="en-US"/>
        </w:rPr>
      </w:pPr>
    </w:p>
    <w:p w:rsidR="000D5637" w:rsidRDefault="000D5637" w:rsidP="000D5637">
      <w:pPr>
        <w:tabs>
          <w:tab w:val="left" w:pos="915"/>
        </w:tabs>
        <w:spacing w:after="0" w:line="240" w:lineRule="auto"/>
        <w:jc w:val="center"/>
        <w:rPr>
          <w:rFonts w:ascii="Arial" w:hAnsi="Arial" w:cs="Arial"/>
          <w:sz w:val="24"/>
          <w:szCs w:val="24"/>
          <w:lang w:val="en-US"/>
        </w:rPr>
      </w:pPr>
      <w:r w:rsidRPr="00411C3F">
        <w:rPr>
          <w:rFonts w:ascii="Arial" w:hAnsi="Arial" w:cs="Arial"/>
          <w:noProof/>
          <w:sz w:val="24"/>
          <w:szCs w:val="24"/>
          <w:lang w:eastAsia="ro-RO"/>
        </w:rPr>
        <w:drawing>
          <wp:inline distT="0" distB="0" distL="0" distR="0">
            <wp:extent cx="4800600" cy="2428875"/>
            <wp:effectExtent l="1905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lastRenderedPageBreak/>
        <w:t>Fig. nr.I.3-8</w:t>
      </w:r>
    </w:p>
    <w:p w:rsidR="000D5637" w:rsidRDefault="000D5637" w:rsidP="000D5637">
      <w:pPr>
        <w:spacing w:after="0" w:line="240" w:lineRule="auto"/>
        <w:jc w:val="center"/>
        <w:rPr>
          <w:rFonts w:ascii="Arial" w:hAnsi="Arial" w:cs="Arial"/>
          <w:sz w:val="24"/>
          <w:szCs w:val="24"/>
          <w:lang w:val="en-US"/>
        </w:rPr>
      </w:pPr>
      <w:r w:rsidRPr="001238D1">
        <w:rPr>
          <w:rFonts w:ascii="Arial" w:hAnsi="Arial" w:cs="Arial"/>
          <w:noProof/>
          <w:sz w:val="24"/>
          <w:szCs w:val="24"/>
          <w:lang w:eastAsia="ro-RO"/>
        </w:rPr>
        <w:drawing>
          <wp:inline distT="0" distB="0" distL="0" distR="0">
            <wp:extent cx="4772025" cy="1933575"/>
            <wp:effectExtent l="1905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rPr>
        <w:t>Fig. nr.I.3-9</w:t>
      </w:r>
    </w:p>
    <w:p w:rsidR="000D5637" w:rsidRDefault="000D5637" w:rsidP="000D5637">
      <w:pPr>
        <w:spacing w:after="0" w:line="240" w:lineRule="auto"/>
        <w:jc w:val="both"/>
        <w:rPr>
          <w:rFonts w:ascii="Arial" w:hAnsi="Arial" w:cs="Arial"/>
          <w:sz w:val="24"/>
          <w:szCs w:val="24"/>
          <w:lang w:val="en-US"/>
        </w:rPr>
      </w:pPr>
    </w:p>
    <w:p w:rsidR="000D5637" w:rsidRDefault="000D5637" w:rsidP="000D5637">
      <w:pPr>
        <w:spacing w:after="0" w:line="240" w:lineRule="auto"/>
        <w:jc w:val="center"/>
        <w:rPr>
          <w:rFonts w:ascii="Arial" w:hAnsi="Arial" w:cs="Arial"/>
          <w:sz w:val="24"/>
          <w:szCs w:val="24"/>
          <w:lang w:val="en-US"/>
        </w:rPr>
      </w:pPr>
      <w:r w:rsidRPr="004754DF">
        <w:rPr>
          <w:rFonts w:ascii="Arial" w:hAnsi="Arial" w:cs="Arial"/>
          <w:noProof/>
          <w:sz w:val="24"/>
          <w:szCs w:val="24"/>
          <w:lang w:eastAsia="ro-RO"/>
        </w:rPr>
        <w:drawing>
          <wp:inline distT="0" distB="0" distL="0" distR="0">
            <wp:extent cx="4933950" cy="2895600"/>
            <wp:effectExtent l="19050" t="0" r="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D5637" w:rsidRDefault="000D5637" w:rsidP="000D5637">
      <w:pPr>
        <w:spacing w:after="0" w:line="240" w:lineRule="auto"/>
        <w:jc w:val="both"/>
        <w:rPr>
          <w:rFonts w:ascii="Arial" w:hAnsi="Arial" w:cs="Arial"/>
          <w:sz w:val="24"/>
          <w:szCs w:val="24"/>
          <w:lang w:val="fr-BE"/>
        </w:rPr>
      </w:pPr>
    </w:p>
    <w:p w:rsidR="000D5637" w:rsidRPr="009D7F1C"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Cod indicatorRomânia RO 03</w:t>
      </w:r>
    </w:p>
    <w:p w:rsidR="000D5637" w:rsidRDefault="000D5637" w:rsidP="000D5637">
      <w:pPr>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particule primareșiprecursorisecundari de particule</w:t>
      </w:r>
    </w:p>
    <w:p w:rsidR="000D5637" w:rsidRPr="001F48B8" w:rsidRDefault="000D5637" w:rsidP="000D5637">
      <w:pPr>
        <w:spacing w:after="0" w:line="240" w:lineRule="auto"/>
        <w:jc w:val="both"/>
        <w:rPr>
          <w:rFonts w:ascii="Arial" w:hAnsi="Arial" w:cs="Arial"/>
          <w:sz w:val="24"/>
          <w:szCs w:val="24"/>
          <w:lang w:val="fr-BE"/>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nr.I.3-10</w:t>
      </w:r>
    </w:p>
    <w:p w:rsidR="000D5637" w:rsidRDefault="000D5637" w:rsidP="000D5637">
      <w:pPr>
        <w:spacing w:after="0" w:line="240" w:lineRule="auto"/>
        <w:jc w:val="center"/>
        <w:rPr>
          <w:rFonts w:ascii="Arial" w:hAnsi="Arial" w:cs="Arial"/>
          <w:sz w:val="24"/>
          <w:szCs w:val="24"/>
          <w:lang w:val="en-US"/>
        </w:rPr>
      </w:pPr>
      <w:r w:rsidRPr="00CF40B2">
        <w:rPr>
          <w:rFonts w:ascii="Arial" w:hAnsi="Arial" w:cs="Arial"/>
          <w:noProof/>
          <w:sz w:val="24"/>
          <w:szCs w:val="24"/>
          <w:lang w:eastAsia="ro-RO"/>
        </w:rPr>
        <w:drawing>
          <wp:inline distT="0" distB="0" distL="0" distR="0">
            <wp:extent cx="4876800" cy="2876550"/>
            <wp:effectExtent l="0" t="0" r="0" b="0"/>
            <wp:docPr id="2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rPr>
        <w:t>Fig. nr.I.3-11</w:t>
      </w:r>
    </w:p>
    <w:p w:rsidR="000D5637" w:rsidRDefault="000D5637" w:rsidP="000D5637">
      <w:pPr>
        <w:spacing w:after="0" w:line="240" w:lineRule="auto"/>
        <w:jc w:val="center"/>
        <w:rPr>
          <w:rFonts w:ascii="Arial" w:hAnsi="Arial" w:cs="Arial"/>
          <w:sz w:val="24"/>
          <w:szCs w:val="24"/>
          <w:lang w:val="en-US"/>
        </w:rPr>
      </w:pPr>
      <w:r w:rsidRPr="002C2C52">
        <w:rPr>
          <w:rFonts w:ascii="Arial" w:hAnsi="Arial" w:cs="Arial"/>
          <w:noProof/>
          <w:sz w:val="24"/>
          <w:szCs w:val="24"/>
          <w:lang w:eastAsia="ro-RO"/>
        </w:rPr>
        <w:drawing>
          <wp:inline distT="0" distB="0" distL="0" distR="0">
            <wp:extent cx="4772025" cy="2124075"/>
            <wp:effectExtent l="0" t="0" r="0" b="0"/>
            <wp:docPr id="2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D5637" w:rsidRPr="00343673" w:rsidRDefault="000D5637" w:rsidP="000D5637">
      <w:pPr>
        <w:spacing w:after="0" w:line="240" w:lineRule="auto"/>
        <w:jc w:val="both"/>
        <w:rPr>
          <w:rFonts w:ascii="Arial" w:hAnsi="Arial" w:cs="Arial"/>
          <w:sz w:val="24"/>
          <w:szCs w:val="24"/>
          <w:lang w:val="en-US"/>
        </w:rPr>
      </w:pP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lang w:val="en-US"/>
        </w:rPr>
        <w:tab/>
      </w:r>
      <w:r w:rsidRPr="00E018F0">
        <w:rPr>
          <w:rFonts w:ascii="Arial" w:hAnsi="Arial" w:cs="Arial"/>
          <w:b/>
          <w:sz w:val="24"/>
          <w:szCs w:val="24"/>
        </w:rPr>
        <w:t>Fig. nr.I.3-12</w:t>
      </w:r>
    </w:p>
    <w:p w:rsidR="000D5637" w:rsidRDefault="000D5637" w:rsidP="000D5637">
      <w:pPr>
        <w:spacing w:after="0" w:line="240" w:lineRule="auto"/>
        <w:jc w:val="both"/>
        <w:rPr>
          <w:rFonts w:ascii="Arial" w:hAnsi="Arial" w:cs="Arial"/>
          <w:sz w:val="24"/>
          <w:szCs w:val="24"/>
          <w:lang w:val="en-US"/>
        </w:rPr>
      </w:pPr>
    </w:p>
    <w:p w:rsidR="000D5637" w:rsidRDefault="000D5637" w:rsidP="000D5637">
      <w:pPr>
        <w:tabs>
          <w:tab w:val="left" w:pos="1425"/>
        </w:tabs>
        <w:spacing w:after="0" w:line="240" w:lineRule="auto"/>
        <w:jc w:val="center"/>
        <w:rPr>
          <w:rFonts w:ascii="Arial" w:hAnsi="Arial" w:cs="Arial"/>
          <w:sz w:val="24"/>
          <w:szCs w:val="24"/>
          <w:lang w:val="en-US"/>
        </w:rPr>
      </w:pPr>
      <w:r w:rsidRPr="00343673">
        <w:rPr>
          <w:rFonts w:ascii="Arial" w:hAnsi="Arial" w:cs="Arial"/>
          <w:noProof/>
          <w:sz w:val="24"/>
          <w:szCs w:val="24"/>
          <w:lang w:eastAsia="ro-RO"/>
        </w:rPr>
        <w:drawing>
          <wp:inline distT="0" distB="0" distL="0" distR="0">
            <wp:extent cx="4648200" cy="2209800"/>
            <wp:effectExtent l="19050" t="0" r="0" b="0"/>
            <wp:docPr id="2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D5637" w:rsidRDefault="000D5637" w:rsidP="000D5637">
      <w:pPr>
        <w:spacing w:after="0" w:line="240" w:lineRule="auto"/>
        <w:jc w:val="both"/>
        <w:rPr>
          <w:rFonts w:ascii="Arial" w:hAnsi="Arial" w:cs="Arial"/>
          <w:sz w:val="24"/>
          <w:szCs w:val="24"/>
          <w:lang w:val="fr-BE"/>
        </w:rPr>
      </w:pPr>
    </w:p>
    <w:p w:rsidR="000D5637" w:rsidRPr="009D7F1C"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Cod indicatorRomânia RO 38</w:t>
      </w:r>
    </w:p>
    <w:p w:rsidR="000D5637" w:rsidRDefault="000D5637" w:rsidP="000D5637">
      <w:pPr>
        <w:tabs>
          <w:tab w:val="left" w:pos="1425"/>
        </w:tabs>
        <w:spacing w:after="0" w:line="240" w:lineRule="auto"/>
        <w:jc w:val="both"/>
        <w:rPr>
          <w:rFonts w:ascii="Arial" w:hAnsi="Arial" w:cs="Arial"/>
          <w:sz w:val="24"/>
          <w:szCs w:val="24"/>
          <w:lang w:val="en-US"/>
        </w:rPr>
      </w:pPr>
      <w:r w:rsidRPr="003F1F50">
        <w:rPr>
          <w:rFonts w:ascii="Arial" w:hAnsi="Arial" w:cs="Arial"/>
          <w:sz w:val="24"/>
          <w:szCs w:val="24"/>
          <w:lang w:val="fr-BE"/>
        </w:rPr>
        <w:t>E</w:t>
      </w:r>
      <w:r>
        <w:rPr>
          <w:rFonts w:ascii="Arial" w:hAnsi="Arial" w:cs="Arial"/>
          <w:sz w:val="24"/>
          <w:szCs w:val="24"/>
          <w:lang w:val="fr-BE"/>
        </w:rPr>
        <w:t>misiile de metalegrele</w:t>
      </w: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nr.I.3-13</w:t>
      </w:r>
    </w:p>
    <w:p w:rsidR="000D5637" w:rsidRDefault="000D5637" w:rsidP="000D5637">
      <w:pPr>
        <w:tabs>
          <w:tab w:val="left" w:pos="1425"/>
        </w:tabs>
        <w:spacing w:after="0" w:line="240" w:lineRule="auto"/>
        <w:jc w:val="center"/>
        <w:rPr>
          <w:rFonts w:ascii="Arial" w:hAnsi="Arial" w:cs="Arial"/>
          <w:sz w:val="24"/>
          <w:szCs w:val="24"/>
          <w:lang w:val="en-US"/>
        </w:rPr>
      </w:pPr>
      <w:r w:rsidRPr="00530A81">
        <w:rPr>
          <w:rFonts w:ascii="Arial" w:hAnsi="Arial" w:cs="Arial"/>
          <w:noProof/>
          <w:sz w:val="24"/>
          <w:szCs w:val="24"/>
          <w:lang w:eastAsia="ro-RO"/>
        </w:rPr>
        <w:drawing>
          <wp:inline distT="0" distB="0" distL="0" distR="0">
            <wp:extent cx="4829175" cy="2257425"/>
            <wp:effectExtent l="0" t="0" r="0" b="0"/>
            <wp:docPr id="2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D5637" w:rsidRPr="0002392E" w:rsidRDefault="000D5637" w:rsidP="000D5637">
      <w:pPr>
        <w:spacing w:after="0" w:line="240" w:lineRule="auto"/>
        <w:jc w:val="both"/>
        <w:rPr>
          <w:rFonts w:ascii="Arial" w:hAnsi="Arial" w:cs="Arial"/>
          <w:sz w:val="24"/>
          <w:szCs w:val="24"/>
          <w:lang w:val="en-US"/>
        </w:rPr>
      </w:pPr>
    </w:p>
    <w:p w:rsidR="000D5637" w:rsidRDefault="000D5637" w:rsidP="000D5637">
      <w:pPr>
        <w:spacing w:after="0" w:line="240" w:lineRule="auto"/>
        <w:jc w:val="both"/>
        <w:rPr>
          <w:rFonts w:ascii="Arial" w:hAnsi="Arial" w:cs="Arial"/>
          <w:sz w:val="24"/>
          <w:szCs w:val="24"/>
          <w:lang w:val="en-US"/>
        </w:rPr>
      </w:pP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nr.I.3-14</w:t>
      </w:r>
    </w:p>
    <w:p w:rsidR="000D5637" w:rsidRDefault="000D5637" w:rsidP="000D5637">
      <w:pPr>
        <w:spacing w:after="0" w:line="240" w:lineRule="auto"/>
        <w:jc w:val="center"/>
        <w:rPr>
          <w:rFonts w:ascii="Arial" w:hAnsi="Arial" w:cs="Arial"/>
          <w:sz w:val="24"/>
          <w:szCs w:val="24"/>
          <w:lang w:val="en-US"/>
        </w:rPr>
      </w:pPr>
      <w:r w:rsidRPr="0002392E">
        <w:rPr>
          <w:rFonts w:ascii="Arial" w:hAnsi="Arial" w:cs="Arial"/>
          <w:noProof/>
          <w:sz w:val="24"/>
          <w:szCs w:val="24"/>
          <w:lang w:eastAsia="ro-RO"/>
        </w:rPr>
        <w:lastRenderedPageBreak/>
        <w:drawing>
          <wp:inline distT="0" distB="0" distL="0" distR="0">
            <wp:extent cx="4829175" cy="2143125"/>
            <wp:effectExtent l="19050" t="0" r="0" b="0"/>
            <wp:docPr id="2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rPr>
        <w:t>Fig. nr.I.3-15</w:t>
      </w:r>
    </w:p>
    <w:p w:rsidR="000D5637" w:rsidRDefault="000D5637" w:rsidP="000D5637">
      <w:pPr>
        <w:spacing w:after="0" w:line="240" w:lineRule="auto"/>
        <w:jc w:val="center"/>
        <w:rPr>
          <w:rFonts w:ascii="Arial" w:hAnsi="Arial" w:cs="Arial"/>
          <w:sz w:val="24"/>
          <w:szCs w:val="24"/>
          <w:lang w:val="en-US"/>
        </w:rPr>
      </w:pPr>
      <w:r w:rsidRPr="000E163A">
        <w:rPr>
          <w:rFonts w:ascii="Arial" w:hAnsi="Arial" w:cs="Arial"/>
          <w:noProof/>
          <w:sz w:val="24"/>
          <w:szCs w:val="24"/>
          <w:lang w:eastAsia="ro-RO"/>
        </w:rPr>
        <w:drawing>
          <wp:inline distT="0" distB="0" distL="0" distR="0">
            <wp:extent cx="4762500" cy="2543175"/>
            <wp:effectExtent l="19050" t="0" r="0" b="0"/>
            <wp:docPr id="2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D5637" w:rsidRPr="004C0937" w:rsidRDefault="000D5637" w:rsidP="000D5637">
      <w:pPr>
        <w:spacing w:after="0" w:line="240" w:lineRule="auto"/>
        <w:jc w:val="both"/>
        <w:rPr>
          <w:rFonts w:ascii="Arial" w:hAnsi="Arial" w:cs="Arial"/>
          <w:sz w:val="24"/>
          <w:szCs w:val="24"/>
          <w:lang w:val="en-US"/>
        </w:rPr>
      </w:pPr>
    </w:p>
    <w:p w:rsidR="000D5637" w:rsidRPr="009D7F1C" w:rsidRDefault="000D5637" w:rsidP="000D5637">
      <w:pPr>
        <w:spacing w:after="0" w:line="240" w:lineRule="auto"/>
        <w:jc w:val="both"/>
        <w:rPr>
          <w:rFonts w:ascii="Arial" w:hAnsi="Arial" w:cs="Arial"/>
          <w:sz w:val="24"/>
          <w:szCs w:val="24"/>
          <w:lang w:val="fr-BE"/>
        </w:rPr>
      </w:pPr>
      <w:r>
        <w:rPr>
          <w:rFonts w:ascii="Arial" w:hAnsi="Arial" w:cs="Arial"/>
          <w:sz w:val="24"/>
          <w:szCs w:val="24"/>
          <w:lang w:val="fr-BE"/>
        </w:rPr>
        <w:t>Cod indicatorRomânia RO 39</w:t>
      </w:r>
    </w:p>
    <w:p w:rsidR="000D5637" w:rsidRPr="00246C15" w:rsidRDefault="000D5637" w:rsidP="000D5637">
      <w:pPr>
        <w:tabs>
          <w:tab w:val="left" w:pos="5025"/>
        </w:tabs>
        <w:spacing w:after="0" w:line="240" w:lineRule="auto"/>
        <w:jc w:val="both"/>
        <w:rPr>
          <w:rFonts w:ascii="Arial" w:hAnsi="Arial" w:cs="Arial"/>
          <w:sz w:val="24"/>
          <w:szCs w:val="24"/>
          <w:lang w:val="fr-BE"/>
        </w:rPr>
      </w:pPr>
      <w:r w:rsidRPr="003F1F50">
        <w:rPr>
          <w:rFonts w:ascii="Arial" w:hAnsi="Arial" w:cs="Arial"/>
          <w:sz w:val="24"/>
          <w:szCs w:val="24"/>
          <w:lang w:val="fr-BE"/>
        </w:rPr>
        <w:t>E</w:t>
      </w:r>
      <w:r>
        <w:rPr>
          <w:rFonts w:ascii="Arial" w:hAnsi="Arial" w:cs="Arial"/>
          <w:sz w:val="24"/>
          <w:szCs w:val="24"/>
          <w:lang w:val="fr-BE"/>
        </w:rPr>
        <w:t>misiile de poluanțiorganicipersistenți</w:t>
      </w:r>
      <w:r w:rsidRPr="00246C15">
        <w:rPr>
          <w:rFonts w:ascii="Arial" w:hAnsi="Arial" w:cs="Arial"/>
          <w:sz w:val="24"/>
          <w:szCs w:val="24"/>
          <w:lang w:val="fr-BE"/>
        </w:rPr>
        <w:tab/>
      </w:r>
    </w:p>
    <w:p w:rsidR="000D5637" w:rsidRPr="00982309" w:rsidRDefault="000D5637" w:rsidP="000D5637">
      <w:pPr>
        <w:spacing w:after="0" w:line="240" w:lineRule="auto"/>
        <w:jc w:val="both"/>
        <w:rPr>
          <w:rFonts w:ascii="Arial" w:hAnsi="Arial" w:cs="Arial"/>
          <w:b/>
          <w:color w:val="FF0000"/>
          <w:sz w:val="24"/>
          <w:szCs w:val="24"/>
        </w:rPr>
      </w:pPr>
      <w:r w:rsidRPr="00982309">
        <w:rPr>
          <w:rFonts w:ascii="Arial" w:hAnsi="Arial" w:cs="Arial"/>
          <w:b/>
          <w:color w:val="FF0000"/>
          <w:sz w:val="24"/>
          <w:szCs w:val="24"/>
        </w:rPr>
        <w:t>Fig. nr.I.3-16</w:t>
      </w:r>
    </w:p>
    <w:p w:rsidR="000D5637" w:rsidRDefault="000D5637" w:rsidP="000D5637">
      <w:pPr>
        <w:spacing w:after="0" w:line="240" w:lineRule="auto"/>
        <w:jc w:val="center"/>
        <w:rPr>
          <w:rFonts w:ascii="Arial" w:hAnsi="Arial" w:cs="Arial"/>
          <w:sz w:val="24"/>
          <w:szCs w:val="24"/>
          <w:lang w:val="en-US"/>
        </w:rPr>
      </w:pPr>
      <w:r w:rsidRPr="004C0937">
        <w:rPr>
          <w:rFonts w:ascii="Arial" w:hAnsi="Arial" w:cs="Arial"/>
          <w:noProof/>
          <w:sz w:val="24"/>
          <w:szCs w:val="24"/>
          <w:lang w:eastAsia="ro-RO"/>
        </w:rPr>
        <w:drawing>
          <wp:inline distT="0" distB="0" distL="0" distR="0">
            <wp:extent cx="4876800" cy="2362200"/>
            <wp:effectExtent l="19050" t="0" r="0" b="0"/>
            <wp:docPr id="2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D5637" w:rsidRDefault="000D5637" w:rsidP="000D5637">
      <w:pPr>
        <w:spacing w:after="0" w:line="240" w:lineRule="auto"/>
        <w:jc w:val="both"/>
        <w:rPr>
          <w:rFonts w:ascii="Arial" w:hAnsi="Arial" w:cs="Arial"/>
          <w:sz w:val="24"/>
          <w:szCs w:val="24"/>
          <w:lang w:val="en-US"/>
        </w:rPr>
      </w:pPr>
      <w:r w:rsidRPr="00E018F0">
        <w:rPr>
          <w:rFonts w:ascii="Arial" w:hAnsi="Arial" w:cs="Arial"/>
          <w:b/>
          <w:sz w:val="24"/>
          <w:szCs w:val="24"/>
        </w:rPr>
        <w:t>Fig.nr.I.3-17</w:t>
      </w: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center"/>
        <w:rPr>
          <w:rFonts w:ascii="Arial" w:hAnsi="Arial" w:cs="Arial"/>
          <w:b/>
          <w:sz w:val="24"/>
          <w:szCs w:val="24"/>
        </w:rPr>
      </w:pPr>
      <w:r w:rsidRPr="001C417F">
        <w:rPr>
          <w:rFonts w:ascii="Arial" w:hAnsi="Arial" w:cs="Arial"/>
          <w:b/>
          <w:noProof/>
          <w:sz w:val="24"/>
          <w:szCs w:val="24"/>
          <w:lang w:eastAsia="ro-RO"/>
        </w:rPr>
        <w:lastRenderedPageBreak/>
        <w:drawing>
          <wp:inline distT="0" distB="0" distL="0" distR="0">
            <wp:extent cx="4895850" cy="2400300"/>
            <wp:effectExtent l="19050" t="0" r="0" b="0"/>
            <wp:docPr id="2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D5637" w:rsidRDefault="000D5637" w:rsidP="000D5637">
      <w:pPr>
        <w:spacing w:after="0" w:line="240" w:lineRule="auto"/>
        <w:jc w:val="both"/>
        <w:rPr>
          <w:rFonts w:ascii="Arial" w:hAnsi="Arial" w:cs="Arial"/>
          <w:sz w:val="24"/>
          <w:szCs w:val="24"/>
          <w:lang w:val="en-US"/>
        </w:rPr>
      </w:pPr>
    </w:p>
    <w:p w:rsidR="000D5637" w:rsidRDefault="000D5637" w:rsidP="000D5637">
      <w:pPr>
        <w:spacing w:after="0" w:line="240" w:lineRule="auto"/>
        <w:jc w:val="both"/>
        <w:rPr>
          <w:rFonts w:ascii="Arial" w:hAnsi="Arial" w:cs="Arial"/>
          <w:sz w:val="24"/>
          <w:szCs w:val="24"/>
          <w:lang w:val="en-US"/>
        </w:rPr>
      </w:pPr>
    </w:p>
    <w:p w:rsidR="000D5637" w:rsidRPr="00E018F0" w:rsidRDefault="000D5637" w:rsidP="000D5637">
      <w:pPr>
        <w:spacing w:after="0" w:line="240" w:lineRule="auto"/>
        <w:jc w:val="both"/>
        <w:rPr>
          <w:rFonts w:ascii="Arial" w:hAnsi="Arial" w:cs="Arial"/>
          <w:b/>
          <w:sz w:val="24"/>
          <w:szCs w:val="24"/>
        </w:rPr>
      </w:pPr>
      <w:r w:rsidRPr="00E018F0">
        <w:rPr>
          <w:rFonts w:ascii="Arial" w:hAnsi="Arial" w:cs="Arial"/>
          <w:b/>
          <w:sz w:val="24"/>
          <w:szCs w:val="24"/>
          <w:lang w:val="en-US"/>
        </w:rPr>
        <w:tab/>
      </w:r>
      <w:r w:rsidRPr="00E018F0">
        <w:rPr>
          <w:rFonts w:ascii="Arial" w:hAnsi="Arial" w:cs="Arial"/>
          <w:b/>
          <w:sz w:val="24"/>
          <w:szCs w:val="24"/>
        </w:rPr>
        <w:t>Fig. nr.I.3-18</w:t>
      </w:r>
    </w:p>
    <w:p w:rsidR="000D5637" w:rsidRDefault="000D5637" w:rsidP="000D5637">
      <w:pPr>
        <w:tabs>
          <w:tab w:val="left" w:pos="1425"/>
        </w:tabs>
        <w:spacing w:after="0" w:line="240" w:lineRule="auto"/>
        <w:jc w:val="center"/>
        <w:rPr>
          <w:rFonts w:ascii="Arial" w:hAnsi="Arial" w:cs="Arial"/>
          <w:sz w:val="24"/>
          <w:szCs w:val="24"/>
          <w:lang w:val="en-US"/>
        </w:rPr>
      </w:pPr>
    </w:p>
    <w:p w:rsidR="000D5637" w:rsidRDefault="000D5637" w:rsidP="000D5637">
      <w:pPr>
        <w:tabs>
          <w:tab w:val="left" w:pos="1425"/>
        </w:tabs>
        <w:spacing w:after="0" w:line="240" w:lineRule="auto"/>
        <w:jc w:val="center"/>
        <w:rPr>
          <w:rFonts w:ascii="Arial" w:hAnsi="Arial" w:cs="Arial"/>
          <w:sz w:val="24"/>
          <w:szCs w:val="24"/>
          <w:lang w:val="en-US"/>
        </w:rPr>
      </w:pPr>
      <w:r w:rsidRPr="001C417F">
        <w:rPr>
          <w:rFonts w:ascii="Arial" w:hAnsi="Arial" w:cs="Arial"/>
          <w:noProof/>
          <w:sz w:val="24"/>
          <w:szCs w:val="24"/>
          <w:lang w:eastAsia="ro-RO"/>
        </w:rPr>
        <w:drawing>
          <wp:inline distT="0" distB="0" distL="0" distR="0">
            <wp:extent cx="4800600" cy="2543175"/>
            <wp:effectExtent l="19050" t="0" r="0" b="0"/>
            <wp:docPr id="2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D5637" w:rsidRPr="00E1573B" w:rsidRDefault="000D5637" w:rsidP="000D5637">
      <w:pPr>
        <w:tabs>
          <w:tab w:val="left" w:pos="1245"/>
        </w:tabs>
        <w:spacing w:after="0" w:line="240" w:lineRule="auto"/>
        <w:jc w:val="both"/>
        <w:rPr>
          <w:rFonts w:ascii="Arial" w:hAnsi="Arial" w:cs="Arial"/>
          <w:i/>
          <w:sz w:val="24"/>
          <w:szCs w:val="24"/>
          <w:lang w:val="fr-BE"/>
        </w:rPr>
      </w:pPr>
    </w:p>
    <w:p w:rsidR="005E33A1" w:rsidRDefault="005E33A1" w:rsidP="009B53B3">
      <w:pPr>
        <w:spacing w:after="0" w:line="240" w:lineRule="auto"/>
        <w:jc w:val="both"/>
        <w:rPr>
          <w:rFonts w:ascii="Arial" w:hAnsi="Arial" w:cs="Arial"/>
          <w:sz w:val="24"/>
          <w:szCs w:val="24"/>
          <w:lang w:val="en-US"/>
        </w:rPr>
      </w:pPr>
    </w:p>
    <w:p w:rsidR="0018399B" w:rsidRPr="00C625DB" w:rsidRDefault="0018399B" w:rsidP="00C625DB">
      <w:pPr>
        <w:spacing w:after="0" w:line="240" w:lineRule="auto"/>
        <w:jc w:val="both"/>
        <w:rPr>
          <w:rFonts w:ascii="Arial" w:hAnsi="Arial" w:cs="Arial"/>
          <w:b/>
          <w:color w:val="FF0000"/>
          <w:sz w:val="24"/>
          <w:szCs w:val="24"/>
        </w:rPr>
      </w:pPr>
    </w:p>
    <w:p w:rsidR="00E0148D" w:rsidRPr="00C625DB" w:rsidRDefault="00E0148D" w:rsidP="00E0148D">
      <w:pPr>
        <w:pStyle w:val="BodyTextIndent2"/>
        <w:spacing w:after="0" w:line="240" w:lineRule="auto"/>
        <w:ind w:left="0"/>
        <w:rPr>
          <w:rFonts w:ascii="Arial" w:hAnsi="Arial" w:cs="Arial"/>
          <w:b/>
          <w:bCs/>
          <w:sz w:val="32"/>
          <w:szCs w:val="32"/>
          <w:lang w:val="ro-RO"/>
        </w:rPr>
      </w:pPr>
      <w:r w:rsidRPr="00C625DB">
        <w:rPr>
          <w:rFonts w:ascii="Arial" w:hAnsi="Arial" w:cs="Arial"/>
          <w:b/>
          <w:bCs/>
          <w:sz w:val="32"/>
          <w:szCs w:val="32"/>
          <w:lang w:val="ro-RO"/>
        </w:rPr>
        <w:t>II.    APA</w:t>
      </w:r>
    </w:p>
    <w:p w:rsidR="0018399B" w:rsidRPr="00C625DB" w:rsidRDefault="0018399B" w:rsidP="00C625DB">
      <w:pPr>
        <w:spacing w:after="0" w:line="240" w:lineRule="auto"/>
        <w:jc w:val="both"/>
        <w:rPr>
          <w:rFonts w:ascii="Arial" w:hAnsi="Arial" w:cs="Arial"/>
          <w:b/>
          <w:color w:val="FF0000"/>
          <w:sz w:val="24"/>
          <w:szCs w:val="24"/>
        </w:rPr>
      </w:pPr>
    </w:p>
    <w:p w:rsidR="007551D0" w:rsidRPr="00E92120" w:rsidRDefault="007551D0" w:rsidP="007551D0">
      <w:pPr>
        <w:pStyle w:val="Default"/>
        <w:rPr>
          <w:rFonts w:ascii="Arial" w:hAnsi="Arial" w:cs="Arial"/>
          <w:b/>
          <w:bCs/>
          <w:lang w:val="ro-RO"/>
        </w:rPr>
      </w:pPr>
      <w:r w:rsidRPr="00E92120">
        <w:rPr>
          <w:rFonts w:ascii="Arial" w:hAnsi="Arial" w:cs="Arial"/>
          <w:b/>
          <w:bCs/>
          <w:lang w:val="ro-RO"/>
        </w:rPr>
        <w:t xml:space="preserve">   II.1 Resursele de apă, Cantități și debite </w:t>
      </w:r>
    </w:p>
    <w:p w:rsidR="007551D0" w:rsidRPr="00E92120" w:rsidRDefault="007551D0" w:rsidP="007551D0">
      <w:pPr>
        <w:pStyle w:val="Default"/>
        <w:rPr>
          <w:rFonts w:ascii="Arial" w:hAnsi="Arial" w:cs="Arial"/>
          <w:b/>
          <w:bCs/>
          <w:u w:val="single"/>
          <w:lang w:val="ro-RO"/>
        </w:rPr>
      </w:pPr>
    </w:p>
    <w:p w:rsidR="007551D0" w:rsidRPr="00E92120" w:rsidRDefault="007551D0" w:rsidP="007551D0">
      <w:pPr>
        <w:pStyle w:val="BodyTextIndent2"/>
        <w:spacing w:after="0" w:line="240" w:lineRule="auto"/>
        <w:ind w:left="0"/>
        <w:rPr>
          <w:rFonts w:ascii="Arial" w:hAnsi="Arial" w:cs="Arial"/>
          <w:b/>
          <w:bCs/>
          <w:i/>
          <w:iCs/>
          <w:lang w:val="ro-RO"/>
        </w:rPr>
      </w:pPr>
      <w:r w:rsidRPr="00E92120">
        <w:rPr>
          <w:rFonts w:ascii="Arial" w:hAnsi="Arial" w:cs="Arial"/>
          <w:b/>
          <w:bCs/>
          <w:iCs/>
          <w:lang w:val="ro-RO"/>
        </w:rPr>
        <w:t xml:space="preserve">     II.1.1 Stare, presiuni şi consecinţe</w:t>
      </w:r>
    </w:p>
    <w:p w:rsidR="007551D0" w:rsidRPr="00E92120" w:rsidRDefault="007551D0" w:rsidP="007551D0">
      <w:pPr>
        <w:pStyle w:val="BodyTextIndent2"/>
        <w:spacing w:after="0" w:line="240" w:lineRule="auto"/>
        <w:ind w:left="0"/>
        <w:rPr>
          <w:rFonts w:ascii="Arial" w:hAnsi="Arial" w:cs="Arial"/>
          <w:b/>
          <w:bCs/>
          <w:i/>
          <w:iCs/>
          <w:u w:val="single"/>
          <w:lang w:val="ro-RO"/>
        </w:rPr>
      </w:pPr>
    </w:p>
    <w:p w:rsidR="007551D0" w:rsidRDefault="007551D0" w:rsidP="007551D0">
      <w:pPr>
        <w:pStyle w:val="Default"/>
        <w:rPr>
          <w:rFonts w:ascii="Arial" w:hAnsi="Arial" w:cs="Arial"/>
          <w:b/>
          <w:bCs/>
          <w:color w:val="auto"/>
        </w:rPr>
      </w:pPr>
      <w:r w:rsidRPr="00E92120">
        <w:rPr>
          <w:rFonts w:ascii="Arial" w:hAnsi="Arial" w:cs="Arial"/>
          <w:b/>
          <w:bCs/>
          <w:color w:val="auto"/>
        </w:rPr>
        <w:t xml:space="preserve">       II.1.1.1</w:t>
      </w:r>
      <w:r w:rsidRPr="00E92120">
        <w:rPr>
          <w:rFonts w:ascii="Arial" w:hAnsi="Arial" w:cs="Arial"/>
          <w:b/>
          <w:bCs/>
          <w:i/>
          <w:iCs/>
          <w:color w:val="auto"/>
        </w:rPr>
        <w:t xml:space="preserve"> </w:t>
      </w:r>
      <w:r w:rsidRPr="00E92120">
        <w:rPr>
          <w:rFonts w:ascii="Arial" w:hAnsi="Arial" w:cs="Arial"/>
          <w:b/>
          <w:bCs/>
          <w:color w:val="auto"/>
        </w:rPr>
        <w:t xml:space="preserve">Resurse de apă potenţiale şi tehnic utilizabile </w:t>
      </w:r>
    </w:p>
    <w:p w:rsidR="007551D0" w:rsidRPr="00E92120" w:rsidRDefault="007551D0" w:rsidP="007551D0">
      <w:pPr>
        <w:pStyle w:val="Default"/>
        <w:rPr>
          <w:rFonts w:ascii="Arial" w:hAnsi="Arial" w:cs="Arial"/>
          <w:b/>
          <w:bCs/>
          <w:color w:val="auto"/>
        </w:rPr>
      </w:pPr>
    </w:p>
    <w:p w:rsidR="007551D0" w:rsidRPr="00C95A7F" w:rsidRDefault="007551D0" w:rsidP="007551D0">
      <w:pPr>
        <w:spacing w:after="120"/>
        <w:ind w:firstLine="720"/>
        <w:jc w:val="both"/>
        <w:rPr>
          <w:rFonts w:ascii="Arial" w:hAnsi="Arial" w:cs="Arial"/>
          <w:b/>
          <w:sz w:val="26"/>
          <w:szCs w:val="26"/>
        </w:rPr>
      </w:pPr>
      <w:r w:rsidRPr="00C95A7F">
        <w:rPr>
          <w:rFonts w:ascii="Arial" w:hAnsi="Arial" w:cs="Arial"/>
          <w:b/>
          <w:sz w:val="26"/>
          <w:szCs w:val="26"/>
        </w:rPr>
        <w:t>Resursa naturală de apă la nivelul anului 2016</w:t>
      </w:r>
    </w:p>
    <w:p w:rsidR="007551D0" w:rsidRPr="007105A2" w:rsidRDefault="007551D0" w:rsidP="007551D0">
      <w:pPr>
        <w:spacing w:after="0" w:line="240" w:lineRule="auto"/>
        <w:ind w:firstLine="708"/>
        <w:jc w:val="both"/>
        <w:rPr>
          <w:rFonts w:ascii="Arial" w:hAnsi="Arial" w:cs="Arial"/>
          <w:sz w:val="24"/>
          <w:szCs w:val="24"/>
        </w:rPr>
      </w:pPr>
      <w:r w:rsidRPr="00760BCC">
        <w:rPr>
          <w:rFonts w:ascii="Arial" w:hAnsi="Arial" w:cs="Arial"/>
          <w:b/>
          <w:sz w:val="24"/>
          <w:szCs w:val="24"/>
        </w:rPr>
        <w:t>Resursele naturale</w:t>
      </w:r>
      <w:r w:rsidRPr="007105A2">
        <w:rPr>
          <w:rFonts w:ascii="Arial" w:hAnsi="Arial" w:cs="Arial"/>
          <w:sz w:val="24"/>
          <w:szCs w:val="24"/>
        </w:rPr>
        <w:t xml:space="preserve"> de apă reprezintă </w:t>
      </w:r>
      <w:r w:rsidRPr="00760BCC">
        <w:rPr>
          <w:rFonts w:ascii="Arial" w:hAnsi="Arial" w:cs="Arial"/>
          <w:b/>
          <w:sz w:val="24"/>
          <w:szCs w:val="24"/>
        </w:rPr>
        <w:t>rezervele de apă de suprafață și subterane</w:t>
      </w:r>
      <w:r w:rsidRPr="007105A2">
        <w:rPr>
          <w:rFonts w:ascii="Arial" w:hAnsi="Arial" w:cs="Arial"/>
          <w:sz w:val="24"/>
          <w:szCs w:val="24"/>
        </w:rPr>
        <w:t xml:space="preserve"> ale unui teritoriu care pot fi folosite pentru diverse scopuri.</w:t>
      </w:r>
    </w:p>
    <w:p w:rsidR="007551D0" w:rsidRPr="007105A2" w:rsidRDefault="007551D0" w:rsidP="007551D0">
      <w:pPr>
        <w:spacing w:after="0" w:line="240" w:lineRule="auto"/>
        <w:ind w:firstLine="708"/>
        <w:jc w:val="both"/>
        <w:rPr>
          <w:rFonts w:ascii="Arial" w:hAnsi="Arial" w:cs="Arial"/>
          <w:sz w:val="24"/>
          <w:szCs w:val="24"/>
        </w:rPr>
      </w:pPr>
      <w:r w:rsidRPr="00CD7BA9">
        <w:rPr>
          <w:rFonts w:ascii="Arial" w:hAnsi="Arial" w:cs="Arial"/>
          <w:b/>
          <w:sz w:val="24"/>
          <w:szCs w:val="24"/>
        </w:rPr>
        <w:t>Resursa naturală</w:t>
      </w:r>
      <w:r w:rsidRPr="007105A2">
        <w:rPr>
          <w:rFonts w:ascii="Arial" w:hAnsi="Arial" w:cs="Arial"/>
          <w:sz w:val="24"/>
          <w:szCs w:val="24"/>
        </w:rPr>
        <w:t xml:space="preserve"> este cantitatea de apă exprimată în unități de volum acumulată în corpurile de apă într-un interval de timp dat, în cazul de față în cursul anului 2016.</w:t>
      </w:r>
    </w:p>
    <w:p w:rsidR="007551D0" w:rsidRPr="001E5431" w:rsidRDefault="007551D0" w:rsidP="007551D0">
      <w:pPr>
        <w:spacing w:after="0" w:line="240" w:lineRule="auto"/>
        <w:ind w:firstLine="708"/>
        <w:jc w:val="both"/>
        <w:rPr>
          <w:rFonts w:ascii="Arial" w:hAnsi="Arial" w:cs="Arial"/>
          <w:sz w:val="24"/>
          <w:szCs w:val="24"/>
        </w:rPr>
      </w:pPr>
      <w:r w:rsidRPr="00CD7BA9">
        <w:rPr>
          <w:rFonts w:ascii="Arial" w:hAnsi="Arial" w:cs="Arial"/>
          <w:b/>
          <w:i/>
          <w:sz w:val="24"/>
          <w:szCs w:val="24"/>
        </w:rPr>
        <w:t>Resursa teoretică</w:t>
      </w:r>
      <w:r w:rsidRPr="001E5431">
        <w:rPr>
          <w:rFonts w:ascii="Arial" w:hAnsi="Arial" w:cs="Arial"/>
          <w:i/>
          <w:sz w:val="24"/>
          <w:szCs w:val="24"/>
        </w:rPr>
        <w:t xml:space="preserve"> </w:t>
      </w:r>
      <w:r w:rsidRPr="001E5431">
        <w:rPr>
          <w:rFonts w:ascii="Arial" w:hAnsi="Arial" w:cs="Arial"/>
          <w:sz w:val="24"/>
          <w:szCs w:val="24"/>
        </w:rPr>
        <w:t>este dată de stocul mediu anual reprezentând totalitatea resurselor naturale de apă atât de suprafață cât și subterane.</w:t>
      </w:r>
    </w:p>
    <w:p w:rsidR="007551D0" w:rsidRDefault="007551D0" w:rsidP="007551D0">
      <w:pPr>
        <w:spacing w:after="0" w:line="240" w:lineRule="auto"/>
        <w:ind w:firstLine="708"/>
        <w:jc w:val="both"/>
        <w:rPr>
          <w:rFonts w:ascii="Arial" w:hAnsi="Arial" w:cs="Arial"/>
          <w:sz w:val="24"/>
          <w:szCs w:val="24"/>
        </w:rPr>
      </w:pPr>
      <w:r w:rsidRPr="00CD7BA9">
        <w:rPr>
          <w:rFonts w:ascii="Arial" w:hAnsi="Arial" w:cs="Arial"/>
          <w:b/>
          <w:i/>
          <w:sz w:val="24"/>
          <w:szCs w:val="24"/>
        </w:rPr>
        <w:t>Resursa tehnic utilizabilă</w:t>
      </w:r>
      <w:r w:rsidRPr="001E5431">
        <w:rPr>
          <w:rFonts w:ascii="Arial" w:hAnsi="Arial" w:cs="Arial"/>
          <w:i/>
          <w:sz w:val="24"/>
          <w:szCs w:val="24"/>
        </w:rPr>
        <w:t xml:space="preserve"> </w:t>
      </w:r>
      <w:r w:rsidRPr="001E5431">
        <w:rPr>
          <w:rFonts w:ascii="Arial" w:hAnsi="Arial" w:cs="Arial"/>
          <w:sz w:val="24"/>
          <w:szCs w:val="24"/>
        </w:rPr>
        <w:t>este cota parte din resursa teoretică care poate fi prelevată pentru a servi la satisfacerea cerințelor de apă ale economiei.</w:t>
      </w:r>
    </w:p>
    <w:p w:rsidR="007551D0" w:rsidRPr="001E5431" w:rsidRDefault="007551D0" w:rsidP="007551D0">
      <w:pPr>
        <w:spacing w:after="0" w:line="240" w:lineRule="auto"/>
        <w:ind w:firstLine="708"/>
        <w:jc w:val="both"/>
        <w:rPr>
          <w:rFonts w:ascii="Arial" w:hAnsi="Arial" w:cs="Arial"/>
          <w:i/>
          <w:sz w:val="24"/>
          <w:szCs w:val="24"/>
        </w:rPr>
      </w:pPr>
    </w:p>
    <w:p w:rsidR="007551D0" w:rsidRPr="001E5431" w:rsidRDefault="007551D0" w:rsidP="007551D0">
      <w:pPr>
        <w:spacing w:after="0" w:line="240" w:lineRule="auto"/>
        <w:jc w:val="both"/>
        <w:rPr>
          <w:rFonts w:ascii="Arial" w:hAnsi="Arial" w:cs="Arial"/>
          <w:b/>
          <w:sz w:val="24"/>
          <w:szCs w:val="24"/>
        </w:rPr>
      </w:pPr>
      <w:r w:rsidRPr="001E5431">
        <w:rPr>
          <w:rFonts w:ascii="Arial" w:hAnsi="Arial" w:cs="Arial"/>
          <w:b/>
          <w:i/>
          <w:sz w:val="24"/>
          <w:szCs w:val="24"/>
        </w:rPr>
        <w:t xml:space="preserve">Resursele de apă de suprafață </w:t>
      </w:r>
    </w:p>
    <w:p w:rsidR="007551D0" w:rsidRPr="007105A2" w:rsidRDefault="007551D0" w:rsidP="00E114E7">
      <w:pPr>
        <w:spacing w:after="0" w:line="240" w:lineRule="auto"/>
        <w:ind w:firstLine="708"/>
        <w:jc w:val="both"/>
        <w:rPr>
          <w:rFonts w:ascii="Arial" w:hAnsi="Arial" w:cs="Arial"/>
          <w:sz w:val="24"/>
          <w:szCs w:val="24"/>
          <w:lang w:val="en-GB"/>
        </w:rPr>
      </w:pPr>
      <w:r w:rsidRPr="007105A2">
        <w:rPr>
          <w:rFonts w:ascii="Arial" w:hAnsi="Arial" w:cs="Arial"/>
          <w:sz w:val="24"/>
          <w:szCs w:val="24"/>
        </w:rPr>
        <w:t>Resursele de apă de suprafață ale României provin din 2 categorii de surse, respectiv</w:t>
      </w:r>
      <w:r w:rsidRPr="007105A2">
        <w:rPr>
          <w:rFonts w:ascii="Arial" w:hAnsi="Arial" w:cs="Arial"/>
          <w:sz w:val="24"/>
          <w:szCs w:val="24"/>
          <w:lang w:val="en-GB"/>
        </w:rPr>
        <w:t>:</w:t>
      </w:r>
    </w:p>
    <w:p w:rsidR="007551D0" w:rsidRPr="007105A2" w:rsidRDefault="007551D0" w:rsidP="00252ED3">
      <w:pPr>
        <w:pStyle w:val="ListParagraph"/>
        <w:numPr>
          <w:ilvl w:val="0"/>
          <w:numId w:val="82"/>
        </w:numPr>
        <w:jc w:val="both"/>
        <w:rPr>
          <w:rFonts w:ascii="Arial" w:hAnsi="Arial" w:cs="Arial"/>
        </w:rPr>
      </w:pPr>
      <w:r w:rsidRPr="007105A2">
        <w:rPr>
          <w:rFonts w:ascii="Arial" w:hAnsi="Arial" w:cs="Arial"/>
        </w:rPr>
        <w:t>râurile interioare (inclusiv lacurile naturale)</w:t>
      </w:r>
    </w:p>
    <w:p w:rsidR="007551D0" w:rsidRPr="007105A2" w:rsidRDefault="007551D0" w:rsidP="00252ED3">
      <w:pPr>
        <w:pStyle w:val="ListParagraph"/>
        <w:numPr>
          <w:ilvl w:val="0"/>
          <w:numId w:val="82"/>
        </w:numPr>
        <w:jc w:val="both"/>
        <w:rPr>
          <w:rFonts w:ascii="Arial" w:hAnsi="Arial" w:cs="Arial"/>
        </w:rPr>
      </w:pPr>
      <w:r w:rsidRPr="007105A2">
        <w:rPr>
          <w:rFonts w:ascii="Arial" w:hAnsi="Arial" w:cs="Arial"/>
        </w:rPr>
        <w:t>fluviul Dunărea</w:t>
      </w:r>
    </w:p>
    <w:p w:rsidR="007551D0" w:rsidRPr="007105A2" w:rsidRDefault="007551D0" w:rsidP="00E114E7">
      <w:pPr>
        <w:spacing w:after="0" w:line="240" w:lineRule="auto"/>
        <w:ind w:firstLine="708"/>
        <w:jc w:val="both"/>
        <w:rPr>
          <w:rFonts w:ascii="Arial" w:hAnsi="Arial" w:cs="Arial"/>
          <w:sz w:val="24"/>
          <w:szCs w:val="24"/>
        </w:rPr>
      </w:pPr>
      <w:r w:rsidRPr="007105A2">
        <w:rPr>
          <w:rFonts w:ascii="Arial" w:hAnsi="Arial" w:cs="Arial"/>
          <w:sz w:val="24"/>
          <w:szCs w:val="24"/>
        </w:rPr>
        <w:t>Pentru utilizatorii din România ponderea principală în asigurarea resursei necesare o au râurile interioare</w:t>
      </w:r>
    </w:p>
    <w:p w:rsidR="007551D0" w:rsidRPr="007105A2" w:rsidRDefault="007551D0" w:rsidP="00E114E7">
      <w:pPr>
        <w:spacing w:after="0" w:line="240" w:lineRule="auto"/>
        <w:ind w:firstLine="708"/>
        <w:jc w:val="both"/>
        <w:rPr>
          <w:rFonts w:ascii="Arial" w:hAnsi="Arial" w:cs="Arial"/>
          <w:sz w:val="24"/>
          <w:szCs w:val="24"/>
        </w:rPr>
      </w:pPr>
      <w:r w:rsidRPr="007105A2">
        <w:rPr>
          <w:rFonts w:ascii="Arial" w:hAnsi="Arial" w:cs="Arial"/>
          <w:sz w:val="24"/>
          <w:szCs w:val="24"/>
        </w:rPr>
        <w:t>Fluviul Dunărea, deși deține întâietatea în ceea ce privește volumul total al resursei, fiind situat excentric față de teritoriul național, este mai puțin folosit ca sursă de apă utilizabilă. Până în prezent singura utilizare a resursei de apă oferită de Dunăre a fost în domeniul agricol (pentru irigații).</w:t>
      </w:r>
    </w:p>
    <w:p w:rsidR="007551D0" w:rsidRPr="007105A2" w:rsidRDefault="007551D0" w:rsidP="007551D0">
      <w:pPr>
        <w:spacing w:after="0" w:line="240" w:lineRule="auto"/>
        <w:jc w:val="both"/>
        <w:rPr>
          <w:rFonts w:ascii="Arial" w:hAnsi="Arial" w:cs="Arial"/>
          <w:sz w:val="24"/>
          <w:szCs w:val="24"/>
        </w:rPr>
      </w:pPr>
      <w:r w:rsidRPr="00CD7BA9">
        <w:rPr>
          <w:rFonts w:ascii="Arial" w:hAnsi="Arial" w:cs="Arial"/>
          <w:b/>
          <w:i/>
          <w:sz w:val="24"/>
          <w:szCs w:val="24"/>
          <w:u w:val="single"/>
        </w:rPr>
        <w:t>Resursa naturală de apă a anului 2016</w:t>
      </w:r>
      <w:r w:rsidRPr="007105A2">
        <w:rPr>
          <w:rFonts w:ascii="Arial" w:hAnsi="Arial" w:cs="Arial"/>
          <w:i/>
          <w:sz w:val="24"/>
          <w:szCs w:val="24"/>
        </w:rPr>
        <w:t xml:space="preserve"> </w:t>
      </w:r>
      <w:r w:rsidRPr="007105A2">
        <w:rPr>
          <w:rFonts w:ascii="Arial" w:hAnsi="Arial" w:cs="Arial"/>
          <w:sz w:val="24"/>
          <w:szCs w:val="24"/>
        </w:rPr>
        <w:t>provenită din râurile interioare a reprezentat un volum scurs de 40.268*10</w:t>
      </w:r>
      <w:r w:rsidRPr="007105A2">
        <w:rPr>
          <w:rFonts w:ascii="Arial" w:hAnsi="Arial" w:cs="Arial"/>
          <w:sz w:val="24"/>
          <w:szCs w:val="24"/>
          <w:vertAlign w:val="superscript"/>
        </w:rPr>
        <w:t>6</w:t>
      </w:r>
      <w:r w:rsidRPr="007105A2">
        <w:rPr>
          <w:rFonts w:ascii="Arial" w:hAnsi="Arial" w:cs="Arial"/>
          <w:sz w:val="24"/>
          <w:szCs w:val="24"/>
        </w:rPr>
        <w:t>m</w:t>
      </w:r>
      <w:r w:rsidRPr="007105A2">
        <w:rPr>
          <w:rFonts w:ascii="Arial" w:hAnsi="Arial" w:cs="Arial"/>
          <w:sz w:val="24"/>
          <w:szCs w:val="24"/>
          <w:vertAlign w:val="superscript"/>
        </w:rPr>
        <w:t>3</w:t>
      </w:r>
      <w:r w:rsidRPr="007105A2">
        <w:rPr>
          <w:rFonts w:ascii="Arial" w:hAnsi="Arial" w:cs="Arial"/>
          <w:sz w:val="24"/>
          <w:szCs w:val="24"/>
        </w:rPr>
        <w:t xml:space="preserve"> care îl situează la nivelul volumului mediu multianual calculat pentru o perioadă îndelungată (1950 – 2016).În acest context anul 2016 poate fi considerat un an normal.</w:t>
      </w:r>
    </w:p>
    <w:p w:rsidR="007551D0" w:rsidRPr="007105A2" w:rsidRDefault="007551D0" w:rsidP="00E114E7">
      <w:pPr>
        <w:spacing w:after="0" w:line="240" w:lineRule="auto"/>
        <w:ind w:firstLine="708"/>
        <w:jc w:val="both"/>
        <w:rPr>
          <w:rFonts w:ascii="Arial" w:hAnsi="Arial" w:cs="Arial"/>
          <w:sz w:val="24"/>
          <w:szCs w:val="24"/>
        </w:rPr>
      </w:pPr>
      <w:r w:rsidRPr="007105A2">
        <w:rPr>
          <w:rFonts w:ascii="Arial" w:hAnsi="Arial" w:cs="Arial"/>
          <w:sz w:val="24"/>
          <w:szCs w:val="24"/>
        </w:rPr>
        <w:t xml:space="preserve">Comparativ cu ultimii 5 ani (2011 – 2015), volumul scurs în anul 2016 a reprezentat 120% față de media multianuală a stocului anual scurs în intervalul amintit </w:t>
      </w:r>
      <w:r>
        <w:rPr>
          <w:rFonts w:ascii="Arial" w:hAnsi="Arial" w:cs="Arial"/>
          <w:sz w:val="24"/>
          <w:szCs w:val="24"/>
        </w:rPr>
        <w:t>.</w:t>
      </w:r>
    </w:p>
    <w:p w:rsidR="007551D0" w:rsidRPr="007105A2" w:rsidRDefault="007551D0" w:rsidP="00E114E7">
      <w:pPr>
        <w:spacing w:after="0" w:line="240" w:lineRule="auto"/>
        <w:ind w:firstLine="708"/>
        <w:jc w:val="both"/>
        <w:rPr>
          <w:rFonts w:ascii="Arial" w:hAnsi="Arial" w:cs="Arial"/>
          <w:sz w:val="24"/>
          <w:szCs w:val="24"/>
        </w:rPr>
      </w:pPr>
      <w:r w:rsidRPr="007105A2">
        <w:rPr>
          <w:rFonts w:ascii="Arial" w:hAnsi="Arial" w:cs="Arial"/>
          <w:sz w:val="24"/>
          <w:szCs w:val="24"/>
        </w:rPr>
        <w:t>Extinzând analiza evoluției comparative a resursei aferente anului 2016 la nivelul bazinelor principale constatăm că în zona de vest a țării, inclusiv nord – vest și sud – vest, volumul scurs în 2016 a fost excedentar față de media multianuală a ultimilor 5 ani. Situația menționată se observă în bazinele Tisei, Someșului Crișurilor Mureșului, Bega – Timiș – Caraș și Jiu (vezi tabel).</w:t>
      </w:r>
    </w:p>
    <w:p w:rsidR="007551D0" w:rsidRPr="007105A2" w:rsidRDefault="007551D0" w:rsidP="00E114E7">
      <w:pPr>
        <w:spacing w:after="0" w:line="240" w:lineRule="auto"/>
        <w:ind w:firstLine="708"/>
        <w:jc w:val="both"/>
        <w:rPr>
          <w:rFonts w:ascii="Arial" w:hAnsi="Arial" w:cs="Arial"/>
          <w:sz w:val="24"/>
          <w:szCs w:val="24"/>
        </w:rPr>
      </w:pPr>
      <w:r w:rsidRPr="007105A2">
        <w:rPr>
          <w:rFonts w:ascii="Arial" w:hAnsi="Arial" w:cs="Arial"/>
          <w:sz w:val="24"/>
          <w:szCs w:val="24"/>
        </w:rPr>
        <w:t>Bazinele principale din sud și est se mențin la nivelul mediei multianuale a ultimilor 5 ani, cu excepția afluenților Prutului care au fost afectați de seceta hidrologică. În bazinul Prutului, stocul anual de apă în 2016 a reprezentat doar 65% din media stocului multianual pentru intervalul 2011 – 2015.</w:t>
      </w:r>
    </w:p>
    <w:p w:rsidR="007551D0" w:rsidRPr="007105A2" w:rsidRDefault="007551D0" w:rsidP="007551D0">
      <w:pPr>
        <w:spacing w:after="0" w:line="240" w:lineRule="auto"/>
        <w:ind w:firstLine="708"/>
        <w:jc w:val="both"/>
        <w:rPr>
          <w:rFonts w:ascii="Arial" w:hAnsi="Arial" w:cs="Arial"/>
          <w:sz w:val="24"/>
          <w:szCs w:val="24"/>
        </w:rPr>
      </w:pPr>
      <w:r w:rsidRPr="007105A2">
        <w:rPr>
          <w:rFonts w:ascii="Arial" w:hAnsi="Arial" w:cs="Arial"/>
          <w:sz w:val="24"/>
          <w:szCs w:val="24"/>
        </w:rPr>
        <w:t>În mod paradoxal, cursurile de apă din Do</w:t>
      </w:r>
      <w:r w:rsidR="00E114E7">
        <w:rPr>
          <w:rFonts w:ascii="Arial" w:hAnsi="Arial" w:cs="Arial"/>
          <w:sz w:val="24"/>
          <w:szCs w:val="24"/>
        </w:rPr>
        <w:t>br</w:t>
      </w:r>
      <w:r w:rsidRPr="007105A2">
        <w:rPr>
          <w:rFonts w:ascii="Arial" w:hAnsi="Arial" w:cs="Arial"/>
          <w:sz w:val="24"/>
          <w:szCs w:val="24"/>
        </w:rPr>
        <w:t>ogea afluente litoralului au înregistrat cel mai mare volum scurs din întreaga perioadă, înregistrând o creștere de 79% față de media multianuală.Explicația constă în numeroasele viituri rapide care au avut loc pe aceste râuri, care de obicei sunt afectate de secare.</w:t>
      </w:r>
    </w:p>
    <w:p w:rsidR="007551D0" w:rsidRPr="007105A2" w:rsidRDefault="007551D0" w:rsidP="007551D0">
      <w:pPr>
        <w:spacing w:after="0" w:line="240" w:lineRule="auto"/>
        <w:ind w:firstLine="708"/>
        <w:jc w:val="both"/>
        <w:rPr>
          <w:rFonts w:ascii="Arial" w:hAnsi="Arial" w:cs="Arial"/>
          <w:sz w:val="24"/>
          <w:szCs w:val="24"/>
        </w:rPr>
      </w:pPr>
      <w:r w:rsidRPr="007105A2">
        <w:rPr>
          <w:rFonts w:ascii="Arial" w:hAnsi="Arial" w:cs="Arial"/>
          <w:sz w:val="24"/>
          <w:szCs w:val="24"/>
        </w:rPr>
        <w:t>În concluzie, anul 2016 a fost un an normal în ceea ce privește cuantumul resursei de apă totale provenită din râurile interioare, stocul mediu anual fiind aproape egal cu valoarea medie multianuală calculată pe lungă perioadă.</w:t>
      </w:r>
    </w:p>
    <w:p w:rsidR="007551D0" w:rsidRPr="007105A2" w:rsidRDefault="007551D0" w:rsidP="007551D0">
      <w:pPr>
        <w:spacing w:after="0" w:line="240" w:lineRule="auto"/>
        <w:ind w:firstLine="708"/>
        <w:jc w:val="both"/>
        <w:rPr>
          <w:rFonts w:ascii="Arial" w:hAnsi="Arial" w:cs="Arial"/>
          <w:sz w:val="24"/>
          <w:szCs w:val="24"/>
        </w:rPr>
      </w:pPr>
      <w:r w:rsidRPr="007105A2">
        <w:rPr>
          <w:rFonts w:ascii="Arial" w:hAnsi="Arial" w:cs="Arial"/>
          <w:sz w:val="24"/>
          <w:szCs w:val="24"/>
        </w:rPr>
        <w:t>Față de media ultimilor 5 ani (2011 – 2015), volumul scurs corespunzător anului 2016 a fost cu 20% mai mare datorită îndelungatei perioade secetoase care a afectat scurgerea naturală pe râurile interioare în perioada amintită.</w:t>
      </w:r>
    </w:p>
    <w:p w:rsidR="007551D0" w:rsidRPr="007105A2" w:rsidRDefault="007551D0" w:rsidP="007551D0">
      <w:pPr>
        <w:spacing w:after="0" w:line="240" w:lineRule="auto"/>
        <w:ind w:firstLine="708"/>
        <w:jc w:val="both"/>
        <w:rPr>
          <w:rFonts w:ascii="Arial" w:hAnsi="Arial" w:cs="Arial"/>
          <w:sz w:val="24"/>
          <w:szCs w:val="24"/>
        </w:rPr>
      </w:pPr>
      <w:r w:rsidRPr="007105A2">
        <w:rPr>
          <w:rFonts w:ascii="Arial" w:hAnsi="Arial" w:cs="Arial"/>
          <w:sz w:val="24"/>
          <w:szCs w:val="24"/>
        </w:rPr>
        <w:t>Fluviul Dunărea are o situație diferită, volumul scurs la intrarea în țară (st. h. Baziaș) și cel înregistrat la ieșirea din țară (st. h. Isaccea) situându-se la nivel mediu in ultimii 5 ani.</w:t>
      </w:r>
    </w:p>
    <w:p w:rsidR="007551D0" w:rsidRPr="00C74B42" w:rsidRDefault="007551D0" w:rsidP="007551D0">
      <w:pPr>
        <w:spacing w:after="0" w:line="240" w:lineRule="auto"/>
        <w:jc w:val="both"/>
        <w:rPr>
          <w:rFonts w:ascii="Arial" w:hAnsi="Arial" w:cs="Arial"/>
          <w:sz w:val="24"/>
          <w:szCs w:val="24"/>
        </w:rPr>
      </w:pPr>
      <w:r>
        <w:rPr>
          <w:rFonts w:ascii="Arial" w:hAnsi="Arial" w:cs="Arial"/>
          <w:sz w:val="24"/>
          <w:szCs w:val="24"/>
        </w:rPr>
        <w:t>R</w:t>
      </w:r>
      <w:r w:rsidRPr="00C74B42">
        <w:rPr>
          <w:rFonts w:ascii="Arial" w:hAnsi="Arial" w:cs="Arial"/>
          <w:sz w:val="24"/>
          <w:szCs w:val="24"/>
        </w:rPr>
        <w:t>esursa corespunzătoare fluviului Dunărea la intrarea în țară este de 85305 m</w:t>
      </w:r>
      <w:r>
        <w:rPr>
          <w:rFonts w:ascii="Arial" w:hAnsi="Arial" w:cs="Arial"/>
          <w:sz w:val="24"/>
          <w:szCs w:val="24"/>
        </w:rPr>
        <w:t>i</w:t>
      </w:r>
      <w:r w:rsidRPr="00C74B42">
        <w:rPr>
          <w:rFonts w:ascii="Arial" w:hAnsi="Arial" w:cs="Arial"/>
          <w:sz w:val="24"/>
          <w:szCs w:val="24"/>
        </w:rPr>
        <w:t>d.m</w:t>
      </w:r>
      <w:r w:rsidRPr="00C74B42">
        <w:rPr>
          <w:rFonts w:ascii="Arial" w:hAnsi="Arial" w:cs="Arial"/>
          <w:sz w:val="24"/>
          <w:szCs w:val="24"/>
          <w:vertAlign w:val="superscript"/>
        </w:rPr>
        <w:t>3</w:t>
      </w:r>
      <w:r w:rsidRPr="00C74B42">
        <w:rPr>
          <w:rFonts w:ascii="Arial" w:hAnsi="Arial" w:cs="Arial"/>
          <w:sz w:val="24"/>
          <w:szCs w:val="24"/>
        </w:rPr>
        <w:t xml:space="preserve"> în anul 201</w:t>
      </w:r>
      <w:r>
        <w:rPr>
          <w:rFonts w:ascii="Arial" w:hAnsi="Arial" w:cs="Arial"/>
          <w:sz w:val="24"/>
          <w:szCs w:val="24"/>
        </w:rPr>
        <w:t>6</w:t>
      </w:r>
      <w:r w:rsidRPr="00C74B42">
        <w:rPr>
          <w:rFonts w:ascii="Arial" w:hAnsi="Arial" w:cs="Arial"/>
          <w:sz w:val="24"/>
          <w:szCs w:val="24"/>
        </w:rPr>
        <w:t xml:space="preserve"> (respectiv, 77,58 mld. m</w:t>
      </w:r>
      <w:r w:rsidRPr="00C74B42">
        <w:rPr>
          <w:rFonts w:ascii="Arial" w:hAnsi="Arial" w:cs="Arial"/>
          <w:sz w:val="24"/>
          <w:szCs w:val="24"/>
          <w:vertAlign w:val="superscript"/>
        </w:rPr>
        <w:t>3</w:t>
      </w:r>
      <w:r w:rsidRPr="00C74B42">
        <w:rPr>
          <w:rFonts w:ascii="Arial" w:hAnsi="Arial" w:cs="Arial"/>
          <w:sz w:val="24"/>
          <w:szCs w:val="24"/>
        </w:rPr>
        <w:t xml:space="preserve"> în anul 2015</w:t>
      </w:r>
      <w:r>
        <w:rPr>
          <w:rFonts w:ascii="Arial" w:hAnsi="Arial" w:cs="Arial"/>
          <w:sz w:val="24"/>
          <w:szCs w:val="24"/>
        </w:rPr>
        <w:t xml:space="preserve"> și 80,8 mld. m</w:t>
      </w:r>
      <w:r w:rsidRPr="00C74B42">
        <w:rPr>
          <w:rFonts w:ascii="Arial" w:hAnsi="Arial" w:cs="Arial"/>
          <w:sz w:val="24"/>
          <w:szCs w:val="24"/>
          <w:vertAlign w:val="superscript"/>
        </w:rPr>
        <w:t>3</w:t>
      </w:r>
      <w:r>
        <w:rPr>
          <w:rFonts w:ascii="Arial" w:hAnsi="Arial" w:cs="Arial"/>
          <w:sz w:val="24"/>
          <w:szCs w:val="24"/>
        </w:rPr>
        <w:t xml:space="preserve"> în perioada 2011-2015</w:t>
      </w:r>
      <w:r w:rsidRPr="00C74B42">
        <w:rPr>
          <w:rFonts w:ascii="Arial" w:hAnsi="Arial" w:cs="Arial"/>
          <w:sz w:val="24"/>
          <w:szCs w:val="24"/>
        </w:rPr>
        <w:t xml:space="preserve">), </w:t>
      </w:r>
      <w:r>
        <w:rPr>
          <w:rFonts w:ascii="Arial" w:hAnsi="Arial" w:cs="Arial"/>
          <w:sz w:val="24"/>
          <w:szCs w:val="24"/>
        </w:rPr>
        <w:t>egal cu</w:t>
      </w:r>
      <w:r w:rsidRPr="00C74B42">
        <w:rPr>
          <w:rFonts w:ascii="Arial" w:hAnsi="Arial" w:cs="Arial"/>
          <w:sz w:val="24"/>
          <w:szCs w:val="24"/>
        </w:rPr>
        <w:t xml:space="preserve"> media multianuală a fluviului care, pentru ultimii 60 ani, este de cca. 85 mld. m</w:t>
      </w:r>
      <w:r w:rsidRPr="00C74B42">
        <w:rPr>
          <w:rFonts w:ascii="Arial" w:hAnsi="Arial" w:cs="Arial"/>
          <w:sz w:val="24"/>
          <w:szCs w:val="24"/>
          <w:vertAlign w:val="superscript"/>
        </w:rPr>
        <w:t>3</w:t>
      </w:r>
      <w:r w:rsidRPr="00C74B42">
        <w:rPr>
          <w:rFonts w:ascii="Arial" w:hAnsi="Arial" w:cs="Arial"/>
          <w:sz w:val="24"/>
          <w:szCs w:val="24"/>
        </w:rPr>
        <w:t xml:space="preserve"> (valorile reprezintă 50% din volumele scurse pe Dunăre la intrarea în țară, aferente României, cealaltă jumătate revenind Republicii Serbia).</w:t>
      </w:r>
    </w:p>
    <w:p w:rsidR="007551D0" w:rsidRDefault="007551D0" w:rsidP="007551D0">
      <w:pPr>
        <w:spacing w:after="0" w:line="240" w:lineRule="auto"/>
        <w:ind w:firstLine="708"/>
        <w:jc w:val="both"/>
        <w:rPr>
          <w:rFonts w:ascii="Arial" w:hAnsi="Arial" w:cs="Arial"/>
          <w:sz w:val="24"/>
          <w:szCs w:val="24"/>
        </w:rPr>
      </w:pPr>
      <w:r w:rsidRPr="007105A2">
        <w:rPr>
          <w:rFonts w:ascii="Arial" w:hAnsi="Arial" w:cs="Arial"/>
          <w:sz w:val="24"/>
          <w:szCs w:val="24"/>
        </w:rPr>
        <w:t>Față de volumul total al resursei oferite de râurile interioare (40268*10</w:t>
      </w:r>
      <w:r w:rsidRPr="007105A2">
        <w:rPr>
          <w:rFonts w:ascii="Arial" w:hAnsi="Arial" w:cs="Arial"/>
          <w:sz w:val="24"/>
          <w:szCs w:val="24"/>
          <w:vertAlign w:val="superscript"/>
        </w:rPr>
        <w:t>6</w:t>
      </w:r>
      <w:r w:rsidRPr="007105A2">
        <w:rPr>
          <w:rFonts w:ascii="Arial" w:hAnsi="Arial" w:cs="Arial"/>
          <w:sz w:val="24"/>
          <w:szCs w:val="24"/>
        </w:rPr>
        <w:t>m</w:t>
      </w:r>
      <w:r w:rsidRPr="007105A2">
        <w:rPr>
          <w:rFonts w:ascii="Arial" w:hAnsi="Arial" w:cs="Arial"/>
          <w:sz w:val="24"/>
          <w:szCs w:val="24"/>
          <w:vertAlign w:val="superscript"/>
        </w:rPr>
        <w:t>3</w:t>
      </w:r>
      <w:r w:rsidRPr="007105A2">
        <w:rPr>
          <w:rFonts w:ascii="Arial" w:hAnsi="Arial" w:cs="Arial"/>
          <w:sz w:val="24"/>
          <w:szCs w:val="24"/>
        </w:rPr>
        <w:t>), la ieșirea din țară (Isaccea), Dunărea a avut un volum scurs de 5 ori mai mare (204038*10</w:t>
      </w:r>
      <w:r w:rsidRPr="007105A2">
        <w:rPr>
          <w:rFonts w:ascii="Arial" w:hAnsi="Arial" w:cs="Arial"/>
          <w:sz w:val="24"/>
          <w:szCs w:val="24"/>
          <w:vertAlign w:val="superscript"/>
        </w:rPr>
        <w:t xml:space="preserve">6 </w:t>
      </w:r>
      <w:r w:rsidRPr="007105A2">
        <w:rPr>
          <w:rFonts w:ascii="Arial" w:hAnsi="Arial" w:cs="Arial"/>
          <w:sz w:val="24"/>
          <w:szCs w:val="24"/>
        </w:rPr>
        <w:t>m</w:t>
      </w:r>
      <w:r w:rsidRPr="007105A2">
        <w:rPr>
          <w:rFonts w:ascii="Arial" w:hAnsi="Arial" w:cs="Arial"/>
          <w:sz w:val="24"/>
          <w:szCs w:val="24"/>
          <w:vertAlign w:val="superscript"/>
        </w:rPr>
        <w:t>3</w:t>
      </w:r>
      <w:r w:rsidRPr="007105A2">
        <w:rPr>
          <w:rFonts w:ascii="Arial" w:hAnsi="Arial" w:cs="Arial"/>
          <w:sz w:val="24"/>
          <w:szCs w:val="24"/>
        </w:rPr>
        <w:t>).</w:t>
      </w:r>
    </w:p>
    <w:p w:rsidR="007551D0" w:rsidRDefault="007551D0" w:rsidP="007551D0">
      <w:pPr>
        <w:spacing w:after="0" w:line="240" w:lineRule="auto"/>
        <w:jc w:val="both"/>
        <w:rPr>
          <w:rFonts w:ascii="Arial" w:hAnsi="Arial" w:cs="Arial"/>
          <w:sz w:val="24"/>
          <w:szCs w:val="24"/>
        </w:rPr>
      </w:pPr>
      <w:r w:rsidRPr="007105A2">
        <w:rPr>
          <w:rFonts w:ascii="Arial" w:hAnsi="Arial" w:cs="Arial"/>
          <w:sz w:val="24"/>
          <w:szCs w:val="24"/>
        </w:rPr>
        <w:t>Resursa considerabilă pe care o reprezintă fluviul Dunărea este însă puțin accesibilă din cauza poluării apelor fluviului și a excentricității poziției sale față de utilizatorii potențiali din România.</w:t>
      </w:r>
    </w:p>
    <w:p w:rsidR="007551D0" w:rsidRDefault="007551D0" w:rsidP="007551D0">
      <w:pPr>
        <w:spacing w:after="0" w:line="240" w:lineRule="auto"/>
        <w:ind w:firstLine="708"/>
        <w:jc w:val="both"/>
        <w:rPr>
          <w:rFonts w:ascii="Arial" w:hAnsi="Arial" w:cs="Arial"/>
          <w:sz w:val="24"/>
          <w:szCs w:val="24"/>
        </w:rPr>
      </w:pPr>
      <w:r w:rsidRPr="001E5431">
        <w:rPr>
          <w:rFonts w:ascii="Arial" w:hAnsi="Arial" w:cs="Arial"/>
          <w:sz w:val="24"/>
          <w:szCs w:val="24"/>
        </w:rPr>
        <w:t>Resursa medie la nivelul României este de circa 0,17  mil. m</w:t>
      </w:r>
      <w:r w:rsidRPr="001E5431">
        <w:rPr>
          <w:rFonts w:ascii="Arial" w:hAnsi="Arial" w:cs="Arial"/>
          <w:sz w:val="24"/>
          <w:szCs w:val="24"/>
          <w:vertAlign w:val="superscript"/>
        </w:rPr>
        <w:t>3</w:t>
      </w:r>
      <w:r w:rsidRPr="001E5431">
        <w:rPr>
          <w:rFonts w:ascii="Arial" w:hAnsi="Arial" w:cs="Arial"/>
          <w:sz w:val="24"/>
          <w:szCs w:val="24"/>
        </w:rPr>
        <w:t>/km</w:t>
      </w:r>
      <w:r w:rsidRPr="001E5431">
        <w:rPr>
          <w:rFonts w:ascii="Arial" w:hAnsi="Arial" w:cs="Arial"/>
          <w:sz w:val="24"/>
          <w:szCs w:val="24"/>
          <w:vertAlign w:val="superscript"/>
        </w:rPr>
        <w:t>2</w:t>
      </w:r>
      <w:r w:rsidRPr="001E5431">
        <w:rPr>
          <w:rFonts w:ascii="Arial" w:hAnsi="Arial" w:cs="Arial"/>
          <w:sz w:val="24"/>
          <w:szCs w:val="24"/>
        </w:rPr>
        <w:t>. Cea mai bogată reusursă este specifică A</w:t>
      </w:r>
      <w:r>
        <w:rPr>
          <w:rFonts w:ascii="Arial" w:hAnsi="Arial" w:cs="Arial"/>
          <w:sz w:val="24"/>
          <w:szCs w:val="24"/>
        </w:rPr>
        <w:t>dministrației bazinale de Apă (A.B.A.)</w:t>
      </w:r>
      <w:r w:rsidRPr="001E5431">
        <w:rPr>
          <w:rFonts w:ascii="Arial" w:hAnsi="Arial" w:cs="Arial"/>
          <w:sz w:val="24"/>
          <w:szCs w:val="24"/>
        </w:rPr>
        <w:t xml:space="preserve"> Someș-Tisa, în timp ce unitățile cele mai deficitare din acest punct de vedere sunt Do</w:t>
      </w:r>
      <w:r w:rsidR="00EA6509">
        <w:rPr>
          <w:rFonts w:ascii="Arial" w:hAnsi="Arial" w:cs="Arial"/>
          <w:sz w:val="24"/>
          <w:szCs w:val="24"/>
        </w:rPr>
        <w:t>br</w:t>
      </w:r>
      <w:r w:rsidRPr="001E5431">
        <w:rPr>
          <w:rFonts w:ascii="Arial" w:hAnsi="Arial" w:cs="Arial"/>
          <w:sz w:val="24"/>
          <w:szCs w:val="24"/>
        </w:rPr>
        <w:t>ogea-Litoral, Prut-Bârlad și Ialomița-Buzău.</w:t>
      </w:r>
    </w:p>
    <w:p w:rsidR="007551D0" w:rsidRDefault="007551D0" w:rsidP="007551D0">
      <w:pPr>
        <w:spacing w:after="0" w:line="240" w:lineRule="auto"/>
        <w:ind w:firstLine="708"/>
        <w:jc w:val="both"/>
        <w:rPr>
          <w:rFonts w:ascii="Arial" w:hAnsi="Arial" w:cs="Arial"/>
          <w:sz w:val="24"/>
          <w:szCs w:val="24"/>
        </w:rPr>
      </w:pPr>
      <w:r w:rsidRPr="001E5431">
        <w:rPr>
          <w:rFonts w:ascii="Arial" w:hAnsi="Arial" w:cs="Arial"/>
          <w:sz w:val="24"/>
          <w:szCs w:val="24"/>
        </w:rPr>
        <w:lastRenderedPageBreak/>
        <w:t>România are o resursă specifică din râurile interioare de 1840 m</w:t>
      </w:r>
      <w:r w:rsidRPr="001E5431">
        <w:rPr>
          <w:rFonts w:ascii="Arial" w:hAnsi="Arial" w:cs="Arial"/>
          <w:sz w:val="24"/>
          <w:szCs w:val="24"/>
          <w:vertAlign w:val="superscript"/>
        </w:rPr>
        <w:t>3</w:t>
      </w:r>
      <w:r w:rsidRPr="001E5431">
        <w:rPr>
          <w:rFonts w:ascii="Arial" w:hAnsi="Arial" w:cs="Arial"/>
          <w:sz w:val="24"/>
          <w:szCs w:val="24"/>
        </w:rPr>
        <w:t>/loc./an şi, din acest punct de vedere, ocupă locul 13 în Europa (media la nivelul Europei este de circa 4000 m</w:t>
      </w:r>
      <w:r w:rsidRPr="001E5431">
        <w:rPr>
          <w:rFonts w:ascii="Arial" w:hAnsi="Arial" w:cs="Arial"/>
          <w:sz w:val="24"/>
          <w:szCs w:val="24"/>
          <w:vertAlign w:val="superscript"/>
        </w:rPr>
        <w:t>3</w:t>
      </w:r>
      <w:r w:rsidRPr="001E5431">
        <w:rPr>
          <w:rFonts w:ascii="Arial" w:hAnsi="Arial" w:cs="Arial"/>
          <w:sz w:val="24"/>
          <w:szCs w:val="24"/>
        </w:rPr>
        <w:t>/ loc./an).</w:t>
      </w:r>
    </w:p>
    <w:p w:rsidR="007551D0" w:rsidRDefault="007551D0" w:rsidP="007551D0">
      <w:pPr>
        <w:spacing w:after="0" w:line="240" w:lineRule="auto"/>
        <w:ind w:firstLine="708"/>
        <w:jc w:val="both"/>
        <w:rPr>
          <w:rFonts w:ascii="Arial" w:hAnsi="Arial" w:cs="Arial"/>
          <w:sz w:val="24"/>
          <w:szCs w:val="24"/>
        </w:rPr>
      </w:pPr>
    </w:p>
    <w:p w:rsidR="007551D0" w:rsidRPr="00E114E7" w:rsidRDefault="007551D0" w:rsidP="007551D0">
      <w:pPr>
        <w:jc w:val="center"/>
        <w:rPr>
          <w:rFonts w:ascii="Arial" w:hAnsi="Arial" w:cs="Arial"/>
        </w:rPr>
      </w:pPr>
      <w:r w:rsidRPr="00E114E7">
        <w:rPr>
          <w:rFonts w:ascii="Arial" w:eastAsia="Times New Roman" w:hAnsi="Arial" w:cs="Arial"/>
          <w:bCs/>
          <w:i/>
        </w:rPr>
        <w:t xml:space="preserve">Tab. </w:t>
      </w:r>
      <w:r w:rsidRPr="00E114E7">
        <w:rPr>
          <w:rFonts w:ascii="Arial" w:hAnsi="Arial" w:cs="Arial"/>
          <w:bCs/>
        </w:rPr>
        <w:t>II.1.1.1- 1</w:t>
      </w:r>
      <w:r w:rsidRPr="00E114E7">
        <w:rPr>
          <w:rFonts w:ascii="Arial" w:hAnsi="Arial" w:cs="Arial"/>
          <w:bCs/>
          <w:i/>
          <w:iCs/>
        </w:rPr>
        <w:t xml:space="preserve"> </w:t>
      </w:r>
      <w:r w:rsidRPr="00E114E7">
        <w:rPr>
          <w:rFonts w:ascii="Arial" w:eastAsia="Times New Roman" w:hAnsi="Arial" w:cs="Arial"/>
          <w:bCs/>
          <w:i/>
        </w:rPr>
        <w:t>Resursele de apă ale anului 2016, comparativ cu perioada anterioară (2011-2015)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2"/>
        <w:gridCol w:w="1236"/>
        <w:gridCol w:w="913"/>
        <w:gridCol w:w="744"/>
        <w:gridCol w:w="744"/>
        <w:gridCol w:w="744"/>
        <w:gridCol w:w="744"/>
        <w:gridCol w:w="771"/>
        <w:gridCol w:w="744"/>
        <w:gridCol w:w="814"/>
        <w:gridCol w:w="1152"/>
      </w:tblGrid>
      <w:tr w:rsidR="007551D0" w:rsidRPr="007105A2" w:rsidTr="00A54188">
        <w:trPr>
          <w:trHeight w:val="312"/>
          <w:jc w:val="center"/>
        </w:trPr>
        <w:tc>
          <w:tcPr>
            <w:tcW w:w="1605" w:type="dxa"/>
            <w:vMerge w:val="restart"/>
            <w:tcBorders>
              <w:top w:val="single" w:sz="8" w:space="0" w:color="auto"/>
              <w:left w:val="single" w:sz="8" w:space="0" w:color="auto"/>
            </w:tcBorders>
            <w:shd w:val="clear" w:color="000000" w:fill="FFFF00"/>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Bazinul hidrografic</w:t>
            </w:r>
          </w:p>
        </w:tc>
        <w:tc>
          <w:tcPr>
            <w:tcW w:w="1221" w:type="dxa"/>
            <w:vMerge w:val="restart"/>
            <w:tcBorders>
              <w:top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Parametrul</w:t>
            </w:r>
          </w:p>
        </w:tc>
        <w:tc>
          <w:tcPr>
            <w:tcW w:w="903" w:type="dxa"/>
            <w:vMerge w:val="restart"/>
            <w:tcBorders>
              <w:top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F (km</w:t>
            </w:r>
            <w:r w:rsidRPr="007105A2">
              <w:rPr>
                <w:rFonts w:ascii="Arial" w:eastAsia="Times New Roman" w:hAnsi="Arial" w:cs="Arial"/>
                <w:color w:val="000000"/>
                <w:vertAlign w:val="superscript"/>
              </w:rPr>
              <w:t>2</w:t>
            </w:r>
            <w:r w:rsidRPr="007105A2">
              <w:rPr>
                <w:rFonts w:ascii="Arial" w:eastAsia="Times New Roman" w:hAnsi="Arial" w:cs="Arial"/>
                <w:color w:val="000000"/>
              </w:rPr>
              <w:t>)</w:t>
            </w:r>
          </w:p>
        </w:tc>
        <w:tc>
          <w:tcPr>
            <w:tcW w:w="5269" w:type="dxa"/>
            <w:gridSpan w:val="7"/>
            <w:tcBorders>
              <w:top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 xml:space="preserve">Q </w:t>
            </w:r>
            <w:r w:rsidRPr="007105A2">
              <w:rPr>
                <w:rFonts w:ascii="Arial" w:eastAsia="Times New Roman" w:hAnsi="Arial" w:cs="Arial"/>
                <w:b/>
                <w:bCs/>
                <w:color w:val="000000"/>
                <w:vertAlign w:val="subscript"/>
              </w:rPr>
              <w:t xml:space="preserve">med anual </w:t>
            </w:r>
            <w:r w:rsidRPr="00E114E7">
              <w:rPr>
                <w:rFonts w:ascii="Arial" w:eastAsia="Times New Roman" w:hAnsi="Arial" w:cs="Arial"/>
                <w:bCs/>
                <w:color w:val="000000"/>
              </w:rPr>
              <w:t>(m</w:t>
            </w:r>
            <w:r w:rsidRPr="00E114E7">
              <w:rPr>
                <w:rFonts w:ascii="Arial" w:eastAsia="Times New Roman" w:hAnsi="Arial" w:cs="Arial"/>
                <w:bCs/>
                <w:color w:val="000000"/>
                <w:vertAlign w:val="superscript"/>
              </w:rPr>
              <w:t>3</w:t>
            </w:r>
            <w:r w:rsidRPr="00E114E7">
              <w:rPr>
                <w:rFonts w:ascii="Arial" w:eastAsia="Times New Roman" w:hAnsi="Arial" w:cs="Arial"/>
                <w:bCs/>
                <w:color w:val="000000"/>
              </w:rPr>
              <w:t>/s)</w:t>
            </w:r>
          </w:p>
        </w:tc>
        <w:tc>
          <w:tcPr>
            <w:tcW w:w="1140" w:type="dxa"/>
            <w:vMerge w:val="restart"/>
            <w:tcBorders>
              <w:top w:val="single" w:sz="8" w:space="0" w:color="auto"/>
              <w:right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Q</w:t>
            </w:r>
            <w:r w:rsidRPr="007105A2">
              <w:rPr>
                <w:rFonts w:ascii="Arial" w:eastAsia="Times New Roman" w:hAnsi="Arial" w:cs="Arial"/>
                <w:color w:val="000000"/>
                <w:vertAlign w:val="subscript"/>
              </w:rPr>
              <w:t>2016</w:t>
            </w:r>
            <w:r w:rsidRPr="007105A2">
              <w:rPr>
                <w:rFonts w:ascii="Arial" w:eastAsia="Times New Roman" w:hAnsi="Arial" w:cs="Arial"/>
                <w:color w:val="000000"/>
              </w:rPr>
              <w:t>/Q</w:t>
            </w:r>
            <w:r w:rsidRPr="007105A2">
              <w:rPr>
                <w:rFonts w:ascii="Arial" w:eastAsia="Times New Roman" w:hAnsi="Arial" w:cs="Arial"/>
                <w:color w:val="000000"/>
                <w:vertAlign w:val="subscript"/>
              </w:rPr>
              <w:t>med</w:t>
            </w:r>
            <w:r w:rsidRPr="007105A2">
              <w:rPr>
                <w:rFonts w:ascii="Arial" w:eastAsia="Times New Roman" w:hAnsi="Arial" w:cs="Arial"/>
                <w:color w:val="000000"/>
              </w:rPr>
              <w:t xml:space="preserve"> (%)</w:t>
            </w:r>
          </w:p>
        </w:tc>
      </w:tr>
      <w:tr w:rsidR="007551D0" w:rsidRPr="002D0C2A" w:rsidTr="00A54188">
        <w:trPr>
          <w:trHeight w:val="300"/>
          <w:jc w:val="center"/>
        </w:trPr>
        <w:tc>
          <w:tcPr>
            <w:tcW w:w="1605" w:type="dxa"/>
            <w:vMerge/>
            <w:tcBorders>
              <w:left w:val="single" w:sz="8" w:space="0" w:color="auto"/>
              <w:bottom w:val="single" w:sz="8" w:space="0" w:color="auto"/>
            </w:tcBorders>
            <w:shd w:val="clear" w:color="000000" w:fill="FFFF00"/>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vMerge/>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903" w:type="dxa"/>
            <w:vMerge/>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tcBorders>
              <w:bottom w:val="single" w:sz="8" w:space="0" w:color="auto"/>
            </w:tcBorders>
            <w:shd w:val="clear" w:color="000000" w:fill="FFFF00"/>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2011</w:t>
            </w:r>
          </w:p>
        </w:tc>
        <w:tc>
          <w:tcPr>
            <w:tcW w:w="737" w:type="dxa"/>
            <w:tcBorders>
              <w:bottom w:val="single" w:sz="8" w:space="0" w:color="auto"/>
            </w:tcBorders>
            <w:shd w:val="clear" w:color="000000" w:fill="FFFF00"/>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2012</w:t>
            </w:r>
          </w:p>
        </w:tc>
        <w:tc>
          <w:tcPr>
            <w:tcW w:w="737" w:type="dxa"/>
            <w:tcBorders>
              <w:bottom w:val="single" w:sz="8" w:space="0" w:color="auto"/>
            </w:tcBorders>
            <w:shd w:val="clear" w:color="000000" w:fill="FFFF00"/>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2013</w:t>
            </w:r>
          </w:p>
        </w:tc>
        <w:tc>
          <w:tcPr>
            <w:tcW w:w="737" w:type="dxa"/>
            <w:tcBorders>
              <w:bottom w:val="single" w:sz="8" w:space="0" w:color="auto"/>
            </w:tcBorders>
            <w:shd w:val="clear" w:color="000000" w:fill="FFFF00"/>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2014</w:t>
            </w:r>
          </w:p>
        </w:tc>
        <w:tc>
          <w:tcPr>
            <w:tcW w:w="802" w:type="dxa"/>
            <w:tcBorders>
              <w:bottom w:val="single" w:sz="8" w:space="0" w:color="auto"/>
            </w:tcBorders>
            <w:shd w:val="clear" w:color="000000" w:fill="FFFF00"/>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2015</w:t>
            </w:r>
          </w:p>
        </w:tc>
        <w:tc>
          <w:tcPr>
            <w:tcW w:w="672" w:type="dxa"/>
            <w:tcBorders>
              <w:bottom w:val="single" w:sz="8" w:space="0" w:color="auto"/>
            </w:tcBorders>
            <w:shd w:val="clear" w:color="000000" w:fill="FFFF00"/>
            <w:noWrap/>
            <w:vAlign w:val="center"/>
            <w:hideMark/>
          </w:tcPr>
          <w:p w:rsidR="007551D0" w:rsidRPr="002D0C2A" w:rsidRDefault="007551D0" w:rsidP="00DB2B5E">
            <w:pPr>
              <w:spacing w:after="0"/>
              <w:jc w:val="center"/>
              <w:rPr>
                <w:rFonts w:ascii="Arial" w:eastAsia="Times New Roman" w:hAnsi="Arial" w:cs="Arial"/>
                <w:color w:val="000000"/>
                <w:sz w:val="20"/>
                <w:szCs w:val="20"/>
              </w:rPr>
            </w:pPr>
            <w:r w:rsidRPr="002D0C2A">
              <w:rPr>
                <w:rFonts w:ascii="Arial" w:eastAsia="Times New Roman" w:hAnsi="Arial" w:cs="Arial"/>
                <w:color w:val="000000"/>
                <w:sz w:val="20"/>
                <w:szCs w:val="20"/>
              </w:rPr>
              <w:t>MED</w:t>
            </w:r>
          </w:p>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b/>
                <w:bCs/>
                <w:color w:val="16365C"/>
                <w:sz w:val="20"/>
                <w:szCs w:val="20"/>
                <w:vertAlign w:val="subscript"/>
              </w:rPr>
              <w:t>2011-2015</w:t>
            </w:r>
          </w:p>
        </w:tc>
        <w:tc>
          <w:tcPr>
            <w:tcW w:w="847" w:type="dxa"/>
            <w:tcBorders>
              <w:bottom w:val="single" w:sz="8" w:space="0" w:color="auto"/>
            </w:tcBorders>
            <w:shd w:val="clear" w:color="000000" w:fill="FFFF00"/>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2016</w:t>
            </w:r>
          </w:p>
        </w:tc>
        <w:tc>
          <w:tcPr>
            <w:tcW w:w="1140" w:type="dxa"/>
            <w:vMerge/>
            <w:tcBorders>
              <w:bottom w:val="single" w:sz="8" w:space="0" w:color="auto"/>
              <w:right w:val="single" w:sz="8" w:space="0" w:color="auto"/>
            </w:tcBorders>
            <w:shd w:val="clear" w:color="000000" w:fill="FFFF00"/>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top w:val="single" w:sz="8" w:space="0" w:color="auto"/>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TISA</w:t>
            </w:r>
          </w:p>
        </w:tc>
        <w:tc>
          <w:tcPr>
            <w:tcW w:w="1221" w:type="dxa"/>
            <w:tcBorders>
              <w:top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tcBorders>
              <w:top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4540</w:t>
            </w:r>
          </w:p>
        </w:tc>
        <w:tc>
          <w:tcPr>
            <w:tcW w:w="737" w:type="dxa"/>
            <w:tcBorders>
              <w:top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50,9</w:t>
            </w:r>
          </w:p>
        </w:tc>
        <w:tc>
          <w:tcPr>
            <w:tcW w:w="737" w:type="dxa"/>
            <w:tcBorders>
              <w:top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46,7</w:t>
            </w:r>
          </w:p>
        </w:tc>
        <w:tc>
          <w:tcPr>
            <w:tcW w:w="737" w:type="dxa"/>
            <w:tcBorders>
              <w:top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57,9</w:t>
            </w:r>
          </w:p>
        </w:tc>
        <w:tc>
          <w:tcPr>
            <w:tcW w:w="737" w:type="dxa"/>
            <w:tcBorders>
              <w:top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40,9</w:t>
            </w:r>
          </w:p>
        </w:tc>
        <w:tc>
          <w:tcPr>
            <w:tcW w:w="802" w:type="dxa"/>
            <w:tcBorders>
              <w:top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50,1</w:t>
            </w:r>
          </w:p>
        </w:tc>
        <w:tc>
          <w:tcPr>
            <w:tcW w:w="672" w:type="dxa"/>
            <w:tcBorders>
              <w:top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49,3</w:t>
            </w:r>
          </w:p>
        </w:tc>
        <w:tc>
          <w:tcPr>
            <w:tcW w:w="847" w:type="dxa"/>
            <w:tcBorders>
              <w:top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62,2</w:t>
            </w:r>
          </w:p>
        </w:tc>
        <w:tc>
          <w:tcPr>
            <w:tcW w:w="1140" w:type="dxa"/>
            <w:vMerge w:val="restart"/>
            <w:tcBorders>
              <w:top w:val="single" w:sz="8" w:space="0" w:color="auto"/>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126</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1606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1476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1826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1288</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1579</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1555</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1962</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SOMEȘ</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17840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98,0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68,6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112,9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68,7</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92,6</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88,1</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129,8</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147</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3090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2169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3559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2166</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2919</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2781</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4092</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CRIȘURI</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14860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65,2</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49,6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86,3</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36,3</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55,0</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58,5</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90,4</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155</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2056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1568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2723</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1145</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1734</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1845</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2851</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MUREȘ</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29390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131,0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102,8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125,4</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127,0</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124,0</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122,0</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176,4</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145</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4132</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3251</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3954</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4005</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3910</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3850</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5562</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BEGA – TIMIȘ - CARAȘ</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13060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50,9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48,9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94,6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73,1</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57132</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64,9</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78,85</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121</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1604</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1546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2984</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2305</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1802</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2048</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2487</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NERA - CERNA</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2740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25,59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30,6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36,06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54,2</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41,75</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37,6</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35,8</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95</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807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968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1137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1710</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1317</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1188</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1129</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JIU</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10080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63,3</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52,9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168</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129</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102,6</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141</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137</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1996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1673</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3154</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5298</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4068</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3238</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4447</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OLT</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24050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147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226</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168</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155,6</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162</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104</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4636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3447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4037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7127</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5298</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4909</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5109</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VEDEA</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5430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8,17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7,58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7,07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37,7</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17,6</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15,6</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15,9</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102</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258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240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223</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1188</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555</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493</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501</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ARGEȘ</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12550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52,1</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52,9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74,0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95,4</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83,8</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71,6</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75,0</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105</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1642</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1673</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2333</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3008</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2642</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2260</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2366</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IALOMITA</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10350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29,5</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29,3</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40,51</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61,9</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42,5</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40,7</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47</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115</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930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927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1278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1952</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1340</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1286</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1482</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DUNĂREA</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34141</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19,4</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16,4</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26,7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41,7</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36,9</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28,2</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33,1</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117</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613</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518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841</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1316</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1164</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890</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1045</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SIRET</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42890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205</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154</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219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288</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206</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214</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217</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101</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6469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4867</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6899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9084</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6481</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6760</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6850</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PRUT</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10990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12,2</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6,48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17,8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13,1</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6,92</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11,3</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7,39</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65</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386</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205</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560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412</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218</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356</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233</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DO</w:t>
            </w:r>
            <w:r w:rsidR="007C1699">
              <w:rPr>
                <w:rFonts w:ascii="Arial" w:eastAsia="Times New Roman" w:hAnsi="Arial" w:cs="Arial"/>
                <w:color w:val="000000"/>
              </w:rPr>
              <w:t>BR</w:t>
            </w:r>
            <w:r w:rsidRPr="007105A2">
              <w:rPr>
                <w:rFonts w:ascii="Arial" w:eastAsia="Times New Roman" w:hAnsi="Arial" w:cs="Arial"/>
                <w:color w:val="000000"/>
              </w:rPr>
              <w:t>OGEA</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5480</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2,48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2,69</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2,05</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2,51</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3,92</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2,73</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4,88</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179</w:t>
            </w:r>
          </w:p>
        </w:tc>
      </w:tr>
      <w:tr w:rsidR="007551D0" w:rsidRPr="002D0C2A" w:rsidTr="00A54188">
        <w:trPr>
          <w:trHeight w:val="300"/>
          <w:jc w:val="center"/>
        </w:trPr>
        <w:tc>
          <w:tcPr>
            <w:tcW w:w="1605"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85</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65</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79</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124</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86</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154</w:t>
            </w:r>
          </w:p>
        </w:tc>
        <w:tc>
          <w:tcPr>
            <w:tcW w:w="1140" w:type="dxa"/>
            <w:vMerge/>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r w:rsidR="007551D0" w:rsidRPr="002D0C2A" w:rsidTr="00A54188">
        <w:trPr>
          <w:trHeight w:val="288"/>
          <w:jc w:val="center"/>
        </w:trPr>
        <w:tc>
          <w:tcPr>
            <w:tcW w:w="1605"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Total România fără fluviul Dunărea</w:t>
            </w:r>
          </w:p>
        </w:tc>
        <w:tc>
          <w:tcPr>
            <w:tcW w:w="1221"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3" w:type="dxa"/>
            <w:vMerge w:val="restart"/>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238391</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961</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778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1128</w:t>
            </w:r>
          </w:p>
        </w:tc>
        <w:tc>
          <w:tcPr>
            <w:tcW w:w="73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1334</w:t>
            </w:r>
          </w:p>
        </w:tc>
        <w:tc>
          <w:tcPr>
            <w:tcW w:w="80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1115</w:t>
            </w:r>
          </w:p>
        </w:tc>
        <w:tc>
          <w:tcPr>
            <w:tcW w:w="672"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1063</w:t>
            </w:r>
          </w:p>
        </w:tc>
        <w:tc>
          <w:tcPr>
            <w:tcW w:w="847" w:type="dxa"/>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1277</w:t>
            </w:r>
          </w:p>
        </w:tc>
        <w:tc>
          <w:tcPr>
            <w:tcW w:w="1140" w:type="dxa"/>
            <w:vMerge w:val="restart"/>
            <w:tcBorders>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r w:rsidRPr="002D0C2A">
              <w:rPr>
                <w:rFonts w:ascii="Arial" w:eastAsia="Times New Roman" w:hAnsi="Arial" w:cs="Arial"/>
                <w:color w:val="000000"/>
                <w:sz w:val="20"/>
                <w:szCs w:val="20"/>
              </w:rPr>
              <w:t>120</w:t>
            </w:r>
          </w:p>
        </w:tc>
      </w:tr>
      <w:tr w:rsidR="007551D0" w:rsidRPr="002D0C2A" w:rsidTr="00A54188">
        <w:trPr>
          <w:trHeight w:val="288"/>
          <w:jc w:val="center"/>
        </w:trPr>
        <w:tc>
          <w:tcPr>
            <w:tcW w:w="1605" w:type="dxa"/>
            <w:vMerge/>
            <w:tcBorders>
              <w:left w:val="single" w:sz="8" w:space="0" w:color="auto"/>
              <w:bottom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1" w:type="dxa"/>
            <w:tcBorders>
              <w:bottom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3" w:type="dxa"/>
            <w:vMerge/>
            <w:tcBorders>
              <w:bottom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737" w:type="dxa"/>
            <w:tcBorders>
              <w:bottom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30302</w:t>
            </w:r>
          </w:p>
        </w:tc>
        <w:tc>
          <w:tcPr>
            <w:tcW w:w="737" w:type="dxa"/>
            <w:tcBorders>
              <w:bottom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24612</w:t>
            </w:r>
          </w:p>
        </w:tc>
        <w:tc>
          <w:tcPr>
            <w:tcW w:w="737" w:type="dxa"/>
            <w:tcBorders>
              <w:bottom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35571</w:t>
            </w:r>
          </w:p>
        </w:tc>
        <w:tc>
          <w:tcPr>
            <w:tcW w:w="737" w:type="dxa"/>
            <w:tcBorders>
              <w:bottom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42084</w:t>
            </w:r>
          </w:p>
        </w:tc>
        <w:tc>
          <w:tcPr>
            <w:tcW w:w="802" w:type="dxa"/>
            <w:tcBorders>
              <w:bottom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35151</w:t>
            </w:r>
          </w:p>
        </w:tc>
        <w:tc>
          <w:tcPr>
            <w:tcW w:w="672" w:type="dxa"/>
            <w:tcBorders>
              <w:bottom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33544</w:t>
            </w:r>
          </w:p>
        </w:tc>
        <w:tc>
          <w:tcPr>
            <w:tcW w:w="847" w:type="dxa"/>
            <w:tcBorders>
              <w:bottom w:val="single" w:sz="8" w:space="0" w:color="auto"/>
            </w:tcBorders>
            <w:shd w:val="clear" w:color="auto" w:fill="auto"/>
            <w:noWrap/>
            <w:vAlign w:val="center"/>
            <w:hideMark/>
          </w:tcPr>
          <w:p w:rsidR="007551D0" w:rsidRPr="002D0C2A" w:rsidRDefault="007551D0" w:rsidP="00DB2B5E">
            <w:pPr>
              <w:spacing w:after="0"/>
              <w:jc w:val="right"/>
              <w:rPr>
                <w:rFonts w:ascii="Arial" w:eastAsia="Times New Roman" w:hAnsi="Arial" w:cs="Arial"/>
                <w:color w:val="000000"/>
                <w:sz w:val="20"/>
                <w:szCs w:val="20"/>
                <w:lang w:val="en-US"/>
              </w:rPr>
            </w:pPr>
            <w:r w:rsidRPr="002D0C2A">
              <w:rPr>
                <w:rFonts w:ascii="Arial" w:eastAsia="Times New Roman" w:hAnsi="Arial" w:cs="Arial"/>
                <w:color w:val="000000"/>
                <w:sz w:val="20"/>
                <w:szCs w:val="20"/>
              </w:rPr>
              <w:t>40268</w:t>
            </w:r>
          </w:p>
        </w:tc>
        <w:tc>
          <w:tcPr>
            <w:tcW w:w="1140" w:type="dxa"/>
            <w:vMerge/>
            <w:tcBorders>
              <w:bottom w:val="single" w:sz="8" w:space="0" w:color="auto"/>
              <w:right w:val="single" w:sz="8" w:space="0" w:color="auto"/>
            </w:tcBorders>
            <w:shd w:val="clear" w:color="auto" w:fill="auto"/>
            <w:noWrap/>
            <w:vAlign w:val="center"/>
            <w:hideMark/>
          </w:tcPr>
          <w:p w:rsidR="007551D0" w:rsidRPr="002D0C2A" w:rsidRDefault="007551D0" w:rsidP="00DB2B5E">
            <w:pPr>
              <w:spacing w:after="0"/>
              <w:jc w:val="center"/>
              <w:rPr>
                <w:rFonts w:ascii="Arial" w:eastAsia="Times New Roman" w:hAnsi="Arial" w:cs="Arial"/>
                <w:color w:val="000000"/>
                <w:sz w:val="20"/>
                <w:szCs w:val="20"/>
                <w:lang w:val="en-US"/>
              </w:rPr>
            </w:pPr>
          </w:p>
        </w:tc>
      </w:tr>
    </w:tbl>
    <w:p w:rsidR="007551D0" w:rsidRPr="00C763CB" w:rsidRDefault="007551D0" w:rsidP="007551D0">
      <w:pPr>
        <w:spacing w:after="0" w:line="240" w:lineRule="auto"/>
        <w:ind w:firstLine="708"/>
        <w:jc w:val="both"/>
        <w:rPr>
          <w:rFonts w:ascii="Arial" w:hAnsi="Arial" w:cs="Arial"/>
          <w:b/>
        </w:rPr>
      </w:pPr>
      <w:r w:rsidRPr="00C763CB">
        <w:rPr>
          <w:rFonts w:ascii="Arial" w:eastAsia="Calibri" w:hAnsi="Arial" w:cs="Arial"/>
          <w:b/>
        </w:rPr>
        <w:t>Sursa : Institutul Naţional de Hidrologie şi Gospodărire a Apelor</w:t>
      </w:r>
    </w:p>
    <w:p w:rsidR="007551D0" w:rsidRDefault="007551D0" w:rsidP="007551D0">
      <w:pPr>
        <w:spacing w:before="40" w:after="40"/>
        <w:ind w:left="1701"/>
        <w:rPr>
          <w:rFonts w:ascii="Arial" w:hAnsi="Arial" w:cs="Arial"/>
          <w:b/>
        </w:rPr>
      </w:pPr>
      <w:r w:rsidRPr="00C763CB">
        <w:rPr>
          <w:rFonts w:ascii="Arial" w:hAnsi="Arial" w:cs="Arial"/>
          <w:b/>
        </w:rPr>
        <w:t>Q - Debit Q (m</w:t>
      </w:r>
      <w:r w:rsidRPr="00C763CB">
        <w:rPr>
          <w:rFonts w:ascii="Arial" w:hAnsi="Arial" w:cs="Arial"/>
          <w:b/>
          <w:vertAlign w:val="superscript"/>
        </w:rPr>
        <w:t>3</w:t>
      </w:r>
      <w:r w:rsidRPr="00C763CB">
        <w:rPr>
          <w:rFonts w:ascii="Arial" w:hAnsi="Arial" w:cs="Arial"/>
          <w:b/>
        </w:rPr>
        <w:t>/s)</w:t>
      </w:r>
      <w:r>
        <w:rPr>
          <w:rFonts w:ascii="Arial" w:hAnsi="Arial" w:cs="Arial"/>
          <w:b/>
        </w:rPr>
        <w:t xml:space="preserve">   </w:t>
      </w:r>
      <w:r w:rsidRPr="00C763CB">
        <w:rPr>
          <w:rFonts w:ascii="Arial" w:hAnsi="Arial" w:cs="Arial"/>
          <w:b/>
        </w:rPr>
        <w:t>V - volum total (m</w:t>
      </w:r>
      <w:r w:rsidRPr="00C763CB">
        <w:rPr>
          <w:rFonts w:ascii="Arial" w:hAnsi="Arial" w:cs="Arial"/>
          <w:b/>
          <w:vertAlign w:val="superscript"/>
        </w:rPr>
        <w:t>3</w:t>
      </w:r>
      <w:r w:rsidRPr="00C763CB">
        <w:rPr>
          <w:rFonts w:ascii="Arial" w:hAnsi="Arial" w:cs="Arial"/>
          <w:b/>
        </w:rPr>
        <w:t>*10</w:t>
      </w:r>
      <w:r w:rsidRPr="00C763CB">
        <w:rPr>
          <w:rFonts w:ascii="Arial" w:hAnsi="Arial" w:cs="Arial"/>
          <w:b/>
          <w:vertAlign w:val="superscript"/>
        </w:rPr>
        <w:t>6</w:t>
      </w:r>
      <w:r w:rsidRPr="00C763CB">
        <w:rPr>
          <w:rFonts w:ascii="Arial" w:hAnsi="Arial" w:cs="Arial"/>
          <w:b/>
        </w:rPr>
        <w:t>)</w:t>
      </w:r>
    </w:p>
    <w:p w:rsidR="007551D0" w:rsidRPr="00C763CB" w:rsidRDefault="007551D0" w:rsidP="007551D0">
      <w:pPr>
        <w:spacing w:before="40" w:after="40"/>
        <w:ind w:left="1701"/>
        <w:rPr>
          <w:rFonts w:ascii="Arial" w:hAnsi="Arial" w:cs="Arial"/>
          <w:b/>
        </w:rPr>
      </w:pPr>
    </w:p>
    <w:p w:rsidR="007551D0" w:rsidRPr="00E114E7" w:rsidRDefault="007551D0" w:rsidP="00E114E7">
      <w:pPr>
        <w:rPr>
          <w:rFonts w:ascii="Arial" w:eastAsia="Times New Roman" w:hAnsi="Arial" w:cs="Arial"/>
          <w:bCs/>
          <w:i/>
        </w:rPr>
      </w:pPr>
      <w:r w:rsidRPr="00E114E7">
        <w:rPr>
          <w:rFonts w:ascii="Arial" w:eastAsia="Times New Roman" w:hAnsi="Arial" w:cs="Arial"/>
          <w:bCs/>
          <w:i/>
        </w:rPr>
        <w:lastRenderedPageBreak/>
        <w:t xml:space="preserve">Tab. </w:t>
      </w:r>
      <w:r w:rsidRPr="00E114E7">
        <w:rPr>
          <w:rFonts w:ascii="Arial" w:hAnsi="Arial" w:cs="Arial"/>
          <w:bCs/>
        </w:rPr>
        <w:t>II.1.1.1- 2</w:t>
      </w:r>
      <w:r w:rsidRPr="00E114E7">
        <w:rPr>
          <w:rFonts w:ascii="Arial" w:hAnsi="Arial" w:cs="Arial"/>
          <w:bCs/>
          <w:i/>
          <w:iCs/>
        </w:rPr>
        <w:t xml:space="preserve"> </w:t>
      </w:r>
      <w:r w:rsidRPr="00E114E7">
        <w:rPr>
          <w:rFonts w:ascii="Arial" w:eastAsia="Times New Roman" w:hAnsi="Arial" w:cs="Arial"/>
          <w:bCs/>
          <w:i/>
        </w:rPr>
        <w:t xml:space="preserve">Resursele de apă ale fluviului Dunărea în anul 2016, comparativ cu perioada </w:t>
      </w:r>
      <w:r w:rsidR="00E114E7">
        <w:rPr>
          <w:rFonts w:ascii="Arial" w:eastAsia="Times New Roman" w:hAnsi="Arial" w:cs="Arial"/>
          <w:bCs/>
          <w:i/>
        </w:rPr>
        <w:t>a</w:t>
      </w:r>
      <w:r w:rsidRPr="00E114E7">
        <w:rPr>
          <w:rFonts w:ascii="Arial" w:eastAsia="Times New Roman" w:hAnsi="Arial" w:cs="Arial"/>
          <w:bCs/>
          <w:i/>
        </w:rPr>
        <w:t>nterioară (2011-2015)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1210"/>
        <w:gridCol w:w="853"/>
        <w:gridCol w:w="852"/>
        <w:gridCol w:w="852"/>
        <w:gridCol w:w="852"/>
        <w:gridCol w:w="852"/>
        <w:gridCol w:w="852"/>
        <w:gridCol w:w="852"/>
        <w:gridCol w:w="1127"/>
      </w:tblGrid>
      <w:tr w:rsidR="007551D0" w:rsidRPr="007105A2" w:rsidTr="00DB2B5E">
        <w:trPr>
          <w:trHeight w:val="312"/>
          <w:jc w:val="center"/>
        </w:trPr>
        <w:tc>
          <w:tcPr>
            <w:tcW w:w="1971" w:type="dxa"/>
            <w:vMerge w:val="restart"/>
            <w:tcBorders>
              <w:top w:val="single" w:sz="8" w:space="0" w:color="auto"/>
              <w:left w:val="single" w:sz="8" w:space="0" w:color="auto"/>
            </w:tcBorders>
            <w:shd w:val="clear" w:color="000000" w:fill="FFFF00"/>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color w:val="000000"/>
              </w:rPr>
              <w:t>Bazinul hidrografic</w:t>
            </w:r>
          </w:p>
        </w:tc>
        <w:tc>
          <w:tcPr>
            <w:tcW w:w="1226" w:type="dxa"/>
            <w:vMerge w:val="restart"/>
            <w:tcBorders>
              <w:top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Parametrul</w:t>
            </w:r>
          </w:p>
        </w:tc>
        <w:tc>
          <w:tcPr>
            <w:tcW w:w="6342" w:type="dxa"/>
            <w:gridSpan w:val="7"/>
            <w:tcBorders>
              <w:top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 xml:space="preserve">Q </w:t>
            </w:r>
            <w:r w:rsidRPr="007105A2">
              <w:rPr>
                <w:rFonts w:ascii="Arial" w:eastAsia="Times New Roman" w:hAnsi="Arial" w:cs="Arial"/>
                <w:b/>
                <w:bCs/>
                <w:color w:val="000000"/>
                <w:vertAlign w:val="subscript"/>
              </w:rPr>
              <w:t xml:space="preserve">med anual </w:t>
            </w:r>
            <w:r w:rsidRPr="007105A2">
              <w:rPr>
                <w:rFonts w:ascii="Arial" w:eastAsia="Times New Roman" w:hAnsi="Arial" w:cs="Arial"/>
                <w:b/>
                <w:bCs/>
                <w:color w:val="000000"/>
              </w:rPr>
              <w:t>(m</w:t>
            </w:r>
            <w:r w:rsidRPr="007105A2">
              <w:rPr>
                <w:rFonts w:ascii="Arial" w:eastAsia="Times New Roman" w:hAnsi="Arial" w:cs="Arial"/>
                <w:b/>
                <w:bCs/>
                <w:color w:val="000000"/>
                <w:vertAlign w:val="superscript"/>
              </w:rPr>
              <w:t>3</w:t>
            </w:r>
            <w:r w:rsidRPr="007105A2">
              <w:rPr>
                <w:rFonts w:ascii="Arial" w:eastAsia="Times New Roman" w:hAnsi="Arial" w:cs="Arial"/>
                <w:b/>
                <w:bCs/>
                <w:color w:val="000000"/>
              </w:rPr>
              <w:t>/s)</w:t>
            </w:r>
          </w:p>
        </w:tc>
        <w:tc>
          <w:tcPr>
            <w:tcW w:w="1143" w:type="dxa"/>
            <w:vMerge w:val="restart"/>
            <w:tcBorders>
              <w:top w:val="single" w:sz="8" w:space="0" w:color="auto"/>
              <w:right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Q</w:t>
            </w:r>
            <w:r w:rsidRPr="007105A2">
              <w:rPr>
                <w:rFonts w:ascii="Arial" w:eastAsia="Times New Roman" w:hAnsi="Arial" w:cs="Arial"/>
                <w:color w:val="000000"/>
                <w:vertAlign w:val="subscript"/>
              </w:rPr>
              <w:t>2016</w:t>
            </w:r>
            <w:r w:rsidRPr="007105A2">
              <w:rPr>
                <w:rFonts w:ascii="Arial" w:eastAsia="Times New Roman" w:hAnsi="Arial" w:cs="Arial"/>
                <w:color w:val="000000"/>
              </w:rPr>
              <w:t>/Q</w:t>
            </w:r>
            <w:r w:rsidRPr="007105A2">
              <w:rPr>
                <w:rFonts w:ascii="Arial" w:eastAsia="Times New Roman" w:hAnsi="Arial" w:cs="Arial"/>
                <w:color w:val="000000"/>
                <w:vertAlign w:val="subscript"/>
              </w:rPr>
              <w:t>med</w:t>
            </w:r>
            <w:r w:rsidRPr="007105A2">
              <w:rPr>
                <w:rFonts w:ascii="Arial" w:eastAsia="Times New Roman" w:hAnsi="Arial" w:cs="Arial"/>
                <w:color w:val="000000"/>
              </w:rPr>
              <w:t xml:space="preserve"> (%)</w:t>
            </w:r>
          </w:p>
        </w:tc>
      </w:tr>
      <w:tr w:rsidR="007551D0" w:rsidRPr="007105A2" w:rsidTr="00DB2B5E">
        <w:trPr>
          <w:trHeight w:val="300"/>
          <w:jc w:val="center"/>
        </w:trPr>
        <w:tc>
          <w:tcPr>
            <w:tcW w:w="1971" w:type="dxa"/>
            <w:vMerge/>
            <w:tcBorders>
              <w:left w:val="single" w:sz="8" w:space="0" w:color="auto"/>
              <w:bottom w:val="single" w:sz="8" w:space="0" w:color="auto"/>
            </w:tcBorders>
            <w:shd w:val="clear" w:color="000000" w:fill="FFFF00"/>
            <w:noWrap/>
            <w:vAlign w:val="center"/>
            <w:hideMark/>
          </w:tcPr>
          <w:p w:rsidR="007551D0" w:rsidRPr="007105A2" w:rsidRDefault="007551D0" w:rsidP="00DB2B5E">
            <w:pPr>
              <w:spacing w:after="0"/>
              <w:rPr>
                <w:rFonts w:ascii="Arial" w:eastAsia="Times New Roman" w:hAnsi="Arial" w:cs="Arial"/>
                <w:color w:val="000000"/>
                <w:lang w:val="en-US"/>
              </w:rPr>
            </w:pPr>
          </w:p>
        </w:tc>
        <w:tc>
          <w:tcPr>
            <w:tcW w:w="1226" w:type="dxa"/>
            <w:vMerge/>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p>
        </w:tc>
        <w:tc>
          <w:tcPr>
            <w:tcW w:w="906" w:type="dxa"/>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2011</w:t>
            </w:r>
          </w:p>
        </w:tc>
        <w:tc>
          <w:tcPr>
            <w:tcW w:w="906" w:type="dxa"/>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2012</w:t>
            </w:r>
          </w:p>
        </w:tc>
        <w:tc>
          <w:tcPr>
            <w:tcW w:w="906" w:type="dxa"/>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2013</w:t>
            </w:r>
          </w:p>
        </w:tc>
        <w:tc>
          <w:tcPr>
            <w:tcW w:w="906" w:type="dxa"/>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2014</w:t>
            </w:r>
          </w:p>
        </w:tc>
        <w:tc>
          <w:tcPr>
            <w:tcW w:w="906" w:type="dxa"/>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2015</w:t>
            </w:r>
          </w:p>
        </w:tc>
        <w:tc>
          <w:tcPr>
            <w:tcW w:w="906" w:type="dxa"/>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rPr>
            </w:pPr>
            <w:r w:rsidRPr="007105A2">
              <w:rPr>
                <w:rFonts w:ascii="Arial" w:eastAsia="Times New Roman" w:hAnsi="Arial" w:cs="Arial"/>
                <w:color w:val="000000"/>
              </w:rPr>
              <w:t>MED</w:t>
            </w:r>
          </w:p>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b/>
                <w:bCs/>
                <w:color w:val="16365C"/>
                <w:vertAlign w:val="subscript"/>
              </w:rPr>
              <w:t>2011-2015</w:t>
            </w:r>
          </w:p>
        </w:tc>
        <w:tc>
          <w:tcPr>
            <w:tcW w:w="906" w:type="dxa"/>
            <w:tcBorders>
              <w:bottom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2016</w:t>
            </w:r>
          </w:p>
        </w:tc>
        <w:tc>
          <w:tcPr>
            <w:tcW w:w="1143" w:type="dxa"/>
            <w:vMerge/>
            <w:tcBorders>
              <w:bottom w:val="single" w:sz="8" w:space="0" w:color="auto"/>
              <w:right w:val="single" w:sz="8" w:space="0" w:color="auto"/>
            </w:tcBorders>
            <w:shd w:val="clear" w:color="000000" w:fill="FFFF00"/>
            <w:noWrap/>
            <w:vAlign w:val="center"/>
            <w:hideMark/>
          </w:tcPr>
          <w:p w:rsidR="007551D0" w:rsidRPr="007105A2" w:rsidRDefault="007551D0" w:rsidP="00DB2B5E">
            <w:pPr>
              <w:spacing w:after="0"/>
              <w:jc w:val="center"/>
              <w:rPr>
                <w:rFonts w:ascii="Arial" w:eastAsia="Times New Roman" w:hAnsi="Arial" w:cs="Arial"/>
                <w:color w:val="000000"/>
                <w:lang w:val="en-US"/>
              </w:rPr>
            </w:pPr>
          </w:p>
        </w:tc>
      </w:tr>
      <w:tr w:rsidR="007551D0" w:rsidRPr="007105A2" w:rsidTr="00DB2B5E">
        <w:trPr>
          <w:trHeight w:val="288"/>
          <w:jc w:val="center"/>
        </w:trPr>
        <w:tc>
          <w:tcPr>
            <w:tcW w:w="1971" w:type="dxa"/>
            <w:vMerge w:val="restart"/>
            <w:tcBorders>
              <w:top w:val="single" w:sz="8" w:space="0" w:color="auto"/>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b/>
                <w:bCs/>
                <w:color w:val="000000"/>
              </w:rPr>
              <w:t>Baziaș</w:t>
            </w:r>
          </w:p>
        </w:tc>
        <w:tc>
          <w:tcPr>
            <w:tcW w:w="1226" w:type="dxa"/>
            <w:tcBorders>
              <w:top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6" w:type="dxa"/>
            <w:tcBorders>
              <w:top w:val="single" w:sz="8" w:space="0" w:color="auto"/>
            </w:tcBorders>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4210</w:t>
            </w:r>
          </w:p>
        </w:tc>
        <w:tc>
          <w:tcPr>
            <w:tcW w:w="906" w:type="dxa"/>
            <w:tcBorders>
              <w:top w:val="single" w:sz="8" w:space="0" w:color="auto"/>
            </w:tcBorders>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4400</w:t>
            </w:r>
          </w:p>
        </w:tc>
        <w:tc>
          <w:tcPr>
            <w:tcW w:w="906" w:type="dxa"/>
            <w:tcBorders>
              <w:top w:val="single" w:sz="8" w:space="0" w:color="auto"/>
            </w:tcBorders>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6080</w:t>
            </w:r>
          </w:p>
        </w:tc>
        <w:tc>
          <w:tcPr>
            <w:tcW w:w="906" w:type="dxa"/>
            <w:tcBorders>
              <w:top w:val="single" w:sz="8" w:space="0" w:color="auto"/>
            </w:tcBorders>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6016</w:t>
            </w:r>
          </w:p>
        </w:tc>
        <w:tc>
          <w:tcPr>
            <w:tcW w:w="906" w:type="dxa"/>
            <w:tcBorders>
              <w:top w:val="single" w:sz="8" w:space="0" w:color="auto"/>
            </w:tcBorders>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4920</w:t>
            </w:r>
          </w:p>
        </w:tc>
        <w:tc>
          <w:tcPr>
            <w:tcW w:w="906" w:type="dxa"/>
            <w:tcBorders>
              <w:top w:val="single" w:sz="8" w:space="0" w:color="auto"/>
            </w:tcBorders>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5125</w:t>
            </w:r>
          </w:p>
        </w:tc>
        <w:tc>
          <w:tcPr>
            <w:tcW w:w="906" w:type="dxa"/>
            <w:tcBorders>
              <w:top w:val="single" w:sz="8" w:space="0" w:color="auto"/>
            </w:tcBorders>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5410</w:t>
            </w:r>
          </w:p>
        </w:tc>
        <w:tc>
          <w:tcPr>
            <w:tcW w:w="1143" w:type="dxa"/>
            <w:vMerge w:val="restart"/>
            <w:tcBorders>
              <w:top w:val="single" w:sz="8" w:space="0" w:color="auto"/>
              <w:right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106</w:t>
            </w:r>
          </w:p>
        </w:tc>
      </w:tr>
      <w:tr w:rsidR="007551D0" w:rsidRPr="007105A2" w:rsidTr="00DB2B5E">
        <w:trPr>
          <w:trHeight w:val="300"/>
          <w:jc w:val="center"/>
        </w:trPr>
        <w:tc>
          <w:tcPr>
            <w:tcW w:w="1971"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6"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132767</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139139</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191739</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189721</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155157</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161628</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170610</w:t>
            </w:r>
          </w:p>
        </w:tc>
        <w:tc>
          <w:tcPr>
            <w:tcW w:w="1143" w:type="dxa"/>
            <w:vMerge/>
            <w:tcBorders>
              <w:right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r>
      <w:tr w:rsidR="007551D0" w:rsidRPr="007105A2" w:rsidTr="00DB2B5E">
        <w:trPr>
          <w:trHeight w:val="300"/>
          <w:jc w:val="center"/>
        </w:trPr>
        <w:tc>
          <w:tcPr>
            <w:tcW w:w="1971"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6"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rPr>
            </w:pPr>
            <w:r>
              <w:rPr>
                <w:rFonts w:ascii="Arial" w:eastAsia="Times New Roman" w:hAnsi="Arial" w:cs="Arial"/>
                <w:color w:val="000000"/>
              </w:rPr>
              <w:t>V 1/2</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66384</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69570</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95870</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94861</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77579</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80814</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85305</w:t>
            </w:r>
          </w:p>
        </w:tc>
        <w:tc>
          <w:tcPr>
            <w:tcW w:w="1143" w:type="dxa"/>
            <w:vMerge/>
            <w:tcBorders>
              <w:right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r>
      <w:tr w:rsidR="007551D0" w:rsidRPr="007105A2" w:rsidTr="00DB2B5E">
        <w:trPr>
          <w:trHeight w:val="288"/>
          <w:jc w:val="center"/>
        </w:trPr>
        <w:tc>
          <w:tcPr>
            <w:tcW w:w="1971" w:type="dxa"/>
            <w:vMerge w:val="restart"/>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r w:rsidRPr="007105A2">
              <w:rPr>
                <w:rFonts w:ascii="Arial" w:eastAsia="Times New Roman" w:hAnsi="Arial" w:cs="Arial"/>
                <w:b/>
                <w:bCs/>
                <w:color w:val="000000"/>
              </w:rPr>
              <w:t>Isaccea</w:t>
            </w:r>
          </w:p>
        </w:tc>
        <w:tc>
          <w:tcPr>
            <w:tcW w:w="1226"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Q</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5320</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5050</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7170</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7439</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6170</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6230</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6470</w:t>
            </w:r>
          </w:p>
        </w:tc>
        <w:tc>
          <w:tcPr>
            <w:tcW w:w="1143" w:type="dxa"/>
            <w:vMerge w:val="restart"/>
            <w:tcBorders>
              <w:right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lang w:val="en-US"/>
              </w:rPr>
              <w:t>104</w:t>
            </w:r>
          </w:p>
        </w:tc>
      </w:tr>
      <w:tr w:rsidR="007551D0" w:rsidRPr="007105A2" w:rsidTr="00DB2B5E">
        <w:trPr>
          <w:trHeight w:val="300"/>
          <w:jc w:val="center"/>
        </w:trPr>
        <w:tc>
          <w:tcPr>
            <w:tcW w:w="1971" w:type="dxa"/>
            <w:vMerge/>
            <w:tcBorders>
              <w:left w:val="single" w:sz="8" w:space="0" w:color="auto"/>
            </w:tcBorders>
            <w:shd w:val="clear" w:color="auto" w:fill="auto"/>
            <w:noWrap/>
            <w:vAlign w:val="center"/>
            <w:hideMark/>
          </w:tcPr>
          <w:p w:rsidR="007551D0" w:rsidRPr="007105A2" w:rsidRDefault="007551D0" w:rsidP="00DB2B5E">
            <w:pPr>
              <w:spacing w:after="0"/>
              <w:rPr>
                <w:rFonts w:ascii="Arial" w:eastAsia="Times New Roman" w:hAnsi="Arial" w:cs="Arial"/>
                <w:color w:val="000000"/>
                <w:lang w:val="en-US"/>
              </w:rPr>
            </w:pPr>
          </w:p>
        </w:tc>
        <w:tc>
          <w:tcPr>
            <w:tcW w:w="1226" w:type="dxa"/>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r w:rsidRPr="007105A2">
              <w:rPr>
                <w:rFonts w:ascii="Arial" w:eastAsia="Times New Roman" w:hAnsi="Arial" w:cs="Arial"/>
                <w:color w:val="000000"/>
              </w:rPr>
              <w:t>V</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167772</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159693</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226113</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234596</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194577</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196463</w:t>
            </w:r>
          </w:p>
        </w:tc>
        <w:tc>
          <w:tcPr>
            <w:tcW w:w="906" w:type="dxa"/>
            <w:shd w:val="clear" w:color="auto" w:fill="auto"/>
            <w:noWrap/>
            <w:vAlign w:val="bottom"/>
            <w:hideMark/>
          </w:tcPr>
          <w:p w:rsidR="007551D0" w:rsidRPr="00A54188" w:rsidRDefault="007551D0" w:rsidP="00DB2B5E">
            <w:pPr>
              <w:spacing w:after="0"/>
              <w:jc w:val="right"/>
              <w:rPr>
                <w:rFonts w:ascii="Arial" w:eastAsia="Times New Roman" w:hAnsi="Arial" w:cs="Arial"/>
                <w:color w:val="000000"/>
                <w:sz w:val="18"/>
                <w:szCs w:val="18"/>
              </w:rPr>
            </w:pPr>
            <w:r w:rsidRPr="00A54188">
              <w:rPr>
                <w:rFonts w:ascii="Arial" w:eastAsia="Times New Roman" w:hAnsi="Arial" w:cs="Arial"/>
                <w:color w:val="000000"/>
                <w:sz w:val="18"/>
                <w:szCs w:val="18"/>
              </w:rPr>
              <w:t>204038</w:t>
            </w:r>
          </w:p>
        </w:tc>
        <w:tc>
          <w:tcPr>
            <w:tcW w:w="1143" w:type="dxa"/>
            <w:vMerge/>
            <w:tcBorders>
              <w:right w:val="single" w:sz="8" w:space="0" w:color="auto"/>
            </w:tcBorders>
            <w:shd w:val="clear" w:color="auto" w:fill="auto"/>
            <w:noWrap/>
            <w:vAlign w:val="center"/>
            <w:hideMark/>
          </w:tcPr>
          <w:p w:rsidR="007551D0" w:rsidRPr="007105A2" w:rsidRDefault="007551D0" w:rsidP="00DB2B5E">
            <w:pPr>
              <w:spacing w:after="0"/>
              <w:jc w:val="center"/>
              <w:rPr>
                <w:rFonts w:ascii="Arial" w:eastAsia="Times New Roman" w:hAnsi="Arial" w:cs="Arial"/>
                <w:color w:val="000000"/>
                <w:lang w:val="en-US"/>
              </w:rPr>
            </w:pPr>
          </w:p>
        </w:tc>
      </w:tr>
    </w:tbl>
    <w:p w:rsidR="007551D0" w:rsidRPr="00C763CB" w:rsidRDefault="007551D0" w:rsidP="007551D0">
      <w:pPr>
        <w:spacing w:after="0" w:line="240" w:lineRule="auto"/>
        <w:ind w:firstLine="708"/>
        <w:jc w:val="both"/>
        <w:rPr>
          <w:rFonts w:ascii="Arial" w:hAnsi="Arial" w:cs="Arial"/>
          <w:b/>
        </w:rPr>
      </w:pPr>
      <w:r w:rsidRPr="00C763CB">
        <w:rPr>
          <w:rFonts w:ascii="Arial" w:eastAsia="Calibri" w:hAnsi="Arial" w:cs="Arial"/>
          <w:b/>
        </w:rPr>
        <w:t>Sursa : Institutul Naţional de Hidrologie şi Gospodărire a Apelor</w:t>
      </w:r>
    </w:p>
    <w:p w:rsidR="007551D0" w:rsidRPr="00760BCC" w:rsidRDefault="007551D0" w:rsidP="007551D0">
      <w:pPr>
        <w:spacing w:before="40" w:after="40"/>
        <w:ind w:left="1701"/>
        <w:rPr>
          <w:rFonts w:ascii="Arial" w:hAnsi="Arial" w:cs="Arial"/>
          <w:b/>
        </w:rPr>
      </w:pPr>
      <w:r w:rsidRPr="00760BCC">
        <w:rPr>
          <w:rFonts w:ascii="Arial" w:hAnsi="Arial" w:cs="Arial"/>
          <w:b/>
        </w:rPr>
        <w:t>Q - Debit Q (m</w:t>
      </w:r>
      <w:r w:rsidRPr="00760BCC">
        <w:rPr>
          <w:rFonts w:ascii="Arial" w:hAnsi="Arial" w:cs="Arial"/>
          <w:b/>
          <w:vertAlign w:val="superscript"/>
        </w:rPr>
        <w:t>3</w:t>
      </w:r>
      <w:r w:rsidRPr="00760BCC">
        <w:rPr>
          <w:rFonts w:ascii="Arial" w:hAnsi="Arial" w:cs="Arial"/>
          <w:b/>
        </w:rPr>
        <w:t>/s) V - volum total (m</w:t>
      </w:r>
      <w:r w:rsidRPr="00760BCC">
        <w:rPr>
          <w:rFonts w:ascii="Arial" w:hAnsi="Arial" w:cs="Arial"/>
          <w:b/>
          <w:vertAlign w:val="superscript"/>
        </w:rPr>
        <w:t>3</w:t>
      </w:r>
      <w:r w:rsidRPr="00760BCC">
        <w:rPr>
          <w:rFonts w:ascii="Arial" w:hAnsi="Arial" w:cs="Arial"/>
          <w:b/>
        </w:rPr>
        <w:t>*10</w:t>
      </w:r>
      <w:r w:rsidRPr="00760BCC">
        <w:rPr>
          <w:rFonts w:ascii="Arial" w:hAnsi="Arial" w:cs="Arial"/>
          <w:b/>
          <w:vertAlign w:val="superscript"/>
        </w:rPr>
        <w:t>6</w:t>
      </w:r>
      <w:r w:rsidRPr="00760BCC">
        <w:rPr>
          <w:rFonts w:ascii="Arial" w:hAnsi="Arial" w:cs="Arial"/>
          <w:b/>
        </w:rPr>
        <w:t>)</w:t>
      </w:r>
    </w:p>
    <w:p w:rsidR="007551D0" w:rsidRPr="00C74B42" w:rsidRDefault="007551D0" w:rsidP="007551D0">
      <w:pPr>
        <w:spacing w:before="40" w:after="40"/>
        <w:ind w:left="1701"/>
        <w:rPr>
          <w:rFonts w:ascii="Arial" w:hAnsi="Arial" w:cs="Arial"/>
        </w:rPr>
      </w:pPr>
      <w:r>
        <w:rPr>
          <w:rFonts w:ascii="Arial" w:hAnsi="Arial" w:cs="Arial"/>
        </w:rPr>
        <w:t xml:space="preserve">V 1/2 - </w:t>
      </w:r>
      <w:r w:rsidRPr="00C74B42">
        <w:rPr>
          <w:rFonts w:ascii="Arial" w:hAnsi="Arial" w:cs="Arial"/>
        </w:rPr>
        <w:t>valorile reprezintă 50% din volumele scurse pe Dunăre la intrarea în țară, aferente României, cealaltă jumătate revenind Republicii Serbia</w:t>
      </w:r>
    </w:p>
    <w:p w:rsidR="007551D0" w:rsidRDefault="007551D0" w:rsidP="007551D0">
      <w:pPr>
        <w:spacing w:after="0" w:line="240" w:lineRule="auto"/>
        <w:ind w:firstLine="708"/>
        <w:jc w:val="both"/>
        <w:rPr>
          <w:rFonts w:ascii="Arial" w:hAnsi="Arial" w:cs="Arial"/>
          <w:sz w:val="24"/>
          <w:szCs w:val="24"/>
        </w:rPr>
      </w:pPr>
    </w:p>
    <w:p w:rsidR="007551D0" w:rsidRDefault="007551D0" w:rsidP="00EA6509">
      <w:pPr>
        <w:spacing w:after="0" w:line="240" w:lineRule="auto"/>
        <w:ind w:firstLine="708"/>
        <w:jc w:val="center"/>
        <w:rPr>
          <w:rFonts w:ascii="Arial" w:hAnsi="Arial" w:cs="Arial"/>
          <w:sz w:val="24"/>
          <w:szCs w:val="24"/>
        </w:rPr>
      </w:pPr>
      <w:r w:rsidRPr="00215932">
        <w:rPr>
          <w:rFonts w:ascii="Arial" w:hAnsi="Arial" w:cs="Arial"/>
          <w:noProof/>
          <w:sz w:val="24"/>
          <w:szCs w:val="24"/>
          <w:lang w:eastAsia="ro-RO"/>
        </w:rPr>
        <w:drawing>
          <wp:inline distT="0" distB="0" distL="0" distR="0">
            <wp:extent cx="4962525" cy="2124075"/>
            <wp:effectExtent l="19050" t="0" r="9525" b="0"/>
            <wp:docPr id="195" name="Chart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E5BACC25-D176-48CB-8BFB-FB241CAA3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551D0" w:rsidRDefault="007551D0" w:rsidP="007551D0">
      <w:pPr>
        <w:spacing w:after="0" w:line="240" w:lineRule="auto"/>
        <w:ind w:firstLine="708"/>
        <w:jc w:val="both"/>
        <w:rPr>
          <w:rFonts w:ascii="Arial" w:hAnsi="Arial" w:cs="Arial"/>
          <w:sz w:val="24"/>
          <w:szCs w:val="24"/>
        </w:rPr>
      </w:pPr>
    </w:p>
    <w:p w:rsidR="007551D0" w:rsidRPr="00E114E7" w:rsidRDefault="007551D0" w:rsidP="00E114E7">
      <w:pPr>
        <w:spacing w:after="0"/>
        <w:jc w:val="center"/>
        <w:rPr>
          <w:rFonts w:ascii="Arial" w:hAnsi="Arial" w:cs="Arial"/>
          <w:i/>
        </w:rPr>
      </w:pPr>
      <w:r w:rsidRPr="00E114E7">
        <w:rPr>
          <w:rFonts w:ascii="Arial" w:eastAsia="Times New Roman" w:hAnsi="Arial" w:cs="Arial"/>
          <w:bCs/>
          <w:i/>
        </w:rPr>
        <w:t xml:space="preserve">Fig. </w:t>
      </w:r>
      <w:r w:rsidRPr="00E114E7">
        <w:rPr>
          <w:rFonts w:ascii="Arial" w:hAnsi="Arial" w:cs="Arial"/>
          <w:bCs/>
        </w:rPr>
        <w:t>II.1.1.1- 1</w:t>
      </w:r>
      <w:r w:rsidRPr="00E114E7">
        <w:rPr>
          <w:rFonts w:ascii="Arial" w:hAnsi="Arial" w:cs="Arial"/>
          <w:bCs/>
          <w:i/>
          <w:iCs/>
        </w:rPr>
        <w:t xml:space="preserve"> </w:t>
      </w:r>
      <w:r w:rsidRPr="00E114E7">
        <w:rPr>
          <w:rFonts w:ascii="Arial" w:hAnsi="Arial" w:cs="Arial"/>
          <w:i/>
        </w:rPr>
        <w:t>Resursele de apă ale anului 2016, comparativ cu perioada anterioară (2011-2015)</w:t>
      </w:r>
    </w:p>
    <w:p w:rsidR="007551D0" w:rsidRPr="00E114E7" w:rsidRDefault="007551D0" w:rsidP="00E114E7">
      <w:pPr>
        <w:ind w:firstLine="720"/>
        <w:jc w:val="center"/>
        <w:rPr>
          <w:rFonts w:ascii="Arial" w:hAnsi="Arial" w:cs="Arial"/>
          <w:i/>
          <w:sz w:val="24"/>
          <w:szCs w:val="24"/>
        </w:rPr>
      </w:pPr>
      <w:r w:rsidRPr="00E114E7">
        <w:rPr>
          <w:rFonts w:ascii="Arial" w:hAnsi="Arial" w:cs="Arial"/>
          <w:i/>
          <w:sz w:val="24"/>
          <w:szCs w:val="24"/>
        </w:rPr>
        <w:t>Resurse de apă subterană</w:t>
      </w:r>
    </w:p>
    <w:p w:rsidR="007551D0" w:rsidRDefault="007551D0" w:rsidP="007551D0">
      <w:pPr>
        <w:spacing w:after="0"/>
        <w:ind w:firstLine="720"/>
        <w:jc w:val="both"/>
        <w:rPr>
          <w:rFonts w:ascii="Arial" w:hAnsi="Arial" w:cs="Arial"/>
          <w:sz w:val="24"/>
          <w:szCs w:val="24"/>
        </w:rPr>
      </w:pPr>
      <w:r w:rsidRPr="001E5431">
        <w:rPr>
          <w:rFonts w:ascii="Arial" w:hAnsi="Arial" w:cs="Arial"/>
          <w:sz w:val="24"/>
          <w:szCs w:val="24"/>
        </w:rPr>
        <w:t>Resursele de apă subterană au fost estimate la 9,68 mld. m</w:t>
      </w:r>
      <w:r w:rsidRPr="001E5431">
        <w:rPr>
          <w:rFonts w:ascii="Arial" w:hAnsi="Arial" w:cs="Arial"/>
          <w:sz w:val="24"/>
          <w:szCs w:val="24"/>
          <w:vertAlign w:val="superscript"/>
        </w:rPr>
        <w:t>3</w:t>
      </w:r>
      <w:r w:rsidRPr="001E5431">
        <w:rPr>
          <w:rFonts w:ascii="Arial" w:hAnsi="Arial" w:cs="Arial"/>
          <w:sz w:val="24"/>
          <w:szCs w:val="24"/>
        </w:rPr>
        <w:t>/an, din care 4,74 mld. m</w:t>
      </w:r>
      <w:r w:rsidRPr="001E5431">
        <w:rPr>
          <w:rFonts w:ascii="Arial" w:hAnsi="Arial" w:cs="Arial"/>
          <w:sz w:val="24"/>
          <w:szCs w:val="24"/>
          <w:vertAlign w:val="superscript"/>
        </w:rPr>
        <w:t>3</w:t>
      </w:r>
      <w:r w:rsidRPr="001E5431">
        <w:rPr>
          <w:rFonts w:ascii="Arial" w:hAnsi="Arial" w:cs="Arial"/>
          <w:sz w:val="24"/>
          <w:szCs w:val="24"/>
        </w:rPr>
        <w:t>/an apele freatice și 4,94 mld. m</w:t>
      </w:r>
      <w:r w:rsidRPr="001E5431">
        <w:rPr>
          <w:rFonts w:ascii="Arial" w:hAnsi="Arial" w:cs="Arial"/>
          <w:sz w:val="24"/>
          <w:szCs w:val="24"/>
          <w:vertAlign w:val="superscript"/>
        </w:rPr>
        <w:t>3</w:t>
      </w:r>
      <w:r w:rsidRPr="001E5431">
        <w:rPr>
          <w:rFonts w:ascii="Arial" w:hAnsi="Arial" w:cs="Arial"/>
          <w:sz w:val="24"/>
          <w:szCs w:val="24"/>
        </w:rPr>
        <w:t>/an de apă subterană de adâncime. Resursele de apă subterană reprezintă aproape 25% din apa de suprafață, dar sunt de bună calitate, fiind utilizate ca ape potabile (pentru populație).</w:t>
      </w:r>
    </w:p>
    <w:p w:rsidR="007551D0" w:rsidRPr="001E5431" w:rsidRDefault="007551D0" w:rsidP="007551D0">
      <w:pPr>
        <w:spacing w:after="0"/>
        <w:ind w:firstLine="720"/>
        <w:jc w:val="both"/>
        <w:rPr>
          <w:rFonts w:ascii="Arial" w:hAnsi="Arial" w:cs="Arial"/>
          <w:sz w:val="24"/>
          <w:szCs w:val="24"/>
        </w:rPr>
      </w:pPr>
      <w:r w:rsidRPr="001E5431">
        <w:rPr>
          <w:rFonts w:ascii="Arial" w:hAnsi="Arial" w:cs="Arial"/>
          <w:sz w:val="24"/>
          <w:szCs w:val="24"/>
        </w:rPr>
        <w:t>In România identificarea şi delimitarea corpurilor de apă subterană s-a făcut în concordanţă cu metodologia specifică de caracterizare a apelor subterane elaborată în cadrul INHGA, care a ţinut cont de prevederile Directivei Cadru a Apei 2000/60/EC şi de Ghidurile elaborate în cadrul Strategiei Comune de Implementare a DCA.</w:t>
      </w:r>
    </w:p>
    <w:p w:rsidR="007551D0" w:rsidRPr="001E5431" w:rsidRDefault="007551D0" w:rsidP="007551D0">
      <w:pPr>
        <w:spacing w:after="0"/>
        <w:ind w:firstLine="720"/>
        <w:jc w:val="both"/>
        <w:rPr>
          <w:rFonts w:ascii="Arial" w:hAnsi="Arial" w:cs="Arial"/>
          <w:sz w:val="24"/>
          <w:szCs w:val="24"/>
        </w:rPr>
      </w:pPr>
      <w:r w:rsidRPr="001E5431">
        <w:rPr>
          <w:rFonts w:ascii="Arial" w:hAnsi="Arial" w:cs="Arial"/>
          <w:sz w:val="24"/>
          <w:szCs w:val="24"/>
        </w:rPr>
        <w:t>Delimitarea corpurilor de ape subterane s-a făcut pentru zonele în care există acvifere semnificative ca importanţă pentru alimentări cu apă şi anume debite exploatabile mai mari de 10 m</w:t>
      </w:r>
      <w:r w:rsidRPr="001E5431">
        <w:rPr>
          <w:rFonts w:ascii="Arial" w:hAnsi="Arial" w:cs="Arial"/>
          <w:sz w:val="24"/>
          <w:szCs w:val="24"/>
          <w:vertAlign w:val="superscript"/>
        </w:rPr>
        <w:t>3</w:t>
      </w:r>
      <w:r w:rsidRPr="001E5431">
        <w:rPr>
          <w:rFonts w:ascii="Arial" w:hAnsi="Arial" w:cs="Arial"/>
          <w:sz w:val="24"/>
          <w:szCs w:val="24"/>
        </w:rPr>
        <w:t xml:space="preserve">/zi. În restul arealului, chiar dacă există condiţii locale de acumulare a apelor în subteran, acestea nu se constituie în corpuri de apă, conform prevederilor Directivei Cadru Apă. </w:t>
      </w:r>
    </w:p>
    <w:p w:rsidR="007551D0" w:rsidRPr="001E5431" w:rsidRDefault="007551D0" w:rsidP="007551D0">
      <w:pPr>
        <w:spacing w:after="0"/>
        <w:ind w:firstLine="720"/>
        <w:jc w:val="both"/>
        <w:rPr>
          <w:rFonts w:ascii="Arial" w:hAnsi="Arial" w:cs="Arial"/>
          <w:sz w:val="24"/>
          <w:szCs w:val="24"/>
        </w:rPr>
      </w:pPr>
      <w:r>
        <w:rPr>
          <w:rFonts w:ascii="Arial" w:hAnsi="Arial" w:cs="Arial"/>
          <w:sz w:val="24"/>
          <w:szCs w:val="24"/>
        </w:rPr>
        <w:t>Î</w:t>
      </w:r>
      <w:r w:rsidRPr="001E5431">
        <w:rPr>
          <w:rFonts w:ascii="Arial" w:hAnsi="Arial" w:cs="Arial"/>
          <w:sz w:val="24"/>
          <w:szCs w:val="24"/>
        </w:rPr>
        <w:t>n general, apa freatică este utilizată pentru irigaţii şi industrie iar pentru alimentarea populaţiei sunt utilizate izvoare şi apa subterană din acviferul de adâncime. Există zone unde freaticul este folosit pentru alimentarea populaţiei dar în procent scăzut.</w:t>
      </w:r>
    </w:p>
    <w:p w:rsidR="007551D0" w:rsidRPr="001E5431" w:rsidRDefault="007551D0" w:rsidP="007551D0">
      <w:pPr>
        <w:spacing w:after="0"/>
        <w:ind w:firstLine="720"/>
        <w:jc w:val="both"/>
        <w:rPr>
          <w:rFonts w:ascii="Arial" w:hAnsi="Arial" w:cs="Arial"/>
          <w:sz w:val="24"/>
          <w:szCs w:val="24"/>
        </w:rPr>
      </w:pPr>
      <w:r w:rsidRPr="001E5431">
        <w:rPr>
          <w:rFonts w:ascii="Arial" w:hAnsi="Arial" w:cs="Arial"/>
          <w:sz w:val="24"/>
          <w:szCs w:val="24"/>
        </w:rPr>
        <w:lastRenderedPageBreak/>
        <w:t xml:space="preserve">Calitatea apei subterane este determinată de alcătuirea mineralogică, şi implicit chimică, a suportului mineral în care este localizată apa subterană, dar şi de evoluţia geologică şi tectonică a fiecărei regiuni. </w:t>
      </w:r>
      <w:r>
        <w:rPr>
          <w:rFonts w:ascii="Arial" w:hAnsi="Arial" w:cs="Arial"/>
          <w:sz w:val="24"/>
          <w:szCs w:val="24"/>
        </w:rPr>
        <w:t>Î</w:t>
      </w:r>
      <w:r w:rsidRPr="001E5431">
        <w:rPr>
          <w:rFonts w:ascii="Arial" w:hAnsi="Arial" w:cs="Arial"/>
          <w:sz w:val="24"/>
          <w:szCs w:val="24"/>
        </w:rPr>
        <w:t xml:space="preserve">n urma analizei efectuate a rezultat că din resursa totală de apă subterană disponibilă în România, în anul 2013 s-au utilizat pentru alimentarea populaţiei, industrie şi agricultură doar cca. 4%. Aproximativ 70% din volumele exploatate din freatic (inclusiv izvoare, cu apă de bună calitate) şi 54% din cele de adâncime au fost destinate consumului populaţiei. </w:t>
      </w:r>
    </w:p>
    <w:p w:rsidR="007551D0" w:rsidRPr="00E92120" w:rsidRDefault="007551D0" w:rsidP="007551D0">
      <w:pPr>
        <w:pStyle w:val="Default"/>
        <w:rPr>
          <w:rFonts w:ascii="Arial" w:hAnsi="Arial" w:cs="Arial"/>
          <w:color w:val="auto"/>
        </w:rPr>
      </w:pPr>
    </w:p>
    <w:p w:rsidR="007551D0" w:rsidRPr="00E114E7" w:rsidRDefault="007551D0" w:rsidP="007551D0">
      <w:pPr>
        <w:pStyle w:val="Default"/>
        <w:rPr>
          <w:rFonts w:ascii="Arial" w:hAnsi="Arial" w:cs="Arial"/>
          <w:color w:val="auto"/>
        </w:rPr>
      </w:pPr>
      <w:r w:rsidRPr="00E114E7">
        <w:rPr>
          <w:rFonts w:ascii="Arial" w:hAnsi="Arial" w:cs="Arial"/>
          <w:bCs/>
          <w:color w:val="auto"/>
        </w:rPr>
        <w:t xml:space="preserve">Tabel nr. II.1.1.1 - 3 </w:t>
      </w:r>
      <w:r w:rsidRPr="00E114E7">
        <w:rPr>
          <w:rFonts w:ascii="Arial" w:hAnsi="Arial" w:cs="Arial"/>
          <w:color w:val="auto"/>
        </w:rPr>
        <w:t xml:space="preserve"> Resursele de apă potenţiale şi tehnic utililizabile la nivelul jud. </w:t>
      </w:r>
      <w:r w:rsidR="00217620" w:rsidRPr="00E114E7">
        <w:rPr>
          <w:rFonts w:ascii="Arial" w:hAnsi="Arial" w:cs="Arial"/>
          <w:color w:val="auto"/>
        </w:rPr>
        <w:t>Brăila</w:t>
      </w:r>
      <w:r w:rsidRPr="00E114E7">
        <w:rPr>
          <w:rFonts w:ascii="Arial" w:hAnsi="Arial" w:cs="Arial"/>
          <w:color w:val="auto"/>
        </w:rPr>
        <w:t xml:space="preserve">   </w:t>
      </w:r>
    </w:p>
    <w:p w:rsidR="007551D0" w:rsidRPr="00E92120" w:rsidRDefault="007551D0" w:rsidP="007551D0">
      <w:pPr>
        <w:pStyle w:val="Default"/>
        <w:rPr>
          <w:rFonts w:ascii="Arial" w:hAnsi="Arial" w:cs="Arial"/>
          <w:color w:val="auto"/>
        </w:rPr>
      </w:pPr>
    </w:p>
    <w:tbl>
      <w:tblPr>
        <w:tblW w:w="0" w:type="auto"/>
        <w:jc w:val="center"/>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99"/>
        <w:gridCol w:w="1842"/>
      </w:tblGrid>
      <w:tr w:rsidR="007551D0" w:rsidRPr="00E92120" w:rsidTr="00DB2B5E">
        <w:trPr>
          <w:jc w:val="center"/>
        </w:trPr>
        <w:tc>
          <w:tcPr>
            <w:tcW w:w="7799" w:type="dxa"/>
            <w:shd w:val="clear" w:color="auto" w:fill="F2DBDB" w:themeFill="accent2" w:themeFillTint="33"/>
          </w:tcPr>
          <w:p w:rsidR="007551D0" w:rsidRPr="00E92120" w:rsidRDefault="007551D0" w:rsidP="00DB2B5E">
            <w:pPr>
              <w:pStyle w:val="Default"/>
              <w:rPr>
                <w:rFonts w:ascii="Arial" w:hAnsi="Arial" w:cs="Arial"/>
                <w:color w:val="auto"/>
                <w:lang w:val="pt-BR"/>
              </w:rPr>
            </w:pPr>
            <w:r w:rsidRPr="00E92120">
              <w:rPr>
                <w:rFonts w:ascii="Arial" w:hAnsi="Arial" w:cs="Arial"/>
                <w:b/>
                <w:bCs/>
                <w:color w:val="auto"/>
                <w:lang w:val="pt-BR"/>
              </w:rPr>
              <w:t>Sursa de apă. Indicator de caracterizare</w:t>
            </w:r>
          </w:p>
        </w:tc>
        <w:tc>
          <w:tcPr>
            <w:tcW w:w="1842" w:type="dxa"/>
            <w:shd w:val="clear" w:color="auto" w:fill="F2DBDB" w:themeFill="accent2" w:themeFillTint="33"/>
          </w:tcPr>
          <w:p w:rsidR="007551D0" w:rsidRPr="00E92120" w:rsidRDefault="007551D0" w:rsidP="00DB2B5E">
            <w:pPr>
              <w:pStyle w:val="Default"/>
              <w:jc w:val="center"/>
              <w:rPr>
                <w:rFonts w:ascii="Arial" w:hAnsi="Arial" w:cs="Arial"/>
                <w:b/>
                <w:bCs/>
                <w:color w:val="auto"/>
              </w:rPr>
            </w:pPr>
            <w:r w:rsidRPr="00E92120">
              <w:rPr>
                <w:rFonts w:ascii="Arial" w:hAnsi="Arial" w:cs="Arial"/>
                <w:b/>
                <w:bCs/>
                <w:color w:val="auto"/>
              </w:rPr>
              <w:t>Total</w:t>
            </w:r>
          </w:p>
          <w:p w:rsidR="007551D0" w:rsidRPr="00E92120" w:rsidRDefault="007551D0" w:rsidP="00DB2B5E">
            <w:pPr>
              <w:pStyle w:val="Default"/>
              <w:jc w:val="center"/>
              <w:rPr>
                <w:rFonts w:ascii="Arial" w:hAnsi="Arial" w:cs="Arial"/>
                <w:color w:val="auto"/>
              </w:rPr>
            </w:pPr>
            <w:r w:rsidRPr="00E92120">
              <w:rPr>
                <w:rFonts w:ascii="Arial" w:hAnsi="Arial" w:cs="Arial"/>
                <w:b/>
                <w:bCs/>
                <w:color w:val="auto"/>
              </w:rPr>
              <w:t>(mii mc)</w:t>
            </w:r>
          </w:p>
        </w:tc>
      </w:tr>
      <w:tr w:rsidR="007551D0" w:rsidRPr="00E92120" w:rsidTr="00DB2B5E">
        <w:trPr>
          <w:jc w:val="center"/>
        </w:trPr>
        <w:tc>
          <w:tcPr>
            <w:tcW w:w="7799" w:type="dxa"/>
            <w:shd w:val="clear" w:color="auto" w:fill="FDE9D9" w:themeFill="accent6" w:themeFillTint="33"/>
          </w:tcPr>
          <w:p w:rsidR="007551D0" w:rsidRPr="00E92120" w:rsidRDefault="007551D0" w:rsidP="007551D0">
            <w:pPr>
              <w:pStyle w:val="Default"/>
              <w:widowControl w:val="0"/>
              <w:numPr>
                <w:ilvl w:val="0"/>
                <w:numId w:val="3"/>
              </w:numPr>
              <w:jc w:val="center"/>
              <w:rPr>
                <w:rFonts w:ascii="Arial" w:hAnsi="Arial" w:cs="Arial"/>
                <w:color w:val="auto"/>
                <w:u w:val="single"/>
              </w:rPr>
            </w:pPr>
            <w:r w:rsidRPr="00E92120">
              <w:rPr>
                <w:rFonts w:ascii="Arial" w:hAnsi="Arial" w:cs="Arial"/>
                <w:b/>
                <w:bCs/>
                <w:i/>
                <w:iCs/>
                <w:color w:val="auto"/>
                <w:u w:val="single"/>
              </w:rPr>
              <w:t>A. Râuri interioare</w:t>
            </w:r>
          </w:p>
          <w:p w:rsidR="007551D0" w:rsidRPr="00E92120" w:rsidRDefault="007551D0" w:rsidP="00DB2B5E">
            <w:pPr>
              <w:pStyle w:val="Default"/>
              <w:rPr>
                <w:rFonts w:ascii="Arial" w:hAnsi="Arial" w:cs="Arial"/>
                <w:color w:val="auto"/>
              </w:rPr>
            </w:pPr>
            <w:r w:rsidRPr="00E92120">
              <w:rPr>
                <w:rFonts w:ascii="Arial" w:hAnsi="Arial" w:cs="Arial"/>
                <w:color w:val="auto"/>
              </w:rPr>
              <w:t xml:space="preserve">1. Resursa teoretică </w:t>
            </w:r>
          </w:p>
          <w:p w:rsidR="007551D0" w:rsidRPr="00E92120" w:rsidRDefault="007551D0" w:rsidP="007551D0">
            <w:pPr>
              <w:pStyle w:val="Default"/>
              <w:widowControl w:val="0"/>
              <w:numPr>
                <w:ilvl w:val="0"/>
                <w:numId w:val="4"/>
              </w:numPr>
              <w:rPr>
                <w:rFonts w:ascii="Arial" w:hAnsi="Arial" w:cs="Arial"/>
                <w:color w:val="auto"/>
                <w:lang w:val="pt-BR"/>
              </w:rPr>
            </w:pPr>
            <w:r w:rsidRPr="00E92120">
              <w:rPr>
                <w:rFonts w:ascii="Arial" w:hAnsi="Arial" w:cs="Arial"/>
                <w:color w:val="auto"/>
                <w:lang w:val="pt-BR"/>
              </w:rPr>
              <w:t xml:space="preserve">2. Resursa existentă potrivit gradului de amenajare a bazinelor hidrografice </w:t>
            </w:r>
          </w:p>
          <w:p w:rsidR="007551D0" w:rsidRPr="00E92120" w:rsidRDefault="007551D0" w:rsidP="007551D0">
            <w:pPr>
              <w:pStyle w:val="Default"/>
              <w:widowControl w:val="0"/>
              <w:numPr>
                <w:ilvl w:val="0"/>
                <w:numId w:val="5"/>
              </w:numPr>
              <w:rPr>
                <w:rFonts w:ascii="Arial" w:hAnsi="Arial" w:cs="Arial"/>
                <w:color w:val="auto"/>
                <w:lang w:val="pt-BR"/>
              </w:rPr>
            </w:pPr>
            <w:r w:rsidRPr="00E92120">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7551D0" w:rsidRPr="00E92120" w:rsidRDefault="007551D0" w:rsidP="00DB2B5E">
            <w:pPr>
              <w:pStyle w:val="Default"/>
              <w:jc w:val="center"/>
              <w:rPr>
                <w:rFonts w:ascii="Arial" w:hAnsi="Arial" w:cs="Arial"/>
                <w:color w:val="auto"/>
                <w:lang w:val="pt-BR"/>
              </w:rPr>
            </w:pPr>
          </w:p>
          <w:p w:rsidR="007551D0" w:rsidRPr="00E92120" w:rsidRDefault="007551D0" w:rsidP="00DB2B5E">
            <w:pPr>
              <w:pStyle w:val="Default"/>
              <w:jc w:val="center"/>
              <w:rPr>
                <w:rFonts w:ascii="Arial" w:hAnsi="Arial" w:cs="Arial"/>
                <w:color w:val="auto"/>
              </w:rPr>
            </w:pPr>
            <w:r w:rsidRPr="00E92120">
              <w:rPr>
                <w:rFonts w:ascii="Arial" w:hAnsi="Arial" w:cs="Arial"/>
                <w:color w:val="auto"/>
              </w:rPr>
              <w:t>866897</w:t>
            </w:r>
          </w:p>
          <w:p w:rsidR="007551D0" w:rsidRPr="00E92120" w:rsidRDefault="007551D0" w:rsidP="00DB2B5E">
            <w:pPr>
              <w:pStyle w:val="Default"/>
              <w:jc w:val="center"/>
              <w:rPr>
                <w:rFonts w:ascii="Arial" w:hAnsi="Arial" w:cs="Arial"/>
                <w:color w:val="auto"/>
              </w:rPr>
            </w:pPr>
            <w:r w:rsidRPr="00E92120">
              <w:rPr>
                <w:rFonts w:ascii="Arial" w:hAnsi="Arial" w:cs="Arial"/>
                <w:color w:val="auto"/>
              </w:rPr>
              <w:t>99030</w:t>
            </w:r>
          </w:p>
          <w:p w:rsidR="007551D0" w:rsidRPr="00E92120" w:rsidRDefault="007551D0" w:rsidP="00DB2B5E">
            <w:pPr>
              <w:pStyle w:val="Default"/>
              <w:jc w:val="center"/>
              <w:rPr>
                <w:rFonts w:ascii="Arial" w:hAnsi="Arial" w:cs="Arial"/>
                <w:color w:val="auto"/>
              </w:rPr>
            </w:pPr>
          </w:p>
          <w:p w:rsidR="007551D0" w:rsidRPr="00E92120" w:rsidRDefault="007551D0" w:rsidP="00DB2B5E">
            <w:pPr>
              <w:pStyle w:val="Default"/>
              <w:jc w:val="center"/>
              <w:rPr>
                <w:rFonts w:ascii="Arial" w:hAnsi="Arial" w:cs="Arial"/>
                <w:color w:val="auto"/>
              </w:rPr>
            </w:pPr>
            <w:r w:rsidRPr="00E92120">
              <w:rPr>
                <w:rFonts w:ascii="Arial" w:hAnsi="Arial" w:cs="Arial"/>
                <w:color w:val="auto"/>
              </w:rPr>
              <w:t>14202,38</w:t>
            </w:r>
          </w:p>
        </w:tc>
      </w:tr>
      <w:tr w:rsidR="007551D0" w:rsidRPr="00E92120" w:rsidTr="00DB2B5E">
        <w:trPr>
          <w:jc w:val="center"/>
        </w:trPr>
        <w:tc>
          <w:tcPr>
            <w:tcW w:w="7799" w:type="dxa"/>
            <w:shd w:val="clear" w:color="auto" w:fill="FDE9D9" w:themeFill="accent6" w:themeFillTint="33"/>
          </w:tcPr>
          <w:p w:rsidR="007551D0" w:rsidRPr="00E92120" w:rsidRDefault="007551D0" w:rsidP="007551D0">
            <w:pPr>
              <w:pStyle w:val="Default"/>
              <w:widowControl w:val="0"/>
              <w:numPr>
                <w:ilvl w:val="0"/>
                <w:numId w:val="6"/>
              </w:numPr>
              <w:jc w:val="center"/>
              <w:rPr>
                <w:rFonts w:ascii="Arial" w:hAnsi="Arial" w:cs="Arial"/>
                <w:color w:val="auto"/>
                <w:u w:val="single"/>
              </w:rPr>
            </w:pPr>
            <w:r w:rsidRPr="00E92120">
              <w:rPr>
                <w:rFonts w:ascii="Arial" w:hAnsi="Arial" w:cs="Arial"/>
                <w:b/>
                <w:bCs/>
                <w:i/>
                <w:iCs/>
                <w:color w:val="auto"/>
                <w:u w:val="single"/>
              </w:rPr>
              <w:t>B. Dunăre (direct)</w:t>
            </w:r>
          </w:p>
          <w:p w:rsidR="007551D0" w:rsidRPr="00E92120" w:rsidRDefault="007551D0" w:rsidP="007551D0">
            <w:pPr>
              <w:pStyle w:val="Default"/>
              <w:widowControl w:val="0"/>
              <w:numPr>
                <w:ilvl w:val="0"/>
                <w:numId w:val="7"/>
              </w:numPr>
              <w:rPr>
                <w:rFonts w:ascii="Arial" w:hAnsi="Arial" w:cs="Arial"/>
                <w:color w:val="auto"/>
              </w:rPr>
            </w:pPr>
            <w:r w:rsidRPr="00E92120">
              <w:rPr>
                <w:rFonts w:ascii="Arial" w:hAnsi="Arial" w:cs="Arial"/>
                <w:color w:val="auto"/>
              </w:rPr>
              <w:t xml:space="preserve">1. Resursa teoretică (în secțiunea de intrare în țară) </w:t>
            </w:r>
          </w:p>
          <w:p w:rsidR="007551D0" w:rsidRPr="00E92120" w:rsidRDefault="007551D0" w:rsidP="007551D0">
            <w:pPr>
              <w:pStyle w:val="Default"/>
              <w:widowControl w:val="0"/>
              <w:numPr>
                <w:ilvl w:val="0"/>
                <w:numId w:val="8"/>
              </w:numPr>
              <w:rPr>
                <w:rFonts w:ascii="Arial" w:hAnsi="Arial" w:cs="Arial"/>
                <w:color w:val="auto"/>
                <w:lang w:val="pt-BR"/>
              </w:rPr>
            </w:pPr>
            <w:r w:rsidRPr="00E92120">
              <w:rPr>
                <w:rFonts w:ascii="Arial" w:hAnsi="Arial" w:cs="Arial"/>
                <w:color w:val="auto"/>
                <w:lang w:val="pt-BR"/>
              </w:rPr>
              <w:t xml:space="preserve">2. Resursa utilizabilă în regim actual de amenajare </w:t>
            </w:r>
          </w:p>
          <w:p w:rsidR="007551D0" w:rsidRPr="00E92120" w:rsidRDefault="007551D0" w:rsidP="007551D0">
            <w:pPr>
              <w:pStyle w:val="Default"/>
              <w:widowControl w:val="0"/>
              <w:numPr>
                <w:ilvl w:val="0"/>
                <w:numId w:val="9"/>
              </w:numPr>
              <w:rPr>
                <w:rFonts w:ascii="Arial" w:hAnsi="Arial" w:cs="Arial"/>
                <w:color w:val="auto"/>
                <w:lang w:val="pt-BR"/>
              </w:rPr>
            </w:pPr>
            <w:r w:rsidRPr="00E92120">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7551D0" w:rsidRPr="00E92120" w:rsidRDefault="007551D0" w:rsidP="00DB2B5E">
            <w:pPr>
              <w:pStyle w:val="Default"/>
              <w:jc w:val="center"/>
              <w:rPr>
                <w:rFonts w:ascii="Arial" w:hAnsi="Arial" w:cs="Arial"/>
                <w:color w:val="auto"/>
                <w:lang w:val="pt-BR"/>
              </w:rPr>
            </w:pPr>
          </w:p>
          <w:p w:rsidR="007551D0" w:rsidRPr="00E92120" w:rsidRDefault="007551D0" w:rsidP="00DB2B5E">
            <w:pPr>
              <w:pStyle w:val="Default"/>
              <w:jc w:val="center"/>
              <w:rPr>
                <w:rFonts w:ascii="Arial" w:hAnsi="Arial" w:cs="Arial"/>
                <w:color w:val="auto"/>
              </w:rPr>
            </w:pPr>
            <w:r w:rsidRPr="00E92120">
              <w:rPr>
                <w:rFonts w:ascii="Arial" w:hAnsi="Arial" w:cs="Arial"/>
                <w:color w:val="auto"/>
              </w:rPr>
              <w:t>194261700</w:t>
            </w:r>
          </w:p>
          <w:p w:rsidR="007551D0" w:rsidRPr="00E92120" w:rsidRDefault="007551D0" w:rsidP="00DB2B5E">
            <w:pPr>
              <w:pStyle w:val="Default"/>
              <w:jc w:val="center"/>
              <w:rPr>
                <w:rFonts w:ascii="Arial" w:hAnsi="Arial" w:cs="Arial"/>
                <w:color w:val="auto"/>
              </w:rPr>
            </w:pPr>
            <w:r w:rsidRPr="00E92120">
              <w:rPr>
                <w:rFonts w:ascii="Arial" w:hAnsi="Arial" w:cs="Arial"/>
                <w:color w:val="auto"/>
              </w:rPr>
              <w:t>55188000</w:t>
            </w:r>
          </w:p>
          <w:p w:rsidR="007551D0" w:rsidRPr="00E92120" w:rsidRDefault="007551D0" w:rsidP="00DB2B5E">
            <w:pPr>
              <w:pStyle w:val="Default"/>
              <w:jc w:val="center"/>
              <w:rPr>
                <w:rFonts w:ascii="Arial" w:hAnsi="Arial" w:cs="Arial"/>
                <w:color w:val="auto"/>
              </w:rPr>
            </w:pPr>
            <w:r w:rsidRPr="00E92120">
              <w:rPr>
                <w:rFonts w:ascii="Arial" w:hAnsi="Arial" w:cs="Arial"/>
                <w:color w:val="auto"/>
              </w:rPr>
              <w:t>158761,3</w:t>
            </w:r>
          </w:p>
        </w:tc>
      </w:tr>
      <w:tr w:rsidR="007551D0" w:rsidRPr="00E92120" w:rsidTr="00DB2B5E">
        <w:trPr>
          <w:jc w:val="center"/>
        </w:trPr>
        <w:tc>
          <w:tcPr>
            <w:tcW w:w="7799" w:type="dxa"/>
            <w:shd w:val="clear" w:color="auto" w:fill="FDE9D9" w:themeFill="accent6" w:themeFillTint="33"/>
          </w:tcPr>
          <w:p w:rsidR="007551D0" w:rsidRPr="00E92120" w:rsidRDefault="007551D0" w:rsidP="00DB2B5E">
            <w:pPr>
              <w:pStyle w:val="Default"/>
              <w:jc w:val="center"/>
              <w:rPr>
                <w:rFonts w:ascii="Arial" w:hAnsi="Arial" w:cs="Arial"/>
                <w:b/>
                <w:bCs/>
                <w:i/>
                <w:iCs/>
                <w:color w:val="auto"/>
                <w:u w:val="single"/>
              </w:rPr>
            </w:pPr>
            <w:r w:rsidRPr="00E92120">
              <w:rPr>
                <w:rFonts w:ascii="Arial" w:hAnsi="Arial" w:cs="Arial"/>
                <w:b/>
                <w:bCs/>
                <w:i/>
                <w:iCs/>
                <w:color w:val="auto"/>
                <w:u w:val="single"/>
              </w:rPr>
              <w:t>C. Subteran</w:t>
            </w:r>
          </w:p>
          <w:p w:rsidR="007551D0" w:rsidRPr="00E92120" w:rsidRDefault="007551D0" w:rsidP="007551D0">
            <w:pPr>
              <w:pStyle w:val="Default"/>
              <w:widowControl w:val="0"/>
              <w:numPr>
                <w:ilvl w:val="0"/>
                <w:numId w:val="10"/>
              </w:numPr>
              <w:rPr>
                <w:rFonts w:ascii="Arial" w:hAnsi="Arial" w:cs="Arial"/>
                <w:color w:val="auto"/>
              </w:rPr>
            </w:pPr>
            <w:r w:rsidRPr="00E92120">
              <w:rPr>
                <w:rFonts w:ascii="Arial" w:hAnsi="Arial" w:cs="Arial"/>
                <w:color w:val="auto"/>
              </w:rPr>
              <w:t xml:space="preserve">1. Resursa teoretică din care: </w:t>
            </w:r>
          </w:p>
          <w:p w:rsidR="007551D0" w:rsidRPr="00E92120" w:rsidRDefault="007551D0" w:rsidP="00DB2B5E">
            <w:pPr>
              <w:pStyle w:val="Default"/>
              <w:rPr>
                <w:rFonts w:ascii="Arial" w:hAnsi="Arial" w:cs="Arial"/>
                <w:color w:val="auto"/>
              </w:rPr>
            </w:pPr>
            <w:r w:rsidRPr="00E92120">
              <w:rPr>
                <w:rFonts w:ascii="Arial" w:hAnsi="Arial" w:cs="Arial"/>
                <w:color w:val="auto"/>
              </w:rPr>
              <w:t>- ape freatice</w:t>
            </w:r>
          </w:p>
          <w:p w:rsidR="007551D0" w:rsidRPr="00E92120" w:rsidRDefault="007551D0" w:rsidP="00DB2B5E">
            <w:pPr>
              <w:pStyle w:val="Default"/>
              <w:rPr>
                <w:rFonts w:ascii="Arial" w:hAnsi="Arial" w:cs="Arial"/>
                <w:color w:val="auto"/>
              </w:rPr>
            </w:pPr>
            <w:r w:rsidRPr="00E92120">
              <w:rPr>
                <w:rFonts w:ascii="Arial" w:hAnsi="Arial" w:cs="Arial"/>
                <w:color w:val="auto"/>
              </w:rPr>
              <w:t>- ape de adâncime</w:t>
            </w:r>
          </w:p>
          <w:p w:rsidR="007551D0" w:rsidRPr="00E92120" w:rsidRDefault="007551D0" w:rsidP="007551D0">
            <w:pPr>
              <w:pStyle w:val="Default"/>
              <w:widowControl w:val="0"/>
              <w:numPr>
                <w:ilvl w:val="0"/>
                <w:numId w:val="11"/>
              </w:numPr>
              <w:rPr>
                <w:rFonts w:ascii="Arial" w:hAnsi="Arial" w:cs="Arial"/>
                <w:color w:val="auto"/>
              </w:rPr>
            </w:pPr>
            <w:r w:rsidRPr="00E92120">
              <w:rPr>
                <w:rFonts w:ascii="Arial" w:hAnsi="Arial" w:cs="Arial"/>
                <w:color w:val="auto"/>
              </w:rPr>
              <w:t xml:space="preserve">2. Resursa utilizabilă </w:t>
            </w:r>
          </w:p>
          <w:p w:rsidR="007551D0" w:rsidRPr="00E92120" w:rsidRDefault="007551D0" w:rsidP="007551D0">
            <w:pPr>
              <w:pStyle w:val="Default"/>
              <w:widowControl w:val="0"/>
              <w:numPr>
                <w:ilvl w:val="0"/>
                <w:numId w:val="12"/>
              </w:numPr>
              <w:rPr>
                <w:rFonts w:ascii="Arial" w:hAnsi="Arial" w:cs="Arial"/>
                <w:color w:val="auto"/>
                <w:lang w:val="pt-BR"/>
              </w:rPr>
            </w:pPr>
            <w:r w:rsidRPr="00E92120">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7551D0" w:rsidRPr="00E92120" w:rsidRDefault="007551D0" w:rsidP="00DB2B5E">
            <w:pPr>
              <w:pStyle w:val="Default"/>
              <w:jc w:val="center"/>
              <w:rPr>
                <w:rFonts w:ascii="Arial" w:hAnsi="Arial" w:cs="Arial"/>
                <w:color w:val="auto"/>
                <w:lang w:val="pt-BR"/>
              </w:rPr>
            </w:pPr>
          </w:p>
          <w:p w:rsidR="007551D0" w:rsidRPr="00E92120" w:rsidRDefault="007551D0" w:rsidP="00DB2B5E">
            <w:pPr>
              <w:pStyle w:val="Default"/>
              <w:jc w:val="center"/>
              <w:rPr>
                <w:rFonts w:ascii="Arial" w:hAnsi="Arial" w:cs="Arial"/>
                <w:color w:val="auto"/>
              </w:rPr>
            </w:pPr>
            <w:r w:rsidRPr="00E92120">
              <w:rPr>
                <w:rFonts w:ascii="Arial" w:hAnsi="Arial" w:cs="Arial"/>
                <w:color w:val="auto"/>
              </w:rPr>
              <w:t>1919200</w:t>
            </w:r>
          </w:p>
          <w:p w:rsidR="007551D0" w:rsidRPr="00E92120" w:rsidRDefault="007551D0" w:rsidP="00DB2B5E">
            <w:pPr>
              <w:pStyle w:val="Default"/>
              <w:jc w:val="center"/>
              <w:rPr>
                <w:rFonts w:ascii="Arial" w:hAnsi="Arial" w:cs="Arial"/>
                <w:color w:val="auto"/>
              </w:rPr>
            </w:pPr>
          </w:p>
          <w:p w:rsidR="007551D0" w:rsidRPr="00E92120" w:rsidRDefault="007551D0" w:rsidP="00DB2B5E">
            <w:pPr>
              <w:pStyle w:val="Default"/>
              <w:jc w:val="center"/>
              <w:rPr>
                <w:rFonts w:ascii="Arial" w:hAnsi="Arial" w:cs="Arial"/>
                <w:color w:val="auto"/>
              </w:rPr>
            </w:pPr>
          </w:p>
          <w:p w:rsidR="007551D0" w:rsidRPr="00E92120" w:rsidRDefault="007551D0" w:rsidP="00DB2B5E">
            <w:pPr>
              <w:pStyle w:val="Default"/>
              <w:jc w:val="center"/>
              <w:rPr>
                <w:rFonts w:ascii="Arial" w:hAnsi="Arial" w:cs="Arial"/>
              </w:rPr>
            </w:pPr>
            <w:r w:rsidRPr="00E92120">
              <w:rPr>
                <w:rFonts w:ascii="Arial" w:hAnsi="Arial" w:cs="Arial"/>
              </w:rPr>
              <w:t>329.550</w:t>
            </w:r>
          </w:p>
          <w:p w:rsidR="007551D0" w:rsidRPr="00E92120" w:rsidRDefault="007551D0" w:rsidP="00DB2B5E">
            <w:pPr>
              <w:pStyle w:val="Default"/>
              <w:jc w:val="center"/>
              <w:rPr>
                <w:rFonts w:ascii="Arial" w:hAnsi="Arial" w:cs="Arial"/>
                <w:color w:val="auto"/>
              </w:rPr>
            </w:pPr>
            <w:r w:rsidRPr="00E92120">
              <w:rPr>
                <w:rFonts w:ascii="Arial" w:hAnsi="Arial" w:cs="Arial"/>
                <w:color w:val="auto"/>
              </w:rPr>
              <w:t>3340,5</w:t>
            </w:r>
          </w:p>
        </w:tc>
      </w:tr>
      <w:tr w:rsidR="007551D0" w:rsidRPr="00E92120" w:rsidTr="00DB2B5E">
        <w:trPr>
          <w:jc w:val="center"/>
        </w:trPr>
        <w:tc>
          <w:tcPr>
            <w:tcW w:w="7799" w:type="dxa"/>
            <w:shd w:val="clear" w:color="auto" w:fill="FDE9D9" w:themeFill="accent6" w:themeFillTint="33"/>
          </w:tcPr>
          <w:p w:rsidR="007551D0" w:rsidRPr="00E92120" w:rsidRDefault="007551D0" w:rsidP="00DB2B5E">
            <w:pPr>
              <w:pStyle w:val="Default"/>
              <w:jc w:val="center"/>
              <w:rPr>
                <w:rFonts w:ascii="Arial" w:hAnsi="Arial" w:cs="Arial"/>
                <w:b/>
                <w:bCs/>
                <w:i/>
                <w:iCs/>
                <w:color w:val="auto"/>
                <w:u w:val="single"/>
              </w:rPr>
            </w:pPr>
            <w:r w:rsidRPr="00E92120">
              <w:rPr>
                <w:rFonts w:ascii="Arial" w:hAnsi="Arial" w:cs="Arial"/>
                <w:b/>
                <w:bCs/>
                <w:i/>
                <w:iCs/>
                <w:color w:val="auto"/>
                <w:u w:val="single"/>
              </w:rPr>
              <w:t>Total resurse</w:t>
            </w:r>
          </w:p>
          <w:p w:rsidR="007551D0" w:rsidRPr="00E92120" w:rsidRDefault="007551D0" w:rsidP="007551D0">
            <w:pPr>
              <w:pStyle w:val="Default"/>
              <w:widowControl w:val="0"/>
              <w:numPr>
                <w:ilvl w:val="0"/>
                <w:numId w:val="13"/>
              </w:numPr>
              <w:rPr>
                <w:rFonts w:ascii="Arial" w:hAnsi="Arial" w:cs="Arial"/>
                <w:color w:val="auto"/>
              </w:rPr>
            </w:pPr>
            <w:r w:rsidRPr="00E92120">
              <w:rPr>
                <w:rFonts w:ascii="Arial" w:hAnsi="Arial" w:cs="Arial"/>
                <w:color w:val="auto"/>
              </w:rPr>
              <w:t xml:space="preserve">1. Resursa teoretică </w:t>
            </w:r>
          </w:p>
          <w:p w:rsidR="007551D0" w:rsidRPr="00E92120" w:rsidRDefault="007551D0" w:rsidP="007551D0">
            <w:pPr>
              <w:pStyle w:val="Default"/>
              <w:widowControl w:val="0"/>
              <w:numPr>
                <w:ilvl w:val="0"/>
                <w:numId w:val="14"/>
              </w:numPr>
              <w:rPr>
                <w:rFonts w:ascii="Arial" w:hAnsi="Arial" w:cs="Arial"/>
                <w:color w:val="auto"/>
                <w:lang w:val="pt-BR"/>
              </w:rPr>
            </w:pPr>
            <w:r w:rsidRPr="00E92120">
              <w:rPr>
                <w:rFonts w:ascii="Arial" w:hAnsi="Arial" w:cs="Arial"/>
                <w:color w:val="auto"/>
                <w:lang w:val="pt-BR"/>
              </w:rPr>
              <w:t xml:space="preserve">2. Resursa existentă potrivit gradului de amenajare a bazinelor hidrografice </w:t>
            </w:r>
          </w:p>
          <w:p w:rsidR="007551D0" w:rsidRPr="00E92120" w:rsidRDefault="007551D0" w:rsidP="007551D0">
            <w:pPr>
              <w:pStyle w:val="Default"/>
              <w:widowControl w:val="0"/>
              <w:numPr>
                <w:ilvl w:val="0"/>
                <w:numId w:val="15"/>
              </w:numPr>
              <w:rPr>
                <w:rFonts w:ascii="Arial" w:hAnsi="Arial" w:cs="Arial"/>
                <w:color w:val="auto"/>
                <w:lang w:val="pt-BR"/>
              </w:rPr>
            </w:pPr>
            <w:r w:rsidRPr="00E92120">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7551D0" w:rsidRPr="00E92120" w:rsidRDefault="007551D0" w:rsidP="00DB2B5E">
            <w:pPr>
              <w:pStyle w:val="Default"/>
              <w:jc w:val="center"/>
              <w:rPr>
                <w:rFonts w:ascii="Arial" w:hAnsi="Arial" w:cs="Arial"/>
                <w:color w:val="auto"/>
                <w:lang w:val="pt-BR"/>
              </w:rPr>
            </w:pPr>
          </w:p>
          <w:p w:rsidR="007551D0" w:rsidRPr="00E92120" w:rsidRDefault="007551D0" w:rsidP="00DB2B5E">
            <w:pPr>
              <w:pStyle w:val="Default"/>
              <w:jc w:val="center"/>
              <w:rPr>
                <w:rFonts w:ascii="Arial" w:hAnsi="Arial" w:cs="Arial"/>
                <w:color w:val="auto"/>
              </w:rPr>
            </w:pPr>
            <w:r w:rsidRPr="00E92120">
              <w:rPr>
                <w:rFonts w:ascii="Arial" w:hAnsi="Arial" w:cs="Arial"/>
                <w:color w:val="auto"/>
              </w:rPr>
              <w:t>197914694</w:t>
            </w:r>
          </w:p>
          <w:p w:rsidR="007551D0" w:rsidRPr="00E92120" w:rsidRDefault="007551D0" w:rsidP="00DB2B5E">
            <w:pPr>
              <w:pStyle w:val="Default"/>
              <w:jc w:val="center"/>
              <w:rPr>
                <w:rFonts w:ascii="Arial" w:hAnsi="Arial" w:cs="Arial"/>
                <w:color w:val="auto"/>
              </w:rPr>
            </w:pPr>
            <w:r w:rsidRPr="00E92120">
              <w:rPr>
                <w:rFonts w:ascii="Arial" w:hAnsi="Arial" w:cs="Arial"/>
              </w:rPr>
              <w:t>55.616.580</w:t>
            </w:r>
          </w:p>
          <w:p w:rsidR="007551D0" w:rsidRPr="00E92120" w:rsidRDefault="007551D0" w:rsidP="00DB2B5E">
            <w:pPr>
              <w:pStyle w:val="Default"/>
              <w:jc w:val="center"/>
              <w:rPr>
                <w:rFonts w:ascii="Arial" w:hAnsi="Arial" w:cs="Arial"/>
                <w:color w:val="auto"/>
              </w:rPr>
            </w:pPr>
          </w:p>
          <w:p w:rsidR="007551D0" w:rsidRPr="00E92120" w:rsidRDefault="007551D0" w:rsidP="00DB2B5E">
            <w:pPr>
              <w:pStyle w:val="Default"/>
              <w:jc w:val="center"/>
              <w:rPr>
                <w:rFonts w:ascii="Arial" w:hAnsi="Arial" w:cs="Arial"/>
                <w:color w:val="auto"/>
              </w:rPr>
            </w:pPr>
            <w:r w:rsidRPr="00E92120">
              <w:rPr>
                <w:rFonts w:ascii="Arial" w:hAnsi="Arial" w:cs="Arial"/>
                <w:color w:val="auto"/>
              </w:rPr>
              <w:t>176304,18</w:t>
            </w:r>
          </w:p>
        </w:tc>
      </w:tr>
    </w:tbl>
    <w:p w:rsidR="007551D0" w:rsidRPr="00760BCC" w:rsidRDefault="007551D0" w:rsidP="007551D0">
      <w:pPr>
        <w:pStyle w:val="Default"/>
        <w:rPr>
          <w:rFonts w:ascii="Arial" w:hAnsi="Arial" w:cs="Arial"/>
          <w:bCs/>
          <w:color w:val="auto"/>
        </w:rPr>
      </w:pPr>
      <w:r w:rsidRPr="00760BCC">
        <w:rPr>
          <w:rFonts w:ascii="Arial" w:hAnsi="Arial" w:cs="Arial"/>
          <w:bCs/>
          <w:color w:val="auto"/>
          <w:sz w:val="22"/>
          <w:szCs w:val="22"/>
        </w:rPr>
        <w:t>Sursa : ABA Buzău – Ialomiț</w:t>
      </w:r>
      <w:r w:rsidRPr="00760BCC">
        <w:rPr>
          <w:rFonts w:ascii="Arial" w:hAnsi="Arial" w:cs="Arial"/>
          <w:bCs/>
          <w:color w:val="auto"/>
          <w:sz w:val="22"/>
          <w:szCs w:val="22"/>
          <w:lang w:val="ro-RO"/>
        </w:rPr>
        <w:t>a – anul 2014</w:t>
      </w:r>
    </w:p>
    <w:p w:rsidR="007551D0" w:rsidRDefault="007551D0" w:rsidP="007551D0">
      <w:pPr>
        <w:pStyle w:val="Default"/>
        <w:rPr>
          <w:rFonts w:ascii="Arial" w:hAnsi="Arial" w:cs="Arial"/>
          <w:b/>
          <w:bCs/>
          <w:color w:val="auto"/>
        </w:rPr>
      </w:pPr>
    </w:p>
    <w:p w:rsidR="007551D0" w:rsidRPr="00E92120" w:rsidRDefault="007551D0" w:rsidP="007551D0">
      <w:pPr>
        <w:pStyle w:val="Default"/>
        <w:rPr>
          <w:rFonts w:ascii="Arial" w:hAnsi="Arial" w:cs="Arial"/>
          <w:color w:val="auto"/>
        </w:rPr>
      </w:pPr>
      <w:r w:rsidRPr="00E114E7">
        <w:rPr>
          <w:rFonts w:ascii="Arial" w:hAnsi="Arial" w:cs="Arial"/>
          <w:bCs/>
          <w:color w:val="auto"/>
        </w:rPr>
        <w:t>Tabelul  nr. II.1.1.1</w:t>
      </w:r>
      <w:r w:rsidRPr="00E114E7">
        <w:rPr>
          <w:rFonts w:ascii="Arial" w:hAnsi="Arial" w:cs="Arial"/>
          <w:bCs/>
          <w:i/>
          <w:iCs/>
          <w:color w:val="auto"/>
        </w:rPr>
        <w:t xml:space="preserve"> -</w:t>
      </w:r>
      <w:r w:rsidRPr="00E114E7">
        <w:rPr>
          <w:rFonts w:ascii="Arial" w:hAnsi="Arial" w:cs="Arial"/>
          <w:bCs/>
          <w:color w:val="auto"/>
        </w:rPr>
        <w:t xml:space="preserve"> 4</w:t>
      </w:r>
      <w:r w:rsidRPr="00E92120">
        <w:rPr>
          <w:rFonts w:ascii="Arial" w:hAnsi="Arial" w:cs="Arial"/>
          <w:color w:val="auto"/>
        </w:rPr>
        <w:t xml:space="preserve"> </w:t>
      </w:r>
      <w:r w:rsidRPr="00760BCC">
        <w:rPr>
          <w:rFonts w:ascii="Arial" w:hAnsi="Arial" w:cs="Arial"/>
          <w:color w:val="auto"/>
        </w:rPr>
        <w:t xml:space="preserve">Resursele de apă potenţiale şi tehnic utilizabile la nivelul județului </w:t>
      </w:r>
      <w:r w:rsidR="00217620">
        <w:rPr>
          <w:rFonts w:ascii="Arial" w:hAnsi="Arial" w:cs="Arial"/>
          <w:color w:val="auto"/>
        </w:rPr>
        <w:t>Brăila</w:t>
      </w:r>
      <w:r w:rsidRPr="00E92120">
        <w:rPr>
          <w:rFonts w:ascii="Arial" w:hAnsi="Arial" w:cs="Arial"/>
          <w:color w:val="auto"/>
        </w:rPr>
        <w:t xml:space="preserve"> </w:t>
      </w:r>
      <w:r>
        <w:rPr>
          <w:rFonts w:ascii="Arial" w:hAnsi="Arial" w:cs="Arial"/>
          <w:color w:val="auto"/>
        </w:rPr>
        <w:t xml:space="preserve">                              </w:t>
      </w:r>
    </w:p>
    <w:p w:rsidR="007551D0" w:rsidRPr="00E92120" w:rsidRDefault="007551D0" w:rsidP="007551D0">
      <w:pPr>
        <w:pStyle w:val="Default"/>
        <w:rPr>
          <w:rFonts w:ascii="Arial" w:hAnsi="Arial" w:cs="Arial"/>
          <w:b/>
          <w:bCs/>
          <w:color w:val="auto"/>
        </w:rPr>
      </w:pPr>
    </w:p>
    <w:tbl>
      <w:tblPr>
        <w:tblW w:w="3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1418"/>
      </w:tblGrid>
      <w:tr w:rsidR="007551D0" w:rsidRPr="00E92120" w:rsidTr="00DB2B5E">
        <w:trPr>
          <w:trHeight w:val="300"/>
          <w:jc w:val="center"/>
        </w:trPr>
        <w:tc>
          <w:tcPr>
            <w:tcW w:w="2310" w:type="dxa"/>
            <w:shd w:val="clear" w:color="auto" w:fill="FBD4B4" w:themeFill="accent6" w:themeFillTint="66"/>
            <w:noWrap/>
            <w:vAlign w:val="center"/>
          </w:tcPr>
          <w:p w:rsidR="007551D0" w:rsidRPr="00E92120" w:rsidRDefault="007551D0" w:rsidP="00A54188">
            <w:pPr>
              <w:spacing w:after="0" w:line="240" w:lineRule="auto"/>
              <w:jc w:val="center"/>
              <w:rPr>
                <w:rFonts w:ascii="Arial" w:hAnsi="Arial" w:cs="Arial"/>
                <w:sz w:val="24"/>
                <w:szCs w:val="24"/>
              </w:rPr>
            </w:pPr>
            <w:r w:rsidRPr="00E92120">
              <w:rPr>
                <w:rFonts w:ascii="Arial" w:hAnsi="Arial" w:cs="Arial"/>
                <w:sz w:val="24"/>
                <w:szCs w:val="24"/>
              </w:rPr>
              <w:t xml:space="preserve">Județul </w:t>
            </w:r>
            <w:r w:rsidR="00217620">
              <w:rPr>
                <w:rFonts w:ascii="Arial" w:hAnsi="Arial" w:cs="Arial"/>
                <w:sz w:val="24"/>
                <w:szCs w:val="24"/>
              </w:rPr>
              <w:t>BRĂILA</w:t>
            </w:r>
          </w:p>
        </w:tc>
        <w:tc>
          <w:tcPr>
            <w:tcW w:w="1418" w:type="dxa"/>
            <w:shd w:val="clear" w:color="auto" w:fill="FBD4B4" w:themeFill="accent6" w:themeFillTint="66"/>
            <w:vAlign w:val="center"/>
          </w:tcPr>
          <w:p w:rsidR="007551D0" w:rsidRPr="00EE670B" w:rsidRDefault="007551D0" w:rsidP="00A54188">
            <w:pPr>
              <w:spacing w:after="0" w:line="240" w:lineRule="auto"/>
              <w:jc w:val="center"/>
              <w:rPr>
                <w:rFonts w:ascii="Arial" w:hAnsi="Arial" w:cs="Arial"/>
                <w:b/>
                <w:bCs/>
                <w:sz w:val="24"/>
                <w:szCs w:val="24"/>
              </w:rPr>
            </w:pPr>
            <w:r w:rsidRPr="00EE670B">
              <w:rPr>
                <w:rFonts w:ascii="Arial" w:hAnsi="Arial" w:cs="Arial"/>
                <w:b/>
              </w:rPr>
              <w:t xml:space="preserve"> (mii m</w:t>
            </w:r>
            <w:r w:rsidRPr="00EE670B">
              <w:rPr>
                <w:rFonts w:ascii="Arial" w:hAnsi="Arial" w:cs="Arial"/>
                <w:b/>
                <w:vertAlign w:val="superscript"/>
              </w:rPr>
              <w:t>3</w:t>
            </w:r>
            <w:r w:rsidRPr="00EE670B">
              <w:rPr>
                <w:rFonts w:ascii="Arial" w:hAnsi="Arial" w:cs="Arial"/>
                <w:b/>
              </w:rPr>
              <w:t>)</w:t>
            </w:r>
          </w:p>
        </w:tc>
      </w:tr>
      <w:tr w:rsidR="007551D0" w:rsidRPr="00E92120" w:rsidTr="00DB2B5E">
        <w:trPr>
          <w:trHeight w:val="300"/>
          <w:jc w:val="center"/>
        </w:trPr>
        <w:tc>
          <w:tcPr>
            <w:tcW w:w="2310" w:type="dxa"/>
            <w:shd w:val="clear" w:color="auto" w:fill="FDE9D9" w:themeFill="accent6" w:themeFillTint="33"/>
            <w:noWrap/>
            <w:vAlign w:val="center"/>
          </w:tcPr>
          <w:p w:rsidR="007551D0" w:rsidRPr="00E92120" w:rsidRDefault="007551D0" w:rsidP="00A54188">
            <w:pPr>
              <w:spacing w:after="0" w:line="240" w:lineRule="auto"/>
              <w:rPr>
                <w:rFonts w:ascii="Arial" w:hAnsi="Arial" w:cs="Arial"/>
                <w:b/>
                <w:bCs/>
                <w:sz w:val="24"/>
                <w:szCs w:val="24"/>
              </w:rPr>
            </w:pPr>
            <w:r w:rsidRPr="00E92120">
              <w:rPr>
                <w:rFonts w:ascii="Arial" w:hAnsi="Arial" w:cs="Arial"/>
                <w:b/>
                <w:bCs/>
                <w:sz w:val="24"/>
                <w:szCs w:val="24"/>
              </w:rPr>
              <w:t>Total</w:t>
            </w:r>
          </w:p>
        </w:tc>
        <w:tc>
          <w:tcPr>
            <w:tcW w:w="1418" w:type="dxa"/>
            <w:shd w:val="clear" w:color="auto" w:fill="FDE9D9" w:themeFill="accent6" w:themeFillTint="33"/>
            <w:vAlign w:val="center"/>
          </w:tcPr>
          <w:p w:rsidR="007551D0" w:rsidRPr="00B50CD5" w:rsidRDefault="007551D0" w:rsidP="00A54188">
            <w:pPr>
              <w:pStyle w:val="Default"/>
              <w:jc w:val="center"/>
              <w:rPr>
                <w:rFonts w:ascii="Arial" w:hAnsi="Arial" w:cs="Arial"/>
                <w:b/>
              </w:rPr>
            </w:pPr>
            <w:r w:rsidRPr="00B50CD5">
              <w:rPr>
                <w:rFonts w:ascii="Arial" w:hAnsi="Arial" w:cs="Arial"/>
                <w:b/>
              </w:rPr>
              <w:t>55.616.580</w:t>
            </w:r>
          </w:p>
        </w:tc>
      </w:tr>
      <w:tr w:rsidR="007551D0" w:rsidRPr="00E92120" w:rsidTr="00DB2B5E">
        <w:trPr>
          <w:trHeight w:val="300"/>
          <w:jc w:val="center"/>
        </w:trPr>
        <w:tc>
          <w:tcPr>
            <w:tcW w:w="2310" w:type="dxa"/>
            <w:shd w:val="clear" w:color="auto" w:fill="FDE9D9" w:themeFill="accent6" w:themeFillTint="33"/>
            <w:noWrap/>
            <w:vAlign w:val="center"/>
          </w:tcPr>
          <w:p w:rsidR="007551D0" w:rsidRPr="00E92120" w:rsidRDefault="007551D0" w:rsidP="00A54188">
            <w:pPr>
              <w:spacing w:after="0" w:line="240" w:lineRule="auto"/>
              <w:rPr>
                <w:rFonts w:ascii="Arial" w:hAnsi="Arial" w:cs="Arial"/>
                <w:b/>
                <w:bCs/>
                <w:sz w:val="24"/>
                <w:szCs w:val="24"/>
              </w:rPr>
            </w:pPr>
            <w:r w:rsidRPr="00E92120">
              <w:rPr>
                <w:rFonts w:ascii="Arial" w:hAnsi="Arial" w:cs="Arial"/>
                <w:b/>
                <w:bCs/>
                <w:sz w:val="24"/>
                <w:szCs w:val="24"/>
              </w:rPr>
              <w:t>Râuri interioare</w:t>
            </w:r>
          </w:p>
        </w:tc>
        <w:tc>
          <w:tcPr>
            <w:tcW w:w="1418" w:type="dxa"/>
            <w:shd w:val="clear" w:color="auto" w:fill="FDE9D9" w:themeFill="accent6" w:themeFillTint="33"/>
            <w:vAlign w:val="center"/>
          </w:tcPr>
          <w:p w:rsidR="007551D0" w:rsidRPr="00E92120" w:rsidRDefault="007551D0" w:rsidP="00A54188">
            <w:pPr>
              <w:pStyle w:val="Default"/>
              <w:jc w:val="center"/>
              <w:rPr>
                <w:rFonts w:ascii="Arial" w:hAnsi="Arial" w:cs="Arial"/>
                <w:color w:val="auto"/>
              </w:rPr>
            </w:pPr>
            <w:r w:rsidRPr="00E92120">
              <w:rPr>
                <w:rFonts w:ascii="Arial" w:hAnsi="Arial" w:cs="Arial"/>
                <w:color w:val="auto"/>
              </w:rPr>
              <w:t>99030</w:t>
            </w:r>
          </w:p>
        </w:tc>
      </w:tr>
      <w:tr w:rsidR="007551D0" w:rsidRPr="00E92120" w:rsidTr="00DB2B5E">
        <w:trPr>
          <w:trHeight w:val="300"/>
          <w:jc w:val="center"/>
        </w:trPr>
        <w:tc>
          <w:tcPr>
            <w:tcW w:w="2310" w:type="dxa"/>
            <w:shd w:val="clear" w:color="auto" w:fill="FDE9D9" w:themeFill="accent6" w:themeFillTint="33"/>
            <w:noWrap/>
            <w:vAlign w:val="center"/>
          </w:tcPr>
          <w:p w:rsidR="007551D0" w:rsidRPr="00E92120" w:rsidRDefault="007551D0" w:rsidP="00A54188">
            <w:pPr>
              <w:spacing w:after="0" w:line="240" w:lineRule="auto"/>
              <w:rPr>
                <w:rFonts w:ascii="Arial" w:hAnsi="Arial" w:cs="Arial"/>
                <w:b/>
                <w:bCs/>
                <w:sz w:val="24"/>
                <w:szCs w:val="24"/>
              </w:rPr>
            </w:pPr>
            <w:r w:rsidRPr="00E92120">
              <w:rPr>
                <w:rFonts w:ascii="Arial" w:hAnsi="Arial" w:cs="Arial"/>
                <w:b/>
                <w:bCs/>
                <w:sz w:val="24"/>
                <w:szCs w:val="24"/>
              </w:rPr>
              <w:t>Fluviu Dunărea</w:t>
            </w:r>
          </w:p>
        </w:tc>
        <w:tc>
          <w:tcPr>
            <w:tcW w:w="1418" w:type="dxa"/>
            <w:shd w:val="clear" w:color="auto" w:fill="FDE9D9" w:themeFill="accent6" w:themeFillTint="33"/>
            <w:vAlign w:val="center"/>
          </w:tcPr>
          <w:p w:rsidR="007551D0" w:rsidRPr="00E92120" w:rsidRDefault="007551D0" w:rsidP="00A54188">
            <w:pPr>
              <w:pStyle w:val="Default"/>
              <w:jc w:val="center"/>
              <w:rPr>
                <w:rFonts w:ascii="Arial" w:hAnsi="Arial" w:cs="Arial"/>
                <w:color w:val="auto"/>
              </w:rPr>
            </w:pPr>
            <w:r w:rsidRPr="00E92120">
              <w:rPr>
                <w:rFonts w:ascii="Arial" w:hAnsi="Arial" w:cs="Arial"/>
                <w:color w:val="auto"/>
              </w:rPr>
              <w:t>55.188.000</w:t>
            </w:r>
          </w:p>
        </w:tc>
      </w:tr>
      <w:tr w:rsidR="007551D0" w:rsidRPr="00E92120" w:rsidTr="00DB2B5E">
        <w:trPr>
          <w:trHeight w:val="300"/>
          <w:jc w:val="center"/>
        </w:trPr>
        <w:tc>
          <w:tcPr>
            <w:tcW w:w="2310" w:type="dxa"/>
            <w:shd w:val="clear" w:color="auto" w:fill="FDE9D9" w:themeFill="accent6" w:themeFillTint="33"/>
            <w:noWrap/>
            <w:vAlign w:val="center"/>
          </w:tcPr>
          <w:p w:rsidR="007551D0" w:rsidRPr="00E92120" w:rsidRDefault="007551D0" w:rsidP="00A54188">
            <w:pPr>
              <w:spacing w:after="0" w:line="240" w:lineRule="auto"/>
              <w:rPr>
                <w:rFonts w:ascii="Arial" w:hAnsi="Arial" w:cs="Arial"/>
                <w:b/>
                <w:bCs/>
                <w:sz w:val="24"/>
                <w:szCs w:val="24"/>
              </w:rPr>
            </w:pPr>
            <w:r w:rsidRPr="00E92120">
              <w:rPr>
                <w:rFonts w:ascii="Arial" w:hAnsi="Arial" w:cs="Arial"/>
                <w:b/>
                <w:bCs/>
                <w:sz w:val="24"/>
                <w:szCs w:val="24"/>
              </w:rPr>
              <w:t>Ape subterane</w:t>
            </w:r>
          </w:p>
        </w:tc>
        <w:tc>
          <w:tcPr>
            <w:tcW w:w="1418" w:type="dxa"/>
            <w:shd w:val="clear" w:color="auto" w:fill="FDE9D9" w:themeFill="accent6" w:themeFillTint="33"/>
            <w:vAlign w:val="center"/>
          </w:tcPr>
          <w:p w:rsidR="007551D0" w:rsidRPr="00E92120" w:rsidRDefault="007551D0" w:rsidP="00A54188">
            <w:pPr>
              <w:pStyle w:val="Default"/>
              <w:jc w:val="center"/>
              <w:rPr>
                <w:rFonts w:ascii="Arial" w:hAnsi="Arial" w:cs="Arial"/>
              </w:rPr>
            </w:pPr>
            <w:r w:rsidRPr="00E92120">
              <w:rPr>
                <w:rFonts w:ascii="Arial" w:hAnsi="Arial" w:cs="Arial"/>
              </w:rPr>
              <w:t>329.550</w:t>
            </w:r>
          </w:p>
        </w:tc>
      </w:tr>
    </w:tbl>
    <w:p w:rsidR="007551D0" w:rsidRDefault="007551D0" w:rsidP="007551D0">
      <w:pPr>
        <w:pStyle w:val="Default"/>
        <w:rPr>
          <w:rFonts w:ascii="Arial" w:hAnsi="Arial" w:cs="Arial"/>
          <w:bCs/>
          <w:color w:val="auto"/>
          <w:sz w:val="22"/>
          <w:szCs w:val="22"/>
          <w:lang w:val="ro-RO"/>
        </w:rPr>
      </w:pPr>
      <w:r>
        <w:rPr>
          <w:rFonts w:ascii="Arial" w:hAnsi="Arial" w:cs="Arial"/>
          <w:b/>
          <w:bCs/>
          <w:color w:val="auto"/>
        </w:rPr>
        <w:t xml:space="preserve">                 </w:t>
      </w:r>
      <w:r w:rsidR="00E114E7">
        <w:rPr>
          <w:rFonts w:ascii="Arial" w:hAnsi="Arial" w:cs="Arial"/>
          <w:b/>
          <w:bCs/>
          <w:color w:val="auto"/>
        </w:rPr>
        <w:t xml:space="preserve">                          </w:t>
      </w:r>
      <w:r>
        <w:rPr>
          <w:rFonts w:ascii="Arial" w:hAnsi="Arial" w:cs="Arial"/>
          <w:b/>
          <w:bCs/>
          <w:color w:val="auto"/>
        </w:rPr>
        <w:t xml:space="preserve"> </w:t>
      </w:r>
      <w:r w:rsidRPr="006F16C7">
        <w:rPr>
          <w:rFonts w:ascii="Arial" w:hAnsi="Arial" w:cs="Arial"/>
          <w:bCs/>
          <w:color w:val="auto"/>
          <w:sz w:val="22"/>
          <w:szCs w:val="22"/>
        </w:rPr>
        <w:t>Sursa : ABA Buzău – Ialomiț</w:t>
      </w:r>
      <w:r w:rsidRPr="006F16C7">
        <w:rPr>
          <w:rFonts w:ascii="Arial" w:hAnsi="Arial" w:cs="Arial"/>
          <w:bCs/>
          <w:color w:val="auto"/>
          <w:sz w:val="22"/>
          <w:szCs w:val="22"/>
          <w:lang w:val="ro-RO"/>
        </w:rPr>
        <w:t>a – anul 2014</w:t>
      </w:r>
    </w:p>
    <w:p w:rsidR="007551D0" w:rsidRPr="00E92120" w:rsidRDefault="007551D0" w:rsidP="007551D0">
      <w:pPr>
        <w:pStyle w:val="Default"/>
        <w:rPr>
          <w:rFonts w:ascii="Arial" w:hAnsi="Arial" w:cs="Arial"/>
          <w:b/>
          <w:bCs/>
          <w:color w:val="auto"/>
        </w:rPr>
      </w:pPr>
    </w:p>
    <w:p w:rsidR="007551D0" w:rsidRPr="00E92120" w:rsidRDefault="007551D0" w:rsidP="007551D0">
      <w:pPr>
        <w:pStyle w:val="Default"/>
        <w:rPr>
          <w:rFonts w:ascii="Arial" w:hAnsi="Arial" w:cs="Arial"/>
          <w:b/>
          <w:bCs/>
          <w:color w:val="auto"/>
        </w:rPr>
      </w:pPr>
      <w:r w:rsidRPr="00E92120">
        <w:rPr>
          <w:rFonts w:ascii="Arial" w:hAnsi="Arial" w:cs="Arial"/>
          <w:b/>
          <w:bCs/>
          <w:color w:val="auto"/>
        </w:rPr>
        <w:t xml:space="preserve">      II.1.1.2. Utilizarea resurselor de apă </w:t>
      </w:r>
    </w:p>
    <w:p w:rsidR="007551D0" w:rsidRPr="00E92120" w:rsidRDefault="007551D0" w:rsidP="007551D0">
      <w:pPr>
        <w:pStyle w:val="Default"/>
        <w:jc w:val="both"/>
        <w:rPr>
          <w:rFonts w:ascii="Arial" w:hAnsi="Arial" w:cs="Arial"/>
          <w:color w:val="auto"/>
        </w:rPr>
      </w:pPr>
      <w:r w:rsidRPr="00E92120">
        <w:rPr>
          <w:rFonts w:ascii="Arial" w:hAnsi="Arial" w:cs="Arial"/>
          <w:color w:val="auto"/>
        </w:rPr>
        <w:lastRenderedPageBreak/>
        <w:t>Indicele de exploatare a apei (WEI) reprezintă captarea totală medie anuală de apă dulce raportată la resursele totale anuale de apă regenerabilă la nivel județului, se exprimă în procente și se calculează cu următoarea formulă:</w:t>
      </w:r>
    </w:p>
    <w:p w:rsidR="007551D0" w:rsidRPr="00E92120" w:rsidRDefault="007551D0" w:rsidP="007551D0">
      <w:pPr>
        <w:pStyle w:val="Default"/>
        <w:rPr>
          <w:rFonts w:ascii="Arial" w:hAnsi="Arial" w:cs="Arial"/>
          <w:color w:val="auto"/>
        </w:rPr>
      </w:pPr>
    </w:p>
    <w:p w:rsidR="007551D0" w:rsidRPr="00760BCC" w:rsidRDefault="007551D0" w:rsidP="007551D0">
      <w:pPr>
        <w:pStyle w:val="Default"/>
        <w:rPr>
          <w:rFonts w:ascii="Arial" w:hAnsi="Arial" w:cs="Arial"/>
          <w:color w:val="0070C0"/>
          <w:u w:val="single"/>
        </w:rPr>
      </w:pPr>
      <w:r w:rsidRPr="00760BCC">
        <w:rPr>
          <w:rFonts w:ascii="Arial" w:hAnsi="Arial" w:cs="Arial"/>
          <w:color w:val="0070C0"/>
        </w:rPr>
        <w:t xml:space="preserve">WEI = </w:t>
      </w:r>
      <w:r w:rsidRPr="00760BCC">
        <w:rPr>
          <w:rFonts w:ascii="Arial" w:hAnsi="Arial" w:cs="Arial"/>
          <w:color w:val="0070C0"/>
          <w:u w:val="single"/>
        </w:rPr>
        <w:t>C</w:t>
      </w:r>
      <w:r w:rsidRPr="00760BCC">
        <w:rPr>
          <w:rFonts w:ascii="Arial" w:hAnsi="Arial" w:cs="Arial"/>
          <w:color w:val="0070C0"/>
          <w:u w:val="single"/>
          <w:vertAlign w:val="subscript"/>
        </w:rPr>
        <w:t>T</w:t>
      </w:r>
      <w:r w:rsidRPr="00760BCC">
        <w:rPr>
          <w:rFonts w:ascii="Arial" w:hAnsi="Arial" w:cs="Arial"/>
          <w:color w:val="0070C0"/>
          <w:u w:val="single"/>
        </w:rPr>
        <w:t xml:space="preserve"> (captarea totală medie anuală de apă dulce, exprimată în mii m</w:t>
      </w:r>
      <w:r w:rsidRPr="00760BCC">
        <w:rPr>
          <w:rFonts w:ascii="Arial" w:hAnsi="Arial" w:cs="Arial"/>
          <w:color w:val="0070C0"/>
          <w:u w:val="single"/>
          <w:vertAlign w:val="superscript"/>
        </w:rPr>
        <w:t>3</w:t>
      </w:r>
      <w:r w:rsidRPr="00760BCC">
        <w:rPr>
          <w:rFonts w:ascii="Arial" w:hAnsi="Arial" w:cs="Arial"/>
          <w:color w:val="0070C0"/>
          <w:u w:val="single"/>
        </w:rPr>
        <w:t>/an )</w:t>
      </w:r>
    </w:p>
    <w:p w:rsidR="007551D0" w:rsidRPr="00760BCC" w:rsidRDefault="007551D0" w:rsidP="007551D0">
      <w:pPr>
        <w:pStyle w:val="Default"/>
        <w:ind w:left="708" w:firstLine="12"/>
        <w:rPr>
          <w:rFonts w:ascii="Arial" w:hAnsi="Arial" w:cs="Arial"/>
          <w:color w:val="0070C0"/>
        </w:rPr>
      </w:pPr>
      <w:r w:rsidRPr="00760BCC">
        <w:rPr>
          <w:rFonts w:ascii="Arial" w:hAnsi="Arial" w:cs="Arial"/>
          <w:color w:val="0070C0"/>
        </w:rPr>
        <w:t>R</w:t>
      </w:r>
      <w:r w:rsidRPr="00760BCC">
        <w:rPr>
          <w:rFonts w:ascii="Arial" w:hAnsi="Arial" w:cs="Arial"/>
          <w:color w:val="0070C0"/>
          <w:vertAlign w:val="subscript"/>
        </w:rPr>
        <w:t xml:space="preserve">T </w:t>
      </w:r>
      <w:r w:rsidRPr="00760BCC">
        <w:rPr>
          <w:rFonts w:ascii="Arial" w:hAnsi="Arial" w:cs="Arial"/>
          <w:color w:val="0070C0"/>
        </w:rPr>
        <w:t>( resursele totale medii anuale de apă regenerabilă la nivel național, exprimate în  mii m</w:t>
      </w:r>
      <w:r w:rsidRPr="00760BCC">
        <w:rPr>
          <w:rFonts w:ascii="Arial" w:hAnsi="Arial" w:cs="Arial"/>
          <w:color w:val="0070C0"/>
          <w:vertAlign w:val="superscript"/>
        </w:rPr>
        <w:t>3</w:t>
      </w:r>
      <w:r w:rsidRPr="00760BCC">
        <w:rPr>
          <w:rFonts w:ascii="Arial" w:hAnsi="Arial" w:cs="Arial"/>
          <w:color w:val="0070C0"/>
        </w:rPr>
        <w:t>/an)</w:t>
      </w:r>
    </w:p>
    <w:p w:rsidR="007551D0" w:rsidRPr="00E92120" w:rsidRDefault="007551D0" w:rsidP="007551D0">
      <w:pPr>
        <w:pStyle w:val="Default"/>
        <w:rPr>
          <w:rFonts w:ascii="Arial" w:hAnsi="Arial" w:cs="Arial"/>
          <w:b/>
          <w:color w:val="auto"/>
        </w:rPr>
      </w:pPr>
    </w:p>
    <w:p w:rsidR="007551D0" w:rsidRPr="00E92120" w:rsidRDefault="007551D0" w:rsidP="007551D0">
      <w:pPr>
        <w:pStyle w:val="Default"/>
        <w:rPr>
          <w:rFonts w:ascii="Arial" w:hAnsi="Arial" w:cs="Arial"/>
          <w:color w:val="auto"/>
          <w:u w:val="single"/>
        </w:rPr>
      </w:pPr>
      <w:r w:rsidRPr="00672B27">
        <w:rPr>
          <w:rFonts w:ascii="Arial" w:hAnsi="Arial" w:cs="Arial"/>
          <w:color w:val="auto"/>
        </w:rPr>
        <w:t>Tabelul nr.</w:t>
      </w:r>
      <w:r w:rsidRPr="00672B27">
        <w:rPr>
          <w:rFonts w:ascii="Arial" w:hAnsi="Arial" w:cs="Arial"/>
          <w:bCs/>
          <w:color w:val="auto"/>
        </w:rPr>
        <w:t xml:space="preserve"> II.1.1.2</w:t>
      </w:r>
      <w:r w:rsidRPr="00672B27">
        <w:rPr>
          <w:rFonts w:ascii="Arial" w:hAnsi="Arial" w:cs="Arial"/>
          <w:bCs/>
          <w:i/>
          <w:iCs/>
          <w:color w:val="auto"/>
        </w:rPr>
        <w:t xml:space="preserve"> </w:t>
      </w:r>
      <w:r w:rsidRPr="00672B27">
        <w:rPr>
          <w:rFonts w:ascii="Arial" w:hAnsi="Arial" w:cs="Arial"/>
          <w:bCs/>
          <w:iCs/>
          <w:color w:val="auto"/>
        </w:rPr>
        <w:t>– 1</w:t>
      </w:r>
      <w:r w:rsidRPr="00E92120">
        <w:rPr>
          <w:rFonts w:ascii="Arial" w:hAnsi="Arial" w:cs="Arial"/>
          <w:b/>
          <w:bCs/>
          <w:iCs/>
          <w:color w:val="auto"/>
        </w:rPr>
        <w:t xml:space="preserve"> </w:t>
      </w:r>
      <w:r w:rsidRPr="00E92120">
        <w:rPr>
          <w:rFonts w:ascii="Arial" w:hAnsi="Arial" w:cs="Arial"/>
          <w:bCs/>
          <w:iCs/>
          <w:color w:val="auto"/>
        </w:rPr>
        <w:t xml:space="preserve">Evoluția prelevărilor (captărilor)/resurselor la nivelul județului </w:t>
      </w:r>
      <w:r w:rsidR="00217620">
        <w:rPr>
          <w:rFonts w:ascii="Arial" w:hAnsi="Arial" w:cs="Arial"/>
          <w:bCs/>
          <w:iCs/>
          <w:color w:val="auto"/>
        </w:rPr>
        <w:t>Brăila</w:t>
      </w:r>
      <w:r w:rsidRPr="00E92120">
        <w:rPr>
          <w:rFonts w:ascii="Arial" w:hAnsi="Arial" w:cs="Arial"/>
          <w:bCs/>
          <w:iCs/>
          <w:color w:val="auto"/>
        </w:rPr>
        <w:t xml:space="preserve"> în perioada 201</w:t>
      </w:r>
      <w:r>
        <w:rPr>
          <w:rFonts w:ascii="Arial" w:hAnsi="Arial" w:cs="Arial"/>
          <w:bCs/>
          <w:iCs/>
          <w:color w:val="auto"/>
        </w:rPr>
        <w:t>1</w:t>
      </w:r>
      <w:r w:rsidRPr="00E92120">
        <w:rPr>
          <w:rFonts w:ascii="Arial" w:hAnsi="Arial" w:cs="Arial"/>
          <w:bCs/>
          <w:iCs/>
          <w:color w:val="auto"/>
        </w:rPr>
        <w:t xml:space="preserve"> - 201</w:t>
      </w:r>
      <w:r>
        <w:rPr>
          <w:rFonts w:ascii="Arial" w:hAnsi="Arial" w:cs="Arial"/>
          <w:bCs/>
          <w:iCs/>
          <w:color w:val="auto"/>
        </w:rPr>
        <w:t>5</w:t>
      </w:r>
      <w:r w:rsidRPr="00E92120">
        <w:rPr>
          <w:rFonts w:ascii="Arial" w:hAnsi="Arial" w:cs="Arial"/>
          <w:bCs/>
          <w:iCs/>
          <w:color w:val="auto"/>
        </w:rPr>
        <w:t xml:space="preserve"> - </w:t>
      </w:r>
      <w:r w:rsidRPr="00E92120">
        <w:rPr>
          <w:rFonts w:ascii="Arial" w:hAnsi="Arial" w:cs="Arial"/>
          <w:color w:val="auto"/>
        </w:rPr>
        <w:t>Indicele de exploatare a apei (WEI)</w:t>
      </w:r>
      <w:r w:rsidRPr="00E92120">
        <w:rPr>
          <w:rFonts w:ascii="Arial" w:hAnsi="Arial" w:cs="Arial"/>
          <w:color w:val="auto"/>
          <w:u w:val="single"/>
        </w:rPr>
        <w:t xml:space="preserve">   </w:t>
      </w:r>
    </w:p>
    <w:p w:rsidR="007551D0" w:rsidRPr="00E92120" w:rsidRDefault="007551D0" w:rsidP="007551D0">
      <w:pPr>
        <w:pStyle w:val="Default"/>
        <w:rPr>
          <w:rFonts w:ascii="Arial" w:hAnsi="Arial" w:cs="Arial"/>
          <w:color w:val="auto"/>
          <w:u w:val="single"/>
        </w:rPr>
      </w:pPr>
      <w:r w:rsidRPr="00E92120">
        <w:rPr>
          <w:rFonts w:ascii="Arial" w:hAnsi="Arial" w:cs="Arial"/>
          <w:color w:val="auto"/>
          <w:u w:val="single"/>
        </w:rPr>
        <w:t xml:space="preserve">        </w:t>
      </w:r>
    </w:p>
    <w:tbl>
      <w:tblPr>
        <w:tblW w:w="8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74"/>
        <w:gridCol w:w="1418"/>
        <w:gridCol w:w="1458"/>
        <w:gridCol w:w="1472"/>
        <w:gridCol w:w="1418"/>
        <w:gridCol w:w="1418"/>
      </w:tblGrid>
      <w:tr w:rsidR="007551D0" w:rsidRPr="00C67CDB" w:rsidTr="00A54188">
        <w:trPr>
          <w:jc w:val="center"/>
        </w:trPr>
        <w:tc>
          <w:tcPr>
            <w:tcW w:w="1544" w:type="dxa"/>
            <w:shd w:val="clear" w:color="auto" w:fill="FBD4B4" w:themeFill="accent6" w:themeFillTint="66"/>
            <w:vAlign w:val="center"/>
          </w:tcPr>
          <w:p w:rsidR="007551D0" w:rsidRPr="00C67CDB" w:rsidRDefault="007551D0" w:rsidP="00A54188">
            <w:pPr>
              <w:pStyle w:val="Default"/>
              <w:jc w:val="center"/>
              <w:rPr>
                <w:rFonts w:ascii="Arial" w:hAnsi="Arial" w:cs="Arial"/>
                <w:b/>
                <w:color w:val="auto"/>
              </w:rPr>
            </w:pPr>
            <w:r w:rsidRPr="00C67CDB">
              <w:rPr>
                <w:rFonts w:ascii="Arial" w:hAnsi="Arial" w:cs="Arial"/>
                <w:b/>
                <w:color w:val="auto"/>
              </w:rPr>
              <w:t xml:space="preserve">Județul </w:t>
            </w:r>
            <w:r w:rsidR="00217620">
              <w:rPr>
                <w:rFonts w:ascii="Arial" w:hAnsi="Arial" w:cs="Arial"/>
                <w:b/>
                <w:color w:val="auto"/>
              </w:rPr>
              <w:t>Brăila</w:t>
            </w:r>
          </w:p>
        </w:tc>
        <w:tc>
          <w:tcPr>
            <w:tcW w:w="1318" w:type="dxa"/>
            <w:shd w:val="clear" w:color="auto" w:fill="FBD4B4" w:themeFill="accent6" w:themeFillTint="66"/>
            <w:vAlign w:val="center"/>
          </w:tcPr>
          <w:p w:rsidR="007551D0" w:rsidRPr="00C67CDB" w:rsidRDefault="007551D0" w:rsidP="00A54188">
            <w:pPr>
              <w:pStyle w:val="Default"/>
              <w:jc w:val="center"/>
              <w:rPr>
                <w:rFonts w:ascii="Arial" w:hAnsi="Arial" w:cs="Arial"/>
                <w:b/>
                <w:color w:val="auto"/>
              </w:rPr>
            </w:pPr>
            <w:r w:rsidRPr="00C67CDB">
              <w:rPr>
                <w:rFonts w:ascii="Arial" w:hAnsi="Arial" w:cs="Arial"/>
                <w:b/>
                <w:color w:val="auto"/>
              </w:rPr>
              <w:t>2011</w:t>
            </w:r>
          </w:p>
        </w:tc>
        <w:tc>
          <w:tcPr>
            <w:tcW w:w="1481" w:type="dxa"/>
            <w:shd w:val="clear" w:color="auto" w:fill="FBD4B4" w:themeFill="accent6" w:themeFillTint="66"/>
            <w:vAlign w:val="center"/>
          </w:tcPr>
          <w:p w:rsidR="007551D0" w:rsidRPr="00C67CDB" w:rsidRDefault="007551D0" w:rsidP="00A54188">
            <w:pPr>
              <w:pStyle w:val="Default"/>
              <w:jc w:val="center"/>
              <w:rPr>
                <w:rFonts w:ascii="Arial" w:hAnsi="Arial" w:cs="Arial"/>
                <w:b/>
                <w:color w:val="auto"/>
              </w:rPr>
            </w:pPr>
            <w:r w:rsidRPr="00C67CDB">
              <w:rPr>
                <w:rFonts w:ascii="Arial" w:hAnsi="Arial" w:cs="Arial"/>
                <w:b/>
                <w:color w:val="auto"/>
              </w:rPr>
              <w:t>2012</w:t>
            </w:r>
          </w:p>
        </w:tc>
        <w:tc>
          <w:tcPr>
            <w:tcW w:w="1503" w:type="dxa"/>
            <w:shd w:val="clear" w:color="auto" w:fill="FBD4B4" w:themeFill="accent6" w:themeFillTint="66"/>
            <w:vAlign w:val="center"/>
          </w:tcPr>
          <w:p w:rsidR="007551D0" w:rsidRPr="00C67CDB" w:rsidRDefault="007551D0" w:rsidP="00A54188">
            <w:pPr>
              <w:pStyle w:val="Default"/>
              <w:jc w:val="center"/>
              <w:rPr>
                <w:rFonts w:ascii="Arial" w:hAnsi="Arial" w:cs="Arial"/>
                <w:b/>
                <w:color w:val="auto"/>
              </w:rPr>
            </w:pPr>
            <w:r w:rsidRPr="00C67CDB">
              <w:rPr>
                <w:rFonts w:ascii="Arial" w:hAnsi="Arial" w:cs="Arial"/>
                <w:b/>
                <w:color w:val="auto"/>
              </w:rPr>
              <w:t>2013</w:t>
            </w:r>
          </w:p>
        </w:tc>
        <w:tc>
          <w:tcPr>
            <w:tcW w:w="1394" w:type="dxa"/>
            <w:shd w:val="clear" w:color="auto" w:fill="FBD4B4" w:themeFill="accent6" w:themeFillTint="66"/>
            <w:vAlign w:val="center"/>
          </w:tcPr>
          <w:p w:rsidR="007551D0" w:rsidRPr="00C67CDB" w:rsidRDefault="007551D0" w:rsidP="00A54188">
            <w:pPr>
              <w:pStyle w:val="Default"/>
              <w:jc w:val="center"/>
              <w:rPr>
                <w:rFonts w:ascii="Arial" w:hAnsi="Arial" w:cs="Arial"/>
                <w:b/>
                <w:color w:val="auto"/>
              </w:rPr>
            </w:pPr>
            <w:r w:rsidRPr="00C67CDB">
              <w:rPr>
                <w:rFonts w:ascii="Arial" w:hAnsi="Arial" w:cs="Arial"/>
                <w:b/>
                <w:color w:val="auto"/>
              </w:rPr>
              <w:t>2014</w:t>
            </w:r>
          </w:p>
        </w:tc>
        <w:tc>
          <w:tcPr>
            <w:tcW w:w="1318" w:type="dxa"/>
            <w:shd w:val="clear" w:color="auto" w:fill="FBD4B4" w:themeFill="accent6" w:themeFillTint="66"/>
            <w:vAlign w:val="center"/>
          </w:tcPr>
          <w:p w:rsidR="007551D0" w:rsidRPr="00C67CDB" w:rsidRDefault="007551D0" w:rsidP="00A54188">
            <w:pPr>
              <w:pStyle w:val="Default"/>
              <w:jc w:val="center"/>
              <w:rPr>
                <w:rFonts w:ascii="Arial" w:hAnsi="Arial" w:cs="Arial"/>
                <w:b/>
                <w:color w:val="auto"/>
              </w:rPr>
            </w:pPr>
            <w:r w:rsidRPr="00C67CDB">
              <w:rPr>
                <w:rFonts w:ascii="Arial" w:hAnsi="Arial" w:cs="Arial"/>
                <w:b/>
                <w:color w:val="auto"/>
              </w:rPr>
              <w:t>2015</w:t>
            </w:r>
          </w:p>
        </w:tc>
      </w:tr>
      <w:tr w:rsidR="007551D0" w:rsidRPr="00C67CDB" w:rsidTr="00A54188">
        <w:trPr>
          <w:jc w:val="center"/>
        </w:trPr>
        <w:tc>
          <w:tcPr>
            <w:tcW w:w="1544" w:type="dxa"/>
            <w:shd w:val="clear" w:color="auto" w:fill="FDE9D9" w:themeFill="accent6" w:themeFillTint="33"/>
            <w:vAlign w:val="center"/>
          </w:tcPr>
          <w:p w:rsidR="007551D0" w:rsidRPr="00C67CDB" w:rsidRDefault="007551D0" w:rsidP="00A54188">
            <w:pPr>
              <w:pStyle w:val="Default"/>
              <w:jc w:val="center"/>
              <w:rPr>
                <w:rFonts w:ascii="Arial" w:hAnsi="Arial" w:cs="Arial"/>
                <w:color w:val="auto"/>
              </w:rPr>
            </w:pPr>
            <w:r w:rsidRPr="00C67CDB">
              <w:rPr>
                <w:rFonts w:ascii="Arial" w:hAnsi="Arial" w:cs="Arial"/>
                <w:color w:val="auto"/>
              </w:rPr>
              <w:t>Total prelevat</w:t>
            </w:r>
          </w:p>
          <w:p w:rsidR="007551D0" w:rsidRPr="00C67CDB" w:rsidRDefault="007551D0" w:rsidP="00A54188">
            <w:pPr>
              <w:pStyle w:val="Default"/>
              <w:jc w:val="center"/>
              <w:rPr>
                <w:rFonts w:ascii="Arial" w:hAnsi="Arial" w:cs="Arial"/>
                <w:color w:val="auto"/>
              </w:rPr>
            </w:pPr>
            <w:r w:rsidRPr="00C67CDB">
              <w:rPr>
                <w:rFonts w:ascii="Arial" w:hAnsi="Arial" w:cs="Arial"/>
                <w:color w:val="auto"/>
              </w:rPr>
              <w:t>(</w:t>
            </w:r>
            <w:r w:rsidRPr="00C67CDB">
              <w:t>mii m</w:t>
            </w:r>
            <w:r w:rsidRPr="00C67CDB">
              <w:rPr>
                <w:vertAlign w:val="superscript"/>
              </w:rPr>
              <w:t>3</w:t>
            </w:r>
            <w:r w:rsidRPr="00C67CDB">
              <w:t>/an</w:t>
            </w:r>
            <w:r w:rsidRPr="00C67CDB">
              <w:rPr>
                <w:rFonts w:ascii="Arial" w:hAnsi="Arial" w:cs="Arial"/>
                <w:color w:val="auto"/>
              </w:rPr>
              <w:t>)</w:t>
            </w:r>
          </w:p>
        </w:tc>
        <w:tc>
          <w:tcPr>
            <w:tcW w:w="1318" w:type="dxa"/>
            <w:shd w:val="clear" w:color="auto" w:fill="FDE9D9" w:themeFill="accent6" w:themeFillTint="33"/>
            <w:vAlign w:val="center"/>
          </w:tcPr>
          <w:p w:rsidR="007551D0" w:rsidRPr="00C67CDB" w:rsidRDefault="007551D0" w:rsidP="00A54188">
            <w:pPr>
              <w:spacing w:after="0" w:line="240" w:lineRule="auto"/>
              <w:jc w:val="center"/>
              <w:rPr>
                <w:sz w:val="24"/>
                <w:szCs w:val="24"/>
              </w:rPr>
            </w:pPr>
            <w:r w:rsidRPr="00C67CDB">
              <w:rPr>
                <w:sz w:val="24"/>
                <w:szCs w:val="24"/>
              </w:rPr>
              <w:t>108,614.9</w:t>
            </w:r>
          </w:p>
        </w:tc>
        <w:tc>
          <w:tcPr>
            <w:tcW w:w="1481" w:type="dxa"/>
            <w:shd w:val="clear" w:color="auto" w:fill="FDE9D9" w:themeFill="accent6" w:themeFillTint="33"/>
            <w:vAlign w:val="center"/>
          </w:tcPr>
          <w:p w:rsidR="007551D0" w:rsidRPr="00C67CDB" w:rsidRDefault="007551D0" w:rsidP="00A54188">
            <w:pPr>
              <w:spacing w:after="0" w:line="240" w:lineRule="auto"/>
              <w:jc w:val="center"/>
              <w:rPr>
                <w:sz w:val="24"/>
                <w:szCs w:val="24"/>
              </w:rPr>
            </w:pPr>
            <w:r w:rsidRPr="00C67CDB">
              <w:rPr>
                <w:sz w:val="24"/>
                <w:szCs w:val="24"/>
              </w:rPr>
              <w:t>169,698.8</w:t>
            </w:r>
          </w:p>
        </w:tc>
        <w:tc>
          <w:tcPr>
            <w:tcW w:w="1503" w:type="dxa"/>
            <w:shd w:val="clear" w:color="auto" w:fill="FDE9D9" w:themeFill="accent6" w:themeFillTint="33"/>
            <w:vAlign w:val="center"/>
          </w:tcPr>
          <w:p w:rsidR="007551D0" w:rsidRPr="00C67CDB" w:rsidRDefault="007551D0" w:rsidP="00A54188">
            <w:pPr>
              <w:tabs>
                <w:tab w:val="left" w:pos="907"/>
              </w:tabs>
              <w:spacing w:after="0" w:line="240" w:lineRule="auto"/>
              <w:jc w:val="center"/>
              <w:rPr>
                <w:sz w:val="24"/>
                <w:szCs w:val="24"/>
              </w:rPr>
            </w:pPr>
            <w:r w:rsidRPr="00C67CDB">
              <w:rPr>
                <w:sz w:val="24"/>
                <w:szCs w:val="24"/>
              </w:rPr>
              <w:t>217,846.3</w:t>
            </w:r>
          </w:p>
        </w:tc>
        <w:tc>
          <w:tcPr>
            <w:tcW w:w="1394" w:type="dxa"/>
            <w:shd w:val="clear" w:color="auto" w:fill="FDE9D9" w:themeFill="accent6" w:themeFillTint="33"/>
            <w:vAlign w:val="center"/>
          </w:tcPr>
          <w:p w:rsidR="007551D0" w:rsidRPr="00C67CDB" w:rsidRDefault="007551D0" w:rsidP="00A54188">
            <w:pPr>
              <w:spacing w:after="0" w:line="240" w:lineRule="auto"/>
              <w:jc w:val="center"/>
              <w:rPr>
                <w:sz w:val="24"/>
                <w:szCs w:val="24"/>
              </w:rPr>
            </w:pPr>
            <w:r w:rsidRPr="00C67CDB">
              <w:rPr>
                <w:sz w:val="24"/>
                <w:szCs w:val="24"/>
              </w:rPr>
              <w:t>165,758.8</w:t>
            </w:r>
          </w:p>
        </w:tc>
        <w:tc>
          <w:tcPr>
            <w:tcW w:w="1318" w:type="dxa"/>
            <w:shd w:val="clear" w:color="auto" w:fill="FDE9D9" w:themeFill="accent6" w:themeFillTint="33"/>
            <w:vAlign w:val="center"/>
          </w:tcPr>
          <w:p w:rsidR="007551D0" w:rsidRPr="00C67CDB" w:rsidRDefault="007551D0" w:rsidP="00A54188">
            <w:pPr>
              <w:spacing w:after="0" w:line="240" w:lineRule="auto"/>
              <w:jc w:val="center"/>
              <w:rPr>
                <w:sz w:val="24"/>
                <w:szCs w:val="24"/>
              </w:rPr>
            </w:pPr>
            <w:r w:rsidRPr="00C67CDB">
              <w:rPr>
                <w:sz w:val="24"/>
                <w:szCs w:val="24"/>
              </w:rPr>
              <w:t>143,859.3</w:t>
            </w:r>
          </w:p>
        </w:tc>
      </w:tr>
      <w:tr w:rsidR="007551D0" w:rsidRPr="00C67CDB" w:rsidTr="00A54188">
        <w:trPr>
          <w:jc w:val="center"/>
        </w:trPr>
        <w:tc>
          <w:tcPr>
            <w:tcW w:w="1544" w:type="dxa"/>
            <w:shd w:val="clear" w:color="auto" w:fill="FDE9D9" w:themeFill="accent6" w:themeFillTint="33"/>
            <w:vAlign w:val="center"/>
          </w:tcPr>
          <w:p w:rsidR="007551D0" w:rsidRPr="00C67CDB" w:rsidRDefault="007551D0" w:rsidP="00A54188">
            <w:pPr>
              <w:pStyle w:val="Default"/>
              <w:jc w:val="center"/>
              <w:rPr>
                <w:rFonts w:ascii="Arial" w:hAnsi="Arial" w:cs="Arial"/>
                <w:color w:val="auto"/>
              </w:rPr>
            </w:pPr>
            <w:r w:rsidRPr="00C67CDB">
              <w:rPr>
                <w:rFonts w:ascii="Arial" w:hAnsi="Arial" w:cs="Arial"/>
                <w:color w:val="auto"/>
              </w:rPr>
              <w:t>Total resurse</w:t>
            </w:r>
          </w:p>
          <w:p w:rsidR="007551D0" w:rsidRPr="00C67CDB" w:rsidRDefault="007551D0" w:rsidP="00A54188">
            <w:pPr>
              <w:pStyle w:val="Default"/>
              <w:jc w:val="center"/>
              <w:rPr>
                <w:rFonts w:ascii="Arial" w:hAnsi="Arial" w:cs="Arial"/>
                <w:color w:val="auto"/>
              </w:rPr>
            </w:pPr>
            <w:r w:rsidRPr="00C67CDB">
              <w:rPr>
                <w:rFonts w:ascii="Arial" w:hAnsi="Arial" w:cs="Arial"/>
                <w:color w:val="auto"/>
              </w:rPr>
              <w:t>(</w:t>
            </w:r>
            <w:r w:rsidRPr="00C67CDB">
              <w:t>mii m</w:t>
            </w:r>
            <w:r w:rsidRPr="00C67CDB">
              <w:rPr>
                <w:vertAlign w:val="superscript"/>
              </w:rPr>
              <w:t>3</w:t>
            </w:r>
            <w:r w:rsidRPr="00C67CDB">
              <w:t>/an</w:t>
            </w:r>
            <w:r w:rsidRPr="00C67CDB">
              <w:rPr>
                <w:rFonts w:ascii="Arial" w:hAnsi="Arial" w:cs="Arial"/>
                <w:color w:val="auto"/>
              </w:rPr>
              <w:t>)</w:t>
            </w:r>
          </w:p>
        </w:tc>
        <w:tc>
          <w:tcPr>
            <w:tcW w:w="1318" w:type="dxa"/>
            <w:shd w:val="clear" w:color="auto" w:fill="FDE9D9" w:themeFill="accent6" w:themeFillTint="33"/>
            <w:vAlign w:val="center"/>
          </w:tcPr>
          <w:p w:rsidR="007551D0" w:rsidRPr="00C67CDB" w:rsidRDefault="007551D0" w:rsidP="00A54188">
            <w:pPr>
              <w:spacing w:after="0" w:line="240" w:lineRule="auto"/>
              <w:jc w:val="center"/>
              <w:rPr>
                <w:rFonts w:ascii="Arial" w:hAnsi="Arial" w:cs="Arial"/>
                <w:sz w:val="24"/>
                <w:szCs w:val="24"/>
              </w:rPr>
            </w:pPr>
            <w:r w:rsidRPr="00C67CDB">
              <w:rPr>
                <w:rFonts w:ascii="Arial" w:hAnsi="Arial" w:cs="Arial"/>
                <w:sz w:val="24"/>
                <w:szCs w:val="24"/>
              </w:rPr>
              <w:t>55.616.580</w:t>
            </w:r>
          </w:p>
        </w:tc>
        <w:tc>
          <w:tcPr>
            <w:tcW w:w="1481" w:type="dxa"/>
            <w:shd w:val="clear" w:color="auto" w:fill="FDE9D9" w:themeFill="accent6" w:themeFillTint="33"/>
            <w:vAlign w:val="center"/>
          </w:tcPr>
          <w:p w:rsidR="007551D0" w:rsidRPr="00C67CDB" w:rsidRDefault="007551D0" w:rsidP="00A54188">
            <w:pPr>
              <w:spacing w:after="0" w:line="240" w:lineRule="auto"/>
              <w:jc w:val="center"/>
              <w:rPr>
                <w:rFonts w:ascii="Arial" w:hAnsi="Arial" w:cs="Arial"/>
                <w:sz w:val="24"/>
                <w:szCs w:val="24"/>
              </w:rPr>
            </w:pPr>
            <w:r w:rsidRPr="00C67CDB">
              <w:rPr>
                <w:rFonts w:ascii="Arial" w:hAnsi="Arial" w:cs="Arial"/>
                <w:sz w:val="24"/>
                <w:szCs w:val="24"/>
              </w:rPr>
              <w:t>55.616.580</w:t>
            </w:r>
          </w:p>
        </w:tc>
        <w:tc>
          <w:tcPr>
            <w:tcW w:w="1503" w:type="dxa"/>
            <w:shd w:val="clear" w:color="auto" w:fill="FDE9D9" w:themeFill="accent6" w:themeFillTint="33"/>
            <w:vAlign w:val="center"/>
          </w:tcPr>
          <w:p w:rsidR="007551D0" w:rsidRPr="00C67CDB" w:rsidRDefault="007551D0" w:rsidP="00A54188">
            <w:pPr>
              <w:spacing w:after="0" w:line="240" w:lineRule="auto"/>
              <w:jc w:val="center"/>
              <w:rPr>
                <w:rFonts w:ascii="Arial" w:hAnsi="Arial" w:cs="Arial"/>
                <w:sz w:val="24"/>
                <w:szCs w:val="24"/>
              </w:rPr>
            </w:pPr>
            <w:r w:rsidRPr="00C67CDB">
              <w:rPr>
                <w:rFonts w:ascii="Arial" w:hAnsi="Arial" w:cs="Arial"/>
                <w:sz w:val="24"/>
                <w:szCs w:val="24"/>
              </w:rPr>
              <w:t>55.616.580</w:t>
            </w:r>
          </w:p>
        </w:tc>
        <w:tc>
          <w:tcPr>
            <w:tcW w:w="1394" w:type="dxa"/>
            <w:shd w:val="clear" w:color="auto" w:fill="FDE9D9" w:themeFill="accent6" w:themeFillTint="33"/>
            <w:vAlign w:val="center"/>
          </w:tcPr>
          <w:p w:rsidR="007551D0" w:rsidRPr="00C67CDB" w:rsidRDefault="007551D0" w:rsidP="00A54188">
            <w:pPr>
              <w:pStyle w:val="Default"/>
              <w:jc w:val="center"/>
              <w:rPr>
                <w:rFonts w:ascii="Arial" w:hAnsi="Arial" w:cs="Arial"/>
              </w:rPr>
            </w:pPr>
            <w:r w:rsidRPr="00C67CDB">
              <w:rPr>
                <w:rFonts w:ascii="Arial" w:hAnsi="Arial" w:cs="Arial"/>
              </w:rPr>
              <w:t>55.616.580</w:t>
            </w:r>
          </w:p>
        </w:tc>
        <w:tc>
          <w:tcPr>
            <w:tcW w:w="1318" w:type="dxa"/>
            <w:shd w:val="clear" w:color="auto" w:fill="FDE9D9" w:themeFill="accent6" w:themeFillTint="33"/>
            <w:vAlign w:val="center"/>
          </w:tcPr>
          <w:p w:rsidR="007551D0" w:rsidRPr="00C67CDB" w:rsidRDefault="007551D0" w:rsidP="00A54188">
            <w:pPr>
              <w:pStyle w:val="Default"/>
              <w:jc w:val="center"/>
              <w:rPr>
                <w:rFonts w:ascii="Arial" w:hAnsi="Arial" w:cs="Arial"/>
              </w:rPr>
            </w:pPr>
            <w:r w:rsidRPr="00C67CDB">
              <w:rPr>
                <w:rFonts w:ascii="Arial" w:hAnsi="Arial" w:cs="Arial"/>
              </w:rPr>
              <w:t>55.616.580</w:t>
            </w:r>
          </w:p>
        </w:tc>
      </w:tr>
      <w:tr w:rsidR="007551D0" w:rsidRPr="00C67CDB" w:rsidTr="00A54188">
        <w:trPr>
          <w:jc w:val="center"/>
        </w:trPr>
        <w:tc>
          <w:tcPr>
            <w:tcW w:w="1544" w:type="dxa"/>
            <w:shd w:val="clear" w:color="auto" w:fill="FDE9D9" w:themeFill="accent6" w:themeFillTint="33"/>
            <w:vAlign w:val="center"/>
          </w:tcPr>
          <w:p w:rsidR="007551D0" w:rsidRPr="00C67CDB" w:rsidRDefault="007551D0" w:rsidP="00A54188">
            <w:pPr>
              <w:pStyle w:val="Default"/>
              <w:jc w:val="center"/>
              <w:rPr>
                <w:rFonts w:ascii="Arial" w:hAnsi="Arial" w:cs="Arial"/>
                <w:color w:val="auto"/>
              </w:rPr>
            </w:pPr>
            <w:r w:rsidRPr="00C67CDB">
              <w:rPr>
                <w:rFonts w:ascii="Arial" w:hAnsi="Arial" w:cs="Arial"/>
                <w:color w:val="auto"/>
              </w:rPr>
              <w:t>WEI (%)</w:t>
            </w:r>
          </w:p>
        </w:tc>
        <w:tc>
          <w:tcPr>
            <w:tcW w:w="1318" w:type="dxa"/>
            <w:shd w:val="clear" w:color="auto" w:fill="FDE9D9" w:themeFill="accent6" w:themeFillTint="33"/>
            <w:vAlign w:val="center"/>
          </w:tcPr>
          <w:p w:rsidR="007551D0" w:rsidRPr="00C67CDB" w:rsidRDefault="007551D0" w:rsidP="00A54188">
            <w:pPr>
              <w:spacing w:after="0" w:line="240" w:lineRule="auto"/>
              <w:jc w:val="center"/>
              <w:rPr>
                <w:sz w:val="24"/>
                <w:szCs w:val="24"/>
              </w:rPr>
            </w:pPr>
            <w:r w:rsidRPr="00C67CDB">
              <w:rPr>
                <w:sz w:val="24"/>
                <w:szCs w:val="24"/>
              </w:rPr>
              <w:t>0,19</w:t>
            </w:r>
          </w:p>
        </w:tc>
        <w:tc>
          <w:tcPr>
            <w:tcW w:w="1481" w:type="dxa"/>
            <w:shd w:val="clear" w:color="auto" w:fill="FDE9D9" w:themeFill="accent6" w:themeFillTint="33"/>
            <w:vAlign w:val="center"/>
          </w:tcPr>
          <w:p w:rsidR="007551D0" w:rsidRPr="00C67CDB" w:rsidRDefault="007551D0" w:rsidP="00A54188">
            <w:pPr>
              <w:spacing w:after="0" w:line="240" w:lineRule="auto"/>
              <w:jc w:val="center"/>
              <w:rPr>
                <w:sz w:val="24"/>
                <w:szCs w:val="24"/>
              </w:rPr>
            </w:pPr>
            <w:r w:rsidRPr="00C67CDB">
              <w:rPr>
                <w:sz w:val="24"/>
                <w:szCs w:val="24"/>
              </w:rPr>
              <w:t>0,3</w:t>
            </w:r>
          </w:p>
        </w:tc>
        <w:tc>
          <w:tcPr>
            <w:tcW w:w="1503" w:type="dxa"/>
            <w:shd w:val="clear" w:color="auto" w:fill="FDE9D9" w:themeFill="accent6" w:themeFillTint="33"/>
            <w:vAlign w:val="center"/>
          </w:tcPr>
          <w:p w:rsidR="007551D0" w:rsidRPr="00C67CDB" w:rsidRDefault="007551D0" w:rsidP="00A54188">
            <w:pPr>
              <w:tabs>
                <w:tab w:val="left" w:pos="907"/>
              </w:tabs>
              <w:spacing w:after="0" w:line="240" w:lineRule="auto"/>
              <w:jc w:val="center"/>
              <w:rPr>
                <w:sz w:val="24"/>
                <w:szCs w:val="24"/>
              </w:rPr>
            </w:pPr>
            <w:r w:rsidRPr="00C67CDB">
              <w:rPr>
                <w:sz w:val="24"/>
                <w:szCs w:val="24"/>
              </w:rPr>
              <w:t>0,39</w:t>
            </w:r>
          </w:p>
        </w:tc>
        <w:tc>
          <w:tcPr>
            <w:tcW w:w="1394" w:type="dxa"/>
            <w:shd w:val="clear" w:color="auto" w:fill="FDE9D9" w:themeFill="accent6" w:themeFillTint="33"/>
            <w:vAlign w:val="center"/>
          </w:tcPr>
          <w:p w:rsidR="007551D0" w:rsidRPr="00C67CDB" w:rsidRDefault="007551D0" w:rsidP="00A54188">
            <w:pPr>
              <w:spacing w:after="0" w:line="240" w:lineRule="auto"/>
              <w:jc w:val="center"/>
              <w:rPr>
                <w:sz w:val="24"/>
                <w:szCs w:val="24"/>
              </w:rPr>
            </w:pPr>
            <w:r w:rsidRPr="00C67CDB">
              <w:rPr>
                <w:sz w:val="24"/>
                <w:szCs w:val="24"/>
              </w:rPr>
              <w:t>0,29</w:t>
            </w:r>
          </w:p>
        </w:tc>
        <w:tc>
          <w:tcPr>
            <w:tcW w:w="1318" w:type="dxa"/>
            <w:shd w:val="clear" w:color="auto" w:fill="FDE9D9" w:themeFill="accent6" w:themeFillTint="33"/>
            <w:vAlign w:val="center"/>
          </w:tcPr>
          <w:p w:rsidR="007551D0" w:rsidRPr="00C67CDB" w:rsidRDefault="007551D0" w:rsidP="00A54188">
            <w:pPr>
              <w:spacing w:after="0" w:line="240" w:lineRule="auto"/>
              <w:jc w:val="center"/>
              <w:rPr>
                <w:sz w:val="24"/>
                <w:szCs w:val="24"/>
              </w:rPr>
            </w:pPr>
            <w:r w:rsidRPr="00C67CDB">
              <w:rPr>
                <w:sz w:val="24"/>
                <w:szCs w:val="24"/>
              </w:rPr>
              <w:t>0,25</w:t>
            </w:r>
          </w:p>
        </w:tc>
      </w:tr>
    </w:tbl>
    <w:p w:rsidR="007551D0" w:rsidRPr="00E92120" w:rsidRDefault="007551D0" w:rsidP="007551D0">
      <w:pPr>
        <w:ind w:right="-567"/>
        <w:rPr>
          <w:rFonts w:ascii="Arial" w:hAnsi="Arial" w:cs="Arial"/>
          <w:b/>
          <w:bCs/>
        </w:rPr>
      </w:pPr>
      <w:r>
        <w:t xml:space="preserve">                   Sursa : INSSE – indicatori dezvoltare durabilă(volumul de apă distribuit anual)-actualizat 2016</w:t>
      </w:r>
    </w:p>
    <w:p w:rsidR="007551D0" w:rsidRPr="00E92120" w:rsidRDefault="007551D0" w:rsidP="007551D0">
      <w:pPr>
        <w:pStyle w:val="Default"/>
        <w:rPr>
          <w:rFonts w:ascii="Arial" w:hAnsi="Arial" w:cs="Arial"/>
          <w:color w:val="auto"/>
        </w:rPr>
      </w:pPr>
      <w:r w:rsidRPr="00672B27">
        <w:rPr>
          <w:rFonts w:ascii="Arial" w:hAnsi="Arial" w:cs="Arial"/>
          <w:color w:val="auto"/>
        </w:rPr>
        <w:t>Tabelul nr.</w:t>
      </w:r>
      <w:r w:rsidRPr="00672B27">
        <w:rPr>
          <w:rFonts w:ascii="Arial" w:hAnsi="Arial" w:cs="Arial"/>
          <w:bCs/>
          <w:color w:val="auto"/>
        </w:rPr>
        <w:t xml:space="preserve"> II.1.1.2</w:t>
      </w:r>
      <w:r w:rsidRPr="00672B27">
        <w:rPr>
          <w:rFonts w:ascii="Arial" w:hAnsi="Arial" w:cs="Arial"/>
          <w:bCs/>
          <w:i/>
          <w:iCs/>
          <w:color w:val="auto"/>
        </w:rPr>
        <w:t xml:space="preserve"> </w:t>
      </w:r>
      <w:r w:rsidRPr="00672B27">
        <w:rPr>
          <w:rFonts w:ascii="Arial" w:hAnsi="Arial" w:cs="Arial"/>
          <w:bCs/>
          <w:iCs/>
          <w:color w:val="auto"/>
        </w:rPr>
        <w:t>– 2</w:t>
      </w:r>
      <w:r w:rsidRPr="00E92120">
        <w:rPr>
          <w:rFonts w:ascii="Arial" w:hAnsi="Arial" w:cs="Arial"/>
          <w:b/>
          <w:bCs/>
          <w:iCs/>
          <w:color w:val="auto"/>
        </w:rPr>
        <w:t xml:space="preserve"> </w:t>
      </w:r>
      <w:r w:rsidRPr="00E92120">
        <w:rPr>
          <w:rFonts w:ascii="Arial" w:hAnsi="Arial" w:cs="Arial"/>
          <w:color w:val="auto"/>
        </w:rPr>
        <w:t xml:space="preserve">Evoluţia indicelui de exploatare a apei (WEI)  la nivelul județului </w:t>
      </w:r>
      <w:r w:rsidR="00217620">
        <w:rPr>
          <w:rFonts w:ascii="Arial" w:hAnsi="Arial" w:cs="Arial"/>
          <w:color w:val="auto"/>
        </w:rPr>
        <w:t>Brăila</w:t>
      </w:r>
      <w:r w:rsidRPr="00E92120">
        <w:rPr>
          <w:rFonts w:ascii="Arial" w:hAnsi="Arial" w:cs="Arial"/>
          <w:color w:val="auto"/>
        </w:rPr>
        <w:t>, în perioada anilor  201</w:t>
      </w:r>
      <w:r>
        <w:rPr>
          <w:rFonts w:ascii="Arial" w:hAnsi="Arial" w:cs="Arial"/>
          <w:color w:val="auto"/>
        </w:rPr>
        <w:t>1</w:t>
      </w:r>
      <w:r w:rsidRPr="00E92120">
        <w:rPr>
          <w:rFonts w:ascii="Arial" w:hAnsi="Arial" w:cs="Arial"/>
          <w:color w:val="auto"/>
        </w:rPr>
        <w:t xml:space="preserve"> - 201</w:t>
      </w:r>
      <w:r>
        <w:rPr>
          <w:rFonts w:ascii="Arial" w:hAnsi="Arial" w:cs="Arial"/>
          <w:color w:val="auto"/>
        </w:rPr>
        <w:t>5</w:t>
      </w:r>
      <w:r w:rsidRPr="00E92120">
        <w:rPr>
          <w:rFonts w:ascii="Arial" w:hAnsi="Arial" w:cs="Arial"/>
          <w:color w:val="auto"/>
        </w:rPr>
        <w:t xml:space="preserve"> </w:t>
      </w:r>
    </w:p>
    <w:p w:rsidR="007551D0" w:rsidRPr="00E92120" w:rsidRDefault="007551D0" w:rsidP="007551D0">
      <w:pPr>
        <w:pStyle w:val="Default"/>
        <w:rPr>
          <w:rFonts w:ascii="Arial" w:hAnsi="Arial" w:cs="Arial"/>
          <w:color w:val="auto"/>
        </w:rPr>
      </w:pPr>
    </w:p>
    <w:tbl>
      <w:tblPr>
        <w:tblW w:w="0" w:type="auto"/>
        <w:jc w:val="center"/>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4"/>
        <w:gridCol w:w="1084"/>
        <w:gridCol w:w="1069"/>
        <w:gridCol w:w="1070"/>
        <w:gridCol w:w="1070"/>
        <w:gridCol w:w="1070"/>
      </w:tblGrid>
      <w:tr w:rsidR="007551D0" w:rsidRPr="00E92120" w:rsidTr="00DB2B5E">
        <w:trPr>
          <w:jc w:val="center"/>
        </w:trPr>
        <w:tc>
          <w:tcPr>
            <w:tcW w:w="2304" w:type="dxa"/>
            <w:shd w:val="clear" w:color="auto" w:fill="FDE9D9" w:themeFill="accent6" w:themeFillTint="33"/>
            <w:vAlign w:val="center"/>
          </w:tcPr>
          <w:p w:rsidR="007551D0" w:rsidRPr="00E92120" w:rsidRDefault="007551D0" w:rsidP="00A54188">
            <w:pPr>
              <w:pStyle w:val="Default"/>
              <w:rPr>
                <w:rFonts w:ascii="Arial" w:hAnsi="Arial" w:cs="Arial"/>
                <w:b/>
                <w:color w:val="auto"/>
              </w:rPr>
            </w:pPr>
            <w:r w:rsidRPr="00E92120">
              <w:rPr>
                <w:rFonts w:ascii="Arial" w:hAnsi="Arial" w:cs="Arial"/>
                <w:b/>
                <w:color w:val="auto"/>
              </w:rPr>
              <w:t xml:space="preserve">Județul </w:t>
            </w:r>
            <w:r w:rsidR="00217620">
              <w:rPr>
                <w:rFonts w:ascii="Arial" w:hAnsi="Arial" w:cs="Arial"/>
                <w:b/>
                <w:color w:val="auto"/>
              </w:rPr>
              <w:t>Brăila</w:t>
            </w:r>
          </w:p>
        </w:tc>
        <w:tc>
          <w:tcPr>
            <w:tcW w:w="1084" w:type="dxa"/>
            <w:shd w:val="clear" w:color="auto" w:fill="FDE9D9" w:themeFill="accent6" w:themeFillTint="33"/>
            <w:vAlign w:val="center"/>
          </w:tcPr>
          <w:p w:rsidR="007551D0" w:rsidRPr="00E92120" w:rsidRDefault="007551D0" w:rsidP="00A54188">
            <w:pPr>
              <w:pStyle w:val="Default"/>
              <w:jc w:val="center"/>
              <w:rPr>
                <w:rFonts w:ascii="Arial" w:hAnsi="Arial" w:cs="Arial"/>
                <w:b/>
                <w:color w:val="auto"/>
              </w:rPr>
            </w:pPr>
            <w:r w:rsidRPr="00E92120">
              <w:rPr>
                <w:rFonts w:ascii="Arial" w:hAnsi="Arial" w:cs="Arial"/>
                <w:b/>
                <w:color w:val="auto"/>
              </w:rPr>
              <w:t>2011</w:t>
            </w:r>
          </w:p>
        </w:tc>
        <w:tc>
          <w:tcPr>
            <w:tcW w:w="1069" w:type="dxa"/>
            <w:shd w:val="clear" w:color="auto" w:fill="FDE9D9" w:themeFill="accent6" w:themeFillTint="33"/>
            <w:vAlign w:val="center"/>
          </w:tcPr>
          <w:p w:rsidR="007551D0" w:rsidRPr="00E92120" w:rsidRDefault="007551D0" w:rsidP="00A54188">
            <w:pPr>
              <w:pStyle w:val="Default"/>
              <w:jc w:val="center"/>
              <w:rPr>
                <w:rFonts w:ascii="Arial" w:hAnsi="Arial" w:cs="Arial"/>
                <w:b/>
                <w:color w:val="auto"/>
              </w:rPr>
            </w:pPr>
            <w:r w:rsidRPr="00E92120">
              <w:rPr>
                <w:rFonts w:ascii="Arial" w:hAnsi="Arial" w:cs="Arial"/>
                <w:b/>
                <w:color w:val="auto"/>
              </w:rPr>
              <w:t>2012</w:t>
            </w:r>
          </w:p>
        </w:tc>
        <w:tc>
          <w:tcPr>
            <w:tcW w:w="1070" w:type="dxa"/>
            <w:shd w:val="clear" w:color="auto" w:fill="FDE9D9" w:themeFill="accent6" w:themeFillTint="33"/>
            <w:vAlign w:val="center"/>
          </w:tcPr>
          <w:p w:rsidR="007551D0" w:rsidRPr="00E92120" w:rsidRDefault="007551D0" w:rsidP="00A54188">
            <w:pPr>
              <w:pStyle w:val="Default"/>
              <w:jc w:val="center"/>
              <w:rPr>
                <w:rFonts w:ascii="Arial" w:hAnsi="Arial" w:cs="Arial"/>
                <w:b/>
                <w:color w:val="auto"/>
              </w:rPr>
            </w:pPr>
            <w:r w:rsidRPr="00E92120">
              <w:rPr>
                <w:rFonts w:ascii="Arial" w:hAnsi="Arial" w:cs="Arial"/>
                <w:b/>
                <w:color w:val="auto"/>
              </w:rPr>
              <w:t>2013</w:t>
            </w:r>
          </w:p>
        </w:tc>
        <w:tc>
          <w:tcPr>
            <w:tcW w:w="1070" w:type="dxa"/>
            <w:shd w:val="clear" w:color="auto" w:fill="FDE9D9" w:themeFill="accent6" w:themeFillTint="33"/>
            <w:vAlign w:val="center"/>
          </w:tcPr>
          <w:p w:rsidR="007551D0" w:rsidRPr="00E92120" w:rsidRDefault="007551D0" w:rsidP="00A54188">
            <w:pPr>
              <w:pStyle w:val="Default"/>
              <w:jc w:val="center"/>
              <w:rPr>
                <w:rFonts w:ascii="Arial" w:hAnsi="Arial" w:cs="Arial"/>
                <w:b/>
                <w:color w:val="auto"/>
              </w:rPr>
            </w:pPr>
            <w:r w:rsidRPr="00E92120">
              <w:rPr>
                <w:rFonts w:ascii="Arial" w:hAnsi="Arial" w:cs="Arial"/>
                <w:b/>
                <w:color w:val="auto"/>
              </w:rPr>
              <w:t>2014</w:t>
            </w:r>
          </w:p>
        </w:tc>
        <w:tc>
          <w:tcPr>
            <w:tcW w:w="1070" w:type="dxa"/>
            <w:shd w:val="clear" w:color="auto" w:fill="FDE9D9" w:themeFill="accent6" w:themeFillTint="33"/>
            <w:vAlign w:val="center"/>
          </w:tcPr>
          <w:p w:rsidR="007551D0" w:rsidRPr="00E92120" w:rsidRDefault="007551D0" w:rsidP="00A54188">
            <w:pPr>
              <w:pStyle w:val="Default"/>
              <w:jc w:val="center"/>
              <w:rPr>
                <w:rFonts w:ascii="Arial" w:hAnsi="Arial" w:cs="Arial"/>
                <w:b/>
                <w:color w:val="auto"/>
              </w:rPr>
            </w:pPr>
            <w:r>
              <w:rPr>
                <w:rFonts w:ascii="Arial" w:hAnsi="Arial" w:cs="Arial"/>
                <w:b/>
                <w:color w:val="auto"/>
              </w:rPr>
              <w:t>2015</w:t>
            </w:r>
          </w:p>
        </w:tc>
      </w:tr>
      <w:tr w:rsidR="007551D0" w:rsidRPr="00E92120" w:rsidTr="00DB2B5E">
        <w:trPr>
          <w:trHeight w:val="385"/>
          <w:jc w:val="center"/>
        </w:trPr>
        <w:tc>
          <w:tcPr>
            <w:tcW w:w="2304" w:type="dxa"/>
            <w:shd w:val="clear" w:color="auto" w:fill="FDE9D9" w:themeFill="accent6" w:themeFillTint="33"/>
            <w:vAlign w:val="center"/>
          </w:tcPr>
          <w:p w:rsidR="007551D0" w:rsidRPr="00E92120" w:rsidRDefault="007551D0" w:rsidP="00A54188">
            <w:pPr>
              <w:pStyle w:val="Default"/>
              <w:rPr>
                <w:rFonts w:ascii="Arial" w:hAnsi="Arial" w:cs="Arial"/>
                <w:color w:val="auto"/>
              </w:rPr>
            </w:pPr>
            <w:r w:rsidRPr="00E92120">
              <w:rPr>
                <w:rFonts w:ascii="Arial" w:hAnsi="Arial" w:cs="Arial"/>
                <w:color w:val="auto"/>
              </w:rPr>
              <w:t>WEI (%)</w:t>
            </w:r>
          </w:p>
        </w:tc>
        <w:tc>
          <w:tcPr>
            <w:tcW w:w="1084" w:type="dxa"/>
            <w:shd w:val="clear" w:color="auto" w:fill="FDE9D9" w:themeFill="accent6" w:themeFillTint="33"/>
          </w:tcPr>
          <w:p w:rsidR="007551D0" w:rsidRPr="00F023E0" w:rsidRDefault="007551D0" w:rsidP="00A54188">
            <w:pPr>
              <w:spacing w:after="0" w:line="240" w:lineRule="auto"/>
              <w:jc w:val="center"/>
              <w:rPr>
                <w:sz w:val="24"/>
                <w:szCs w:val="24"/>
              </w:rPr>
            </w:pPr>
            <w:r w:rsidRPr="00F023E0">
              <w:rPr>
                <w:sz w:val="24"/>
                <w:szCs w:val="24"/>
              </w:rPr>
              <w:t>0,19</w:t>
            </w:r>
          </w:p>
        </w:tc>
        <w:tc>
          <w:tcPr>
            <w:tcW w:w="1069" w:type="dxa"/>
            <w:shd w:val="clear" w:color="auto" w:fill="FDE9D9" w:themeFill="accent6" w:themeFillTint="33"/>
          </w:tcPr>
          <w:p w:rsidR="007551D0" w:rsidRPr="00F023E0" w:rsidRDefault="007551D0" w:rsidP="00A54188">
            <w:pPr>
              <w:spacing w:after="0" w:line="240" w:lineRule="auto"/>
              <w:jc w:val="center"/>
              <w:rPr>
                <w:sz w:val="24"/>
                <w:szCs w:val="24"/>
              </w:rPr>
            </w:pPr>
            <w:r w:rsidRPr="00F023E0">
              <w:rPr>
                <w:sz w:val="24"/>
                <w:szCs w:val="24"/>
              </w:rPr>
              <w:t>0,3</w:t>
            </w:r>
          </w:p>
        </w:tc>
        <w:tc>
          <w:tcPr>
            <w:tcW w:w="1070" w:type="dxa"/>
            <w:shd w:val="clear" w:color="auto" w:fill="FDE9D9" w:themeFill="accent6" w:themeFillTint="33"/>
          </w:tcPr>
          <w:p w:rsidR="007551D0" w:rsidRPr="00F023E0" w:rsidRDefault="007551D0" w:rsidP="00A54188">
            <w:pPr>
              <w:tabs>
                <w:tab w:val="left" w:pos="907"/>
              </w:tabs>
              <w:spacing w:after="0" w:line="240" w:lineRule="auto"/>
              <w:jc w:val="center"/>
              <w:rPr>
                <w:sz w:val="24"/>
                <w:szCs w:val="24"/>
              </w:rPr>
            </w:pPr>
            <w:r w:rsidRPr="00F023E0">
              <w:rPr>
                <w:sz w:val="24"/>
                <w:szCs w:val="24"/>
              </w:rPr>
              <w:t>0,39</w:t>
            </w:r>
          </w:p>
        </w:tc>
        <w:tc>
          <w:tcPr>
            <w:tcW w:w="1070" w:type="dxa"/>
            <w:shd w:val="clear" w:color="auto" w:fill="FDE9D9" w:themeFill="accent6" w:themeFillTint="33"/>
          </w:tcPr>
          <w:p w:rsidR="007551D0" w:rsidRPr="00F023E0" w:rsidRDefault="007551D0" w:rsidP="00A54188">
            <w:pPr>
              <w:spacing w:after="0" w:line="240" w:lineRule="auto"/>
              <w:jc w:val="center"/>
              <w:rPr>
                <w:sz w:val="24"/>
                <w:szCs w:val="24"/>
              </w:rPr>
            </w:pPr>
            <w:r w:rsidRPr="00F023E0">
              <w:rPr>
                <w:sz w:val="24"/>
                <w:szCs w:val="24"/>
              </w:rPr>
              <w:t>0,29</w:t>
            </w:r>
          </w:p>
        </w:tc>
        <w:tc>
          <w:tcPr>
            <w:tcW w:w="1070" w:type="dxa"/>
            <w:shd w:val="clear" w:color="auto" w:fill="FDE9D9" w:themeFill="accent6" w:themeFillTint="33"/>
          </w:tcPr>
          <w:p w:rsidR="007551D0" w:rsidRPr="00F023E0" w:rsidRDefault="007551D0" w:rsidP="00A54188">
            <w:pPr>
              <w:spacing w:after="0" w:line="240" w:lineRule="auto"/>
              <w:jc w:val="center"/>
              <w:rPr>
                <w:sz w:val="24"/>
                <w:szCs w:val="24"/>
              </w:rPr>
            </w:pPr>
            <w:r w:rsidRPr="00F023E0">
              <w:rPr>
                <w:sz w:val="24"/>
                <w:szCs w:val="24"/>
              </w:rPr>
              <w:t>0,25</w:t>
            </w:r>
          </w:p>
        </w:tc>
      </w:tr>
    </w:tbl>
    <w:p w:rsidR="007551D0" w:rsidRPr="00E92120" w:rsidRDefault="007551D0" w:rsidP="007551D0">
      <w:pPr>
        <w:pStyle w:val="Default"/>
        <w:ind w:firstLine="720"/>
        <w:rPr>
          <w:rFonts w:ascii="Arial" w:hAnsi="Arial" w:cs="Arial"/>
          <w:color w:val="auto"/>
        </w:rPr>
      </w:pPr>
    </w:p>
    <w:p w:rsidR="007551D0" w:rsidRPr="00E92120" w:rsidRDefault="007551D0" w:rsidP="007551D0">
      <w:pPr>
        <w:tabs>
          <w:tab w:val="left" w:pos="1875"/>
        </w:tabs>
        <w:jc w:val="center"/>
        <w:rPr>
          <w:rFonts w:ascii="Arial" w:hAnsi="Arial" w:cs="Arial"/>
          <w:sz w:val="24"/>
          <w:szCs w:val="24"/>
        </w:rPr>
      </w:pPr>
      <w:r w:rsidRPr="00E92120">
        <w:rPr>
          <w:rFonts w:ascii="Arial" w:hAnsi="Arial" w:cs="Arial"/>
          <w:noProof/>
          <w:sz w:val="24"/>
          <w:szCs w:val="24"/>
          <w:lang w:eastAsia="ro-RO"/>
        </w:rPr>
        <w:drawing>
          <wp:inline distT="0" distB="0" distL="0" distR="0">
            <wp:extent cx="5486400" cy="2314575"/>
            <wp:effectExtent l="19050" t="0" r="19050" b="0"/>
            <wp:docPr id="1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551D0" w:rsidRPr="00E92120" w:rsidRDefault="007551D0" w:rsidP="007551D0">
      <w:pPr>
        <w:pStyle w:val="ListParagraph"/>
        <w:ind w:left="0" w:firstLine="708"/>
        <w:jc w:val="both"/>
        <w:rPr>
          <w:rFonts w:ascii="Arial" w:hAnsi="Arial" w:cs="Arial"/>
          <w:color w:val="FF0000"/>
        </w:rPr>
      </w:pPr>
      <w:r w:rsidRPr="00E92120">
        <w:rPr>
          <w:rFonts w:ascii="Arial" w:hAnsi="Arial" w:cs="Arial"/>
        </w:rPr>
        <w:t>Analizând tendinţa generală în utilizarea a resurselor de apă dulce din perioada 201</w:t>
      </w:r>
      <w:r>
        <w:rPr>
          <w:rFonts w:ascii="Arial" w:hAnsi="Arial" w:cs="Arial"/>
        </w:rPr>
        <w:t>1</w:t>
      </w:r>
      <w:r w:rsidRPr="00E92120">
        <w:rPr>
          <w:rFonts w:ascii="Arial" w:hAnsi="Arial" w:cs="Arial"/>
        </w:rPr>
        <w:t>- 201</w:t>
      </w:r>
      <w:r>
        <w:rPr>
          <w:rFonts w:ascii="Arial" w:hAnsi="Arial" w:cs="Arial"/>
        </w:rPr>
        <w:t>5</w:t>
      </w:r>
      <w:r w:rsidRPr="00E92120">
        <w:rPr>
          <w:rFonts w:ascii="Arial" w:hAnsi="Arial" w:cs="Arial"/>
        </w:rPr>
        <w:t xml:space="preserve"> se poate concluziona că după creșterea din prima parte a intervalului de referință respectiv anii 201</w:t>
      </w:r>
      <w:r>
        <w:rPr>
          <w:rFonts w:ascii="Arial" w:hAnsi="Arial" w:cs="Arial"/>
        </w:rPr>
        <w:t>1</w:t>
      </w:r>
      <w:r w:rsidRPr="00E92120">
        <w:rPr>
          <w:rFonts w:ascii="Arial" w:hAnsi="Arial" w:cs="Arial"/>
        </w:rPr>
        <w:t xml:space="preserve"> – 201</w:t>
      </w:r>
      <w:r>
        <w:rPr>
          <w:rFonts w:ascii="Arial" w:hAnsi="Arial" w:cs="Arial"/>
        </w:rPr>
        <w:t>3</w:t>
      </w:r>
      <w:r w:rsidRPr="00E92120">
        <w:rPr>
          <w:rFonts w:ascii="Arial" w:hAnsi="Arial" w:cs="Arial"/>
        </w:rPr>
        <w:t>, după anul 201</w:t>
      </w:r>
      <w:r>
        <w:rPr>
          <w:rFonts w:ascii="Arial" w:hAnsi="Arial" w:cs="Arial"/>
        </w:rPr>
        <w:t>3</w:t>
      </w:r>
      <w:r w:rsidRPr="00E92120">
        <w:rPr>
          <w:rFonts w:ascii="Arial" w:hAnsi="Arial" w:cs="Arial"/>
        </w:rPr>
        <w:t xml:space="preserve"> tendinţa generală în utilizarea a resurselor de apă dulce prezintă un trend de descreștere. Prin extrapolare se poate afirma că nu vor interveni schimbări semnificative în ceea ce privește utilizarea resurselor de apă dulce în perioada următoare, neexistând presiuni majore pe nicio categorie de folosință. Cerința a fost mult sub resursa tehnic disponibilă, existând un excedent considerabil.</w:t>
      </w:r>
    </w:p>
    <w:p w:rsidR="007551D0" w:rsidRPr="00E92120" w:rsidRDefault="007551D0" w:rsidP="007551D0">
      <w:pPr>
        <w:pStyle w:val="ListParagraph"/>
        <w:ind w:left="0"/>
        <w:jc w:val="both"/>
        <w:rPr>
          <w:rFonts w:ascii="Arial" w:hAnsi="Arial" w:cs="Arial"/>
          <w:color w:val="FF0000"/>
        </w:rPr>
      </w:pPr>
      <w:r w:rsidRPr="00E92120">
        <w:rPr>
          <w:rFonts w:ascii="Arial" w:hAnsi="Arial" w:cs="Arial"/>
        </w:rPr>
        <w:t>-  Evoluţia viitoare a indicelui de exploatare a apei Wei se va menține în valoare procentuală subunitară și în descreștere, confirmând o presiune redusă asupra resursei regenerabile.</w:t>
      </w:r>
    </w:p>
    <w:p w:rsidR="007551D0" w:rsidRPr="00E92120" w:rsidRDefault="007551D0" w:rsidP="007551D0">
      <w:pPr>
        <w:pStyle w:val="Heading1"/>
        <w:rPr>
          <w:sz w:val="24"/>
          <w:szCs w:val="24"/>
        </w:rPr>
      </w:pPr>
      <w:r w:rsidRPr="00672B27">
        <w:rPr>
          <w:b w:val="0"/>
          <w:sz w:val="24"/>
          <w:szCs w:val="24"/>
        </w:rPr>
        <w:lastRenderedPageBreak/>
        <w:t xml:space="preserve">Tabel nr. </w:t>
      </w:r>
      <w:r w:rsidRPr="00672B27">
        <w:rPr>
          <w:b w:val="0"/>
          <w:bCs w:val="0"/>
          <w:sz w:val="24"/>
          <w:szCs w:val="24"/>
        </w:rPr>
        <w:t>II.1.1.2</w:t>
      </w:r>
      <w:r w:rsidRPr="00672B27">
        <w:rPr>
          <w:b w:val="0"/>
          <w:bCs w:val="0"/>
          <w:i/>
          <w:iCs/>
          <w:sz w:val="24"/>
          <w:szCs w:val="24"/>
        </w:rPr>
        <w:t xml:space="preserve"> </w:t>
      </w:r>
      <w:r w:rsidRPr="00672B27">
        <w:rPr>
          <w:b w:val="0"/>
          <w:bCs w:val="0"/>
          <w:iCs/>
          <w:sz w:val="24"/>
          <w:szCs w:val="24"/>
        </w:rPr>
        <w:t>– 3</w:t>
      </w:r>
      <w:r w:rsidRPr="00E92120">
        <w:rPr>
          <w:b w:val="0"/>
          <w:bCs w:val="0"/>
          <w:iCs/>
          <w:sz w:val="24"/>
          <w:szCs w:val="24"/>
        </w:rPr>
        <w:t xml:space="preserve"> </w:t>
      </w:r>
      <w:r w:rsidRPr="00E92120">
        <w:rPr>
          <w:b w:val="0"/>
          <w:sz w:val="24"/>
          <w:szCs w:val="24"/>
        </w:rPr>
        <w:t xml:space="preserve"> Cerinţele şi prelevările de apă la nivelul județului </w:t>
      </w:r>
      <w:r w:rsidR="00217620">
        <w:rPr>
          <w:b w:val="0"/>
          <w:sz w:val="24"/>
          <w:szCs w:val="24"/>
        </w:rPr>
        <w:t>Brăila</w:t>
      </w:r>
      <w:r w:rsidRPr="00E92120">
        <w:rPr>
          <w:b w:val="0"/>
          <w:sz w:val="24"/>
          <w:szCs w:val="24"/>
        </w:rPr>
        <w:t>, în anul 201</w:t>
      </w:r>
      <w:r>
        <w:rPr>
          <w:b w:val="0"/>
          <w:sz w:val="24"/>
          <w:szCs w:val="24"/>
        </w:rPr>
        <w:t>5</w:t>
      </w:r>
      <w:r w:rsidRPr="00E92120">
        <w:rPr>
          <w:b w:val="0"/>
          <w:sz w:val="24"/>
          <w:szCs w:val="24"/>
        </w:rPr>
        <w:t xml:space="preserve"> </w:t>
      </w:r>
    </w:p>
    <w:tbl>
      <w:tblPr>
        <w:tblW w:w="3634" w:type="dxa"/>
        <w:jc w:val="center"/>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hemeFill="accent6" w:themeFillTint="33"/>
        <w:tblLook w:val="00A0"/>
      </w:tblPr>
      <w:tblGrid>
        <w:gridCol w:w="1949"/>
        <w:gridCol w:w="1685"/>
      </w:tblGrid>
      <w:tr w:rsidR="007551D0" w:rsidRPr="00E92120" w:rsidTr="00DB2B5E">
        <w:trPr>
          <w:jc w:val="center"/>
        </w:trPr>
        <w:tc>
          <w:tcPr>
            <w:tcW w:w="1949" w:type="dxa"/>
            <w:shd w:val="clear" w:color="auto" w:fill="FDE9D9" w:themeFill="accent6" w:themeFillTint="33"/>
          </w:tcPr>
          <w:p w:rsidR="007551D0" w:rsidRPr="00E92120" w:rsidRDefault="007551D0" w:rsidP="00DB2B5E">
            <w:pPr>
              <w:pStyle w:val="Default"/>
              <w:rPr>
                <w:rFonts w:ascii="Arial" w:hAnsi="Arial" w:cs="Arial"/>
                <w:b/>
                <w:color w:val="auto"/>
              </w:rPr>
            </w:pPr>
            <w:r w:rsidRPr="00E92120">
              <w:rPr>
                <w:rFonts w:ascii="Arial" w:hAnsi="Arial" w:cs="Arial"/>
                <w:b/>
                <w:color w:val="auto"/>
              </w:rPr>
              <w:t xml:space="preserve">Județul </w:t>
            </w:r>
            <w:r w:rsidR="00217620">
              <w:rPr>
                <w:rFonts w:ascii="Arial" w:hAnsi="Arial" w:cs="Arial"/>
                <w:b/>
                <w:color w:val="auto"/>
              </w:rPr>
              <w:t>Brăila</w:t>
            </w:r>
          </w:p>
        </w:tc>
        <w:tc>
          <w:tcPr>
            <w:tcW w:w="1685" w:type="dxa"/>
            <w:shd w:val="clear" w:color="auto" w:fill="FDE9D9" w:themeFill="accent6" w:themeFillTint="33"/>
          </w:tcPr>
          <w:p w:rsidR="007551D0" w:rsidRPr="00E92120" w:rsidRDefault="007551D0" w:rsidP="00DB2B5E">
            <w:pPr>
              <w:pStyle w:val="Default"/>
              <w:rPr>
                <w:rFonts w:ascii="Arial" w:hAnsi="Arial" w:cs="Arial"/>
                <w:b/>
                <w:color w:val="auto"/>
              </w:rPr>
            </w:pPr>
            <w:r w:rsidRPr="00E92120">
              <w:rPr>
                <w:rFonts w:ascii="Arial" w:hAnsi="Arial" w:cs="Arial"/>
                <w:b/>
                <w:color w:val="auto"/>
              </w:rPr>
              <w:t>201</w:t>
            </w:r>
            <w:r>
              <w:rPr>
                <w:rFonts w:ascii="Arial" w:hAnsi="Arial" w:cs="Arial"/>
                <w:b/>
                <w:color w:val="auto"/>
              </w:rPr>
              <w:t>5</w:t>
            </w:r>
            <w:r w:rsidRPr="00E92120">
              <w:rPr>
                <w:rFonts w:ascii="Arial" w:hAnsi="Arial" w:cs="Arial"/>
                <w:b/>
                <w:color w:val="auto"/>
              </w:rPr>
              <w:t>(mii mc)</w:t>
            </w:r>
          </w:p>
        </w:tc>
      </w:tr>
      <w:tr w:rsidR="007551D0" w:rsidRPr="00E92120" w:rsidTr="00DB2B5E">
        <w:trPr>
          <w:jc w:val="center"/>
        </w:trPr>
        <w:tc>
          <w:tcPr>
            <w:tcW w:w="1949"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Total prelevat</w:t>
            </w:r>
          </w:p>
        </w:tc>
        <w:tc>
          <w:tcPr>
            <w:tcW w:w="1685" w:type="dxa"/>
            <w:shd w:val="clear" w:color="auto" w:fill="FDE9D9" w:themeFill="accent6" w:themeFillTint="33"/>
          </w:tcPr>
          <w:p w:rsidR="007551D0" w:rsidRPr="008C7DE2" w:rsidRDefault="007551D0" w:rsidP="00DB2B5E">
            <w:pPr>
              <w:pStyle w:val="Default"/>
              <w:jc w:val="center"/>
              <w:rPr>
                <w:rFonts w:ascii="Arial" w:hAnsi="Arial" w:cs="Arial"/>
                <w:color w:val="auto"/>
              </w:rPr>
            </w:pPr>
            <w:r w:rsidRPr="008C7DE2">
              <w:rPr>
                <w:rFonts w:ascii="Arial" w:hAnsi="Arial" w:cs="Arial"/>
              </w:rPr>
              <w:t>143859</w:t>
            </w:r>
            <w:r>
              <w:rPr>
                <w:rFonts w:ascii="Arial" w:hAnsi="Arial" w:cs="Arial"/>
              </w:rPr>
              <w:t>,</w:t>
            </w:r>
            <w:r w:rsidRPr="008C7DE2">
              <w:rPr>
                <w:rFonts w:ascii="Arial" w:hAnsi="Arial" w:cs="Arial"/>
              </w:rPr>
              <w:t>3</w:t>
            </w:r>
          </w:p>
        </w:tc>
      </w:tr>
      <w:tr w:rsidR="007551D0" w:rsidRPr="00E92120" w:rsidTr="00DB2B5E">
        <w:trPr>
          <w:jc w:val="center"/>
        </w:trPr>
        <w:tc>
          <w:tcPr>
            <w:tcW w:w="1949"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Total cerință</w:t>
            </w:r>
          </w:p>
        </w:tc>
        <w:tc>
          <w:tcPr>
            <w:tcW w:w="1685" w:type="dxa"/>
            <w:shd w:val="clear" w:color="auto" w:fill="FDE9D9" w:themeFill="accent6" w:themeFillTint="33"/>
          </w:tcPr>
          <w:p w:rsidR="007551D0" w:rsidRPr="00E92120" w:rsidRDefault="007551D0" w:rsidP="00DB2B5E">
            <w:pPr>
              <w:pStyle w:val="Default"/>
              <w:jc w:val="center"/>
              <w:rPr>
                <w:rFonts w:ascii="Arial" w:hAnsi="Arial" w:cs="Arial"/>
                <w:color w:val="auto"/>
              </w:rPr>
            </w:pPr>
            <w:r w:rsidRPr="00E92120">
              <w:rPr>
                <w:rFonts w:ascii="Arial" w:hAnsi="Arial" w:cs="Arial"/>
                <w:color w:val="auto"/>
              </w:rPr>
              <w:t>176304</w:t>
            </w:r>
            <w:r>
              <w:rPr>
                <w:rFonts w:ascii="Arial" w:hAnsi="Arial" w:cs="Arial"/>
                <w:color w:val="auto"/>
              </w:rPr>
              <w:t>,</w:t>
            </w:r>
            <w:r w:rsidRPr="00E92120">
              <w:rPr>
                <w:rFonts w:ascii="Arial" w:hAnsi="Arial" w:cs="Arial"/>
                <w:color w:val="auto"/>
              </w:rPr>
              <w:t>18</w:t>
            </w:r>
          </w:p>
        </w:tc>
      </w:tr>
    </w:tbl>
    <w:p w:rsidR="007551D0" w:rsidRPr="00E92120" w:rsidRDefault="007551D0" w:rsidP="007551D0">
      <w:pPr>
        <w:rPr>
          <w:rFonts w:ascii="Arial" w:hAnsi="Arial" w:cs="Arial"/>
          <w:b/>
          <w:noProof/>
          <w:sz w:val="24"/>
          <w:szCs w:val="24"/>
        </w:rPr>
      </w:pPr>
    </w:p>
    <w:p w:rsidR="007551D0" w:rsidRDefault="007551D0" w:rsidP="007551D0">
      <w:pPr>
        <w:jc w:val="center"/>
        <w:rPr>
          <w:rFonts w:ascii="Arial" w:hAnsi="Arial" w:cs="Arial"/>
          <w:sz w:val="24"/>
          <w:szCs w:val="24"/>
        </w:rPr>
      </w:pPr>
      <w:r w:rsidRPr="00E92120">
        <w:rPr>
          <w:rFonts w:ascii="Arial" w:hAnsi="Arial" w:cs="Arial"/>
          <w:noProof/>
          <w:sz w:val="24"/>
          <w:szCs w:val="24"/>
          <w:lang w:eastAsia="ro-RO"/>
        </w:rPr>
        <w:drawing>
          <wp:inline distT="0" distB="0" distL="0" distR="0">
            <wp:extent cx="3543300" cy="1514475"/>
            <wp:effectExtent l="19050" t="0" r="19050" b="0"/>
            <wp:docPr id="19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551D0" w:rsidRDefault="007551D0" w:rsidP="00672B27">
      <w:pPr>
        <w:spacing w:line="240" w:lineRule="auto"/>
        <w:ind w:firstLine="708"/>
        <w:jc w:val="both"/>
        <w:rPr>
          <w:rFonts w:ascii="Arial" w:hAnsi="Arial" w:cs="Arial"/>
          <w:sz w:val="24"/>
          <w:szCs w:val="24"/>
        </w:rPr>
      </w:pPr>
      <w:r w:rsidRPr="00E92120">
        <w:rPr>
          <w:rFonts w:ascii="Arial" w:hAnsi="Arial" w:cs="Arial"/>
          <w:sz w:val="24"/>
          <w:szCs w:val="24"/>
        </w:rPr>
        <w:t>Tendinţa generală în utilizarea resurselor de apă dulce se poate caracteriza prin creștere în prima parte a intervalului de referință respectiv anii 201</w:t>
      </w:r>
      <w:r>
        <w:rPr>
          <w:rFonts w:ascii="Arial" w:hAnsi="Arial" w:cs="Arial"/>
          <w:sz w:val="24"/>
          <w:szCs w:val="24"/>
        </w:rPr>
        <w:t>1</w:t>
      </w:r>
      <w:r w:rsidRPr="00E92120">
        <w:rPr>
          <w:rFonts w:ascii="Arial" w:hAnsi="Arial" w:cs="Arial"/>
          <w:sz w:val="24"/>
          <w:szCs w:val="24"/>
        </w:rPr>
        <w:t>, 201</w:t>
      </w:r>
      <w:r>
        <w:rPr>
          <w:rFonts w:ascii="Arial" w:hAnsi="Arial" w:cs="Arial"/>
          <w:sz w:val="24"/>
          <w:szCs w:val="24"/>
        </w:rPr>
        <w:t>2</w:t>
      </w:r>
      <w:r w:rsidRPr="00E92120">
        <w:rPr>
          <w:rFonts w:ascii="Arial" w:hAnsi="Arial" w:cs="Arial"/>
          <w:sz w:val="24"/>
          <w:szCs w:val="24"/>
        </w:rPr>
        <w:t>, 201</w:t>
      </w:r>
      <w:r>
        <w:rPr>
          <w:rFonts w:ascii="Arial" w:hAnsi="Arial" w:cs="Arial"/>
          <w:sz w:val="24"/>
          <w:szCs w:val="24"/>
        </w:rPr>
        <w:t>3</w:t>
      </w:r>
      <w:r w:rsidRPr="00E92120">
        <w:rPr>
          <w:rFonts w:ascii="Arial" w:hAnsi="Arial" w:cs="Arial"/>
          <w:sz w:val="24"/>
          <w:szCs w:val="24"/>
        </w:rPr>
        <w:t>. După anul 201</w:t>
      </w:r>
      <w:r>
        <w:rPr>
          <w:rFonts w:ascii="Arial" w:hAnsi="Arial" w:cs="Arial"/>
          <w:sz w:val="24"/>
          <w:szCs w:val="24"/>
        </w:rPr>
        <w:t>3</w:t>
      </w:r>
      <w:r w:rsidR="00EA6509">
        <w:rPr>
          <w:rFonts w:ascii="Arial" w:hAnsi="Arial" w:cs="Arial"/>
          <w:sz w:val="24"/>
          <w:szCs w:val="24"/>
        </w:rPr>
        <w:t>,</w:t>
      </w:r>
      <w:r w:rsidRPr="00E92120">
        <w:rPr>
          <w:rFonts w:ascii="Arial" w:hAnsi="Arial" w:cs="Arial"/>
          <w:sz w:val="24"/>
          <w:szCs w:val="24"/>
        </w:rPr>
        <w:t xml:space="preserve"> tendinţa generală în utilizarea resurselor de apă dulce prezintă un trend de descreștere</w:t>
      </w:r>
      <w:r>
        <w:rPr>
          <w:rFonts w:ascii="Arial" w:hAnsi="Arial" w:cs="Arial"/>
          <w:sz w:val="24"/>
          <w:szCs w:val="24"/>
        </w:rPr>
        <w:t>.</w:t>
      </w:r>
      <w:r w:rsidRPr="00E92120">
        <w:rPr>
          <w:rFonts w:ascii="Arial" w:hAnsi="Arial" w:cs="Arial"/>
          <w:sz w:val="24"/>
          <w:szCs w:val="24"/>
        </w:rPr>
        <w:t xml:space="preserve"> </w:t>
      </w:r>
    </w:p>
    <w:p w:rsidR="007551D0" w:rsidRPr="00E92120" w:rsidRDefault="007551D0" w:rsidP="007551D0">
      <w:pPr>
        <w:pStyle w:val="Default"/>
        <w:rPr>
          <w:rFonts w:ascii="Arial" w:hAnsi="Arial" w:cs="Arial"/>
          <w:b/>
          <w:bCs/>
          <w:color w:val="auto"/>
        </w:rPr>
      </w:pPr>
      <w:r w:rsidRPr="00E92120">
        <w:rPr>
          <w:rFonts w:ascii="Arial" w:hAnsi="Arial" w:cs="Arial"/>
          <w:b/>
          <w:bCs/>
          <w:color w:val="auto"/>
        </w:rPr>
        <w:t xml:space="preserve">       II.1.1.3. Evenimente extreme produse de debitele cursurilor de apă </w:t>
      </w:r>
    </w:p>
    <w:p w:rsidR="007551D0" w:rsidRPr="00E92120" w:rsidRDefault="007551D0" w:rsidP="007551D0">
      <w:pPr>
        <w:pStyle w:val="Default"/>
        <w:tabs>
          <w:tab w:val="left" w:pos="1234"/>
        </w:tabs>
        <w:ind w:firstLine="720"/>
        <w:rPr>
          <w:rFonts w:ascii="Arial" w:hAnsi="Arial" w:cs="Arial"/>
          <w:b/>
          <w:color w:val="auto"/>
        </w:rPr>
      </w:pPr>
    </w:p>
    <w:p w:rsidR="007551D0" w:rsidRDefault="007551D0" w:rsidP="007551D0">
      <w:pPr>
        <w:pStyle w:val="Default"/>
        <w:ind w:firstLine="708"/>
        <w:jc w:val="both"/>
        <w:rPr>
          <w:rFonts w:ascii="Arial" w:hAnsi="Arial" w:cs="Arial"/>
        </w:rPr>
      </w:pPr>
      <w:r w:rsidRPr="00E92120">
        <w:rPr>
          <w:rFonts w:ascii="Arial" w:hAnsi="Arial" w:cs="Arial"/>
        </w:rPr>
        <w:t xml:space="preserve">Apele curgătoare de pe teritoriul judeţului </w:t>
      </w:r>
      <w:r w:rsidR="00217620">
        <w:rPr>
          <w:rFonts w:ascii="Arial" w:hAnsi="Arial" w:cs="Arial"/>
        </w:rPr>
        <w:t>Brăila</w:t>
      </w:r>
      <w:r w:rsidRPr="00E92120">
        <w:rPr>
          <w:rFonts w:ascii="Arial" w:hAnsi="Arial" w:cs="Arial"/>
        </w:rPr>
        <w:t xml:space="preserve">, aparţin urmatoarelor bazine hidrografice: de fluviul Dunărea, râurile Siret, Buzău şi Călmăţui. </w:t>
      </w:r>
    </w:p>
    <w:p w:rsidR="00EA6509" w:rsidRPr="00E92120" w:rsidRDefault="00EA6509" w:rsidP="007551D0">
      <w:pPr>
        <w:pStyle w:val="Default"/>
        <w:ind w:firstLine="708"/>
        <w:jc w:val="both"/>
        <w:rPr>
          <w:rFonts w:ascii="Arial" w:hAnsi="Arial" w:cs="Arial"/>
        </w:rPr>
      </w:pPr>
    </w:p>
    <w:p w:rsidR="007551D0" w:rsidRPr="00E92120" w:rsidRDefault="007551D0" w:rsidP="007551D0">
      <w:pPr>
        <w:pStyle w:val="Default"/>
        <w:jc w:val="both"/>
        <w:rPr>
          <w:rFonts w:ascii="Arial" w:hAnsi="Arial" w:cs="Arial"/>
        </w:rPr>
      </w:pPr>
      <w:r w:rsidRPr="00E92120">
        <w:rPr>
          <w:rFonts w:ascii="Arial" w:hAnsi="Arial" w:cs="Arial"/>
          <w:b/>
          <w:bCs/>
        </w:rPr>
        <w:t xml:space="preserve">1. Bazinul Hidrografic al fluviului Dunărea </w:t>
      </w:r>
    </w:p>
    <w:p w:rsidR="007551D0" w:rsidRPr="00E92120" w:rsidRDefault="007551D0" w:rsidP="007551D0">
      <w:pPr>
        <w:pStyle w:val="Default"/>
        <w:ind w:firstLine="708"/>
        <w:jc w:val="both"/>
        <w:rPr>
          <w:rFonts w:ascii="Arial" w:hAnsi="Arial" w:cs="Arial"/>
        </w:rPr>
      </w:pPr>
      <w:r w:rsidRPr="00E92120">
        <w:rPr>
          <w:rFonts w:ascii="Arial" w:hAnsi="Arial" w:cs="Arial"/>
          <w:b/>
          <w:bCs/>
        </w:rPr>
        <w:t xml:space="preserve">Dunărea </w:t>
      </w:r>
      <w:r w:rsidRPr="00E92120">
        <w:rPr>
          <w:rFonts w:ascii="Arial" w:hAnsi="Arial" w:cs="Arial"/>
        </w:rPr>
        <w:t xml:space="preserve">în cadrul judeţului este reprezentată prin </w:t>
      </w:r>
      <w:r w:rsidR="00672B27">
        <w:rPr>
          <w:rFonts w:ascii="Arial" w:hAnsi="Arial" w:cs="Arial"/>
        </w:rPr>
        <w:t>br</w:t>
      </w:r>
      <w:r w:rsidRPr="00E92120">
        <w:rPr>
          <w:rFonts w:ascii="Arial" w:hAnsi="Arial" w:cs="Arial"/>
        </w:rPr>
        <w:t xml:space="preserve">aţele principale – Cremenea si Măcin (Dunărea Veche) – si </w:t>
      </w:r>
      <w:r w:rsidR="00672B27">
        <w:rPr>
          <w:rFonts w:ascii="Arial" w:hAnsi="Arial" w:cs="Arial"/>
        </w:rPr>
        <w:t>br</w:t>
      </w:r>
      <w:r w:rsidRPr="00E92120">
        <w:rPr>
          <w:rFonts w:ascii="Arial" w:hAnsi="Arial" w:cs="Arial"/>
        </w:rPr>
        <w:t xml:space="preserve">aţele secundare – Vâlciu, Mănusoaia, Pasca, Calia, Arapu – în arealul Bălţii </w:t>
      </w:r>
      <w:r w:rsidR="007C1699">
        <w:rPr>
          <w:rFonts w:ascii="Arial" w:hAnsi="Arial" w:cs="Arial"/>
        </w:rPr>
        <w:t>B</w:t>
      </w:r>
      <w:r w:rsidR="00672B27">
        <w:rPr>
          <w:rFonts w:ascii="Arial" w:hAnsi="Arial" w:cs="Arial"/>
        </w:rPr>
        <w:t>răilei – ș</w:t>
      </w:r>
      <w:r w:rsidRPr="00E92120">
        <w:rPr>
          <w:rFonts w:ascii="Arial" w:hAnsi="Arial" w:cs="Arial"/>
        </w:rPr>
        <w:t xml:space="preserve">i prin Dunărea propriu-zisă din dreptul municipiului </w:t>
      </w:r>
      <w:r w:rsidR="00217620">
        <w:rPr>
          <w:rFonts w:ascii="Arial" w:hAnsi="Arial" w:cs="Arial"/>
        </w:rPr>
        <w:t>Brăila</w:t>
      </w:r>
      <w:r w:rsidRPr="00E92120">
        <w:rPr>
          <w:rFonts w:ascii="Arial" w:hAnsi="Arial" w:cs="Arial"/>
        </w:rPr>
        <w:t xml:space="preserve"> si până la confluenţa cu Siretul. Dunărea Veche sau </w:t>
      </w:r>
      <w:r w:rsidR="00672B27">
        <w:rPr>
          <w:rFonts w:ascii="Arial" w:hAnsi="Arial" w:cs="Arial"/>
        </w:rPr>
        <w:t>br</w:t>
      </w:r>
      <w:r w:rsidRPr="00E92120">
        <w:rPr>
          <w:rFonts w:ascii="Arial" w:hAnsi="Arial" w:cs="Arial"/>
        </w:rPr>
        <w:t xml:space="preserve">aţul Măcin, care formează si limita estică a judeţului, are 96 Km lungime, un coeficient mare de meandrare (1,24) si o lăţime medie de 250 m. Panta mică, ca urmare a gradului mare de meandrare, face ca acest </w:t>
      </w:r>
      <w:r w:rsidR="00672B27">
        <w:rPr>
          <w:rFonts w:ascii="Arial" w:hAnsi="Arial" w:cs="Arial"/>
        </w:rPr>
        <w:t>br</w:t>
      </w:r>
      <w:r w:rsidRPr="00E92120">
        <w:rPr>
          <w:rFonts w:ascii="Arial" w:hAnsi="Arial" w:cs="Arial"/>
        </w:rPr>
        <w:t xml:space="preserve">aţ să transporte o cantitate mică de apă (13%) din debitul total de la Hârsova (5949 m3/s). </w:t>
      </w:r>
    </w:p>
    <w:p w:rsidR="007551D0" w:rsidRPr="00E92120" w:rsidRDefault="00672B27" w:rsidP="007551D0">
      <w:pPr>
        <w:pStyle w:val="Default"/>
        <w:jc w:val="both"/>
        <w:rPr>
          <w:rFonts w:ascii="Arial" w:hAnsi="Arial" w:cs="Arial"/>
        </w:rPr>
      </w:pPr>
      <w:r>
        <w:rPr>
          <w:rFonts w:ascii="Arial" w:hAnsi="Arial" w:cs="Arial"/>
        </w:rPr>
        <w:t>Br</w:t>
      </w:r>
      <w:r w:rsidR="007551D0" w:rsidRPr="00E92120">
        <w:rPr>
          <w:rFonts w:ascii="Arial" w:hAnsi="Arial" w:cs="Arial"/>
        </w:rPr>
        <w:t xml:space="preserve">aţul Cremenea, cel mai important, are o lungime mai mică (70 Km), o pantă de scurgere mai mare si o lăţime medie de 500 m. Dacă caracteristica </w:t>
      </w:r>
      <w:r>
        <w:rPr>
          <w:rFonts w:ascii="Arial" w:hAnsi="Arial" w:cs="Arial"/>
        </w:rPr>
        <w:t>br</w:t>
      </w:r>
      <w:r w:rsidR="007551D0" w:rsidRPr="00E92120">
        <w:rPr>
          <w:rFonts w:ascii="Arial" w:hAnsi="Arial" w:cs="Arial"/>
        </w:rPr>
        <w:t xml:space="preserve">aţului Măcin este gradul de meandrare, cea a </w:t>
      </w:r>
      <w:r>
        <w:rPr>
          <w:rFonts w:ascii="Arial" w:hAnsi="Arial" w:cs="Arial"/>
        </w:rPr>
        <w:t>br</w:t>
      </w:r>
      <w:r w:rsidR="007551D0" w:rsidRPr="00E92120">
        <w:rPr>
          <w:rFonts w:ascii="Arial" w:hAnsi="Arial" w:cs="Arial"/>
        </w:rPr>
        <w:t xml:space="preserve">aţului Cremenea este gradul de despletire. Din </w:t>
      </w:r>
      <w:r>
        <w:rPr>
          <w:rFonts w:ascii="Arial" w:hAnsi="Arial" w:cs="Arial"/>
        </w:rPr>
        <w:t>br</w:t>
      </w:r>
      <w:r w:rsidR="007551D0" w:rsidRPr="00E92120">
        <w:rPr>
          <w:rFonts w:ascii="Arial" w:hAnsi="Arial" w:cs="Arial"/>
        </w:rPr>
        <w:t xml:space="preserve">aţul Măcin (numai la 2 Km de la bifurcaţie) se desprinde </w:t>
      </w:r>
      <w:r>
        <w:rPr>
          <w:rFonts w:ascii="Arial" w:hAnsi="Arial" w:cs="Arial"/>
        </w:rPr>
        <w:t>br</w:t>
      </w:r>
      <w:r w:rsidR="007551D0" w:rsidRPr="00E92120">
        <w:rPr>
          <w:rFonts w:ascii="Arial" w:hAnsi="Arial" w:cs="Arial"/>
        </w:rPr>
        <w:t xml:space="preserve">aţul Vâlciu care se varsă apoi în Cremenea. </w:t>
      </w:r>
    </w:p>
    <w:p w:rsidR="007551D0" w:rsidRPr="00E92120" w:rsidRDefault="007551D0" w:rsidP="007551D0">
      <w:pPr>
        <w:pStyle w:val="Default"/>
        <w:ind w:firstLine="708"/>
        <w:jc w:val="both"/>
        <w:rPr>
          <w:rFonts w:ascii="Arial" w:hAnsi="Arial" w:cs="Arial"/>
        </w:rPr>
      </w:pPr>
      <w:r w:rsidRPr="005211EA">
        <w:rPr>
          <w:rFonts w:ascii="Arial" w:hAnsi="Arial" w:cs="Arial"/>
          <w:b/>
        </w:rPr>
        <w:t>Debitul maxim</w:t>
      </w:r>
      <w:r w:rsidRPr="00E92120">
        <w:rPr>
          <w:rFonts w:ascii="Arial" w:hAnsi="Arial" w:cs="Arial"/>
        </w:rPr>
        <w:t xml:space="preserve"> la asigurarea de 1% a fost estimat pentru Hârsova la 15.080</w:t>
      </w:r>
      <w:r>
        <w:rPr>
          <w:rFonts w:ascii="Arial" w:hAnsi="Arial" w:cs="Arial"/>
        </w:rPr>
        <w:t xml:space="preserve"> </w:t>
      </w:r>
      <w:r w:rsidRPr="00E92120">
        <w:rPr>
          <w:rFonts w:ascii="Arial" w:hAnsi="Arial" w:cs="Arial"/>
        </w:rPr>
        <w:t xml:space="preserve">m3/s si pentru </w:t>
      </w:r>
      <w:r w:rsidR="00217620">
        <w:rPr>
          <w:rFonts w:ascii="Arial" w:hAnsi="Arial" w:cs="Arial"/>
        </w:rPr>
        <w:t>Brăila</w:t>
      </w:r>
      <w:r w:rsidRPr="00E92120">
        <w:rPr>
          <w:rFonts w:ascii="Arial" w:hAnsi="Arial" w:cs="Arial"/>
        </w:rPr>
        <w:t xml:space="preserve"> la 14.620 m3/s.</w:t>
      </w:r>
    </w:p>
    <w:p w:rsidR="007551D0" w:rsidRDefault="007551D0" w:rsidP="007551D0">
      <w:pPr>
        <w:pStyle w:val="Default"/>
        <w:ind w:firstLine="708"/>
        <w:jc w:val="both"/>
        <w:rPr>
          <w:rFonts w:ascii="Arial" w:hAnsi="Arial" w:cs="Arial"/>
        </w:rPr>
      </w:pPr>
      <w:r w:rsidRPr="005211EA">
        <w:rPr>
          <w:rFonts w:ascii="Arial" w:hAnsi="Arial" w:cs="Arial"/>
          <w:b/>
        </w:rPr>
        <w:t>Debitul minim</w:t>
      </w:r>
      <w:r w:rsidRPr="00E92120">
        <w:rPr>
          <w:rFonts w:ascii="Arial" w:hAnsi="Arial" w:cs="Arial"/>
        </w:rPr>
        <w:t xml:space="preserve"> se înregist</w:t>
      </w:r>
      <w:r w:rsidR="00672B27">
        <w:rPr>
          <w:rFonts w:ascii="Arial" w:hAnsi="Arial" w:cs="Arial"/>
        </w:rPr>
        <w:t>rează în două perioade (toamna ș</w:t>
      </w:r>
      <w:r w:rsidRPr="00E92120">
        <w:rPr>
          <w:rFonts w:ascii="Arial" w:hAnsi="Arial" w:cs="Arial"/>
        </w:rPr>
        <w:t xml:space="preserve">i iarna), cel de iarnă fiind mai scăzut faţă de cel de toamnă. La asigurarea de 99,9% la staţia hidrometrică </w:t>
      </w:r>
      <w:r w:rsidR="00217620">
        <w:rPr>
          <w:rFonts w:ascii="Arial" w:hAnsi="Arial" w:cs="Arial"/>
        </w:rPr>
        <w:t>Brăila</w:t>
      </w:r>
      <w:r w:rsidRPr="00E92120">
        <w:rPr>
          <w:rFonts w:ascii="Arial" w:hAnsi="Arial" w:cs="Arial"/>
        </w:rPr>
        <w:t xml:space="preserve"> debitul minim a fost apreciat la 1000 m3/s.</w:t>
      </w:r>
    </w:p>
    <w:p w:rsidR="00EA6509" w:rsidRPr="00E92120" w:rsidRDefault="00EA6509" w:rsidP="007551D0">
      <w:pPr>
        <w:pStyle w:val="Default"/>
        <w:ind w:firstLine="708"/>
        <w:jc w:val="both"/>
        <w:rPr>
          <w:rFonts w:ascii="Arial" w:hAnsi="Arial" w:cs="Arial"/>
        </w:rPr>
      </w:pPr>
    </w:p>
    <w:p w:rsidR="007551D0" w:rsidRPr="00E92120" w:rsidRDefault="007551D0" w:rsidP="007551D0">
      <w:pPr>
        <w:pStyle w:val="Default"/>
        <w:jc w:val="both"/>
        <w:rPr>
          <w:rFonts w:ascii="Arial" w:hAnsi="Arial" w:cs="Arial"/>
        </w:rPr>
      </w:pPr>
      <w:r w:rsidRPr="00E92120">
        <w:rPr>
          <w:rFonts w:ascii="Arial" w:hAnsi="Arial" w:cs="Arial"/>
          <w:b/>
          <w:bCs/>
        </w:rPr>
        <w:t>2. Bazinul Hidrografic al râului Siret</w:t>
      </w:r>
    </w:p>
    <w:p w:rsidR="007551D0" w:rsidRPr="00E92120" w:rsidRDefault="007551D0" w:rsidP="007551D0">
      <w:pPr>
        <w:pStyle w:val="Default"/>
        <w:ind w:firstLine="708"/>
        <w:jc w:val="both"/>
        <w:rPr>
          <w:rFonts w:ascii="Arial" w:hAnsi="Arial" w:cs="Arial"/>
        </w:rPr>
      </w:pPr>
      <w:r w:rsidRPr="00E92120">
        <w:rPr>
          <w:rFonts w:ascii="Arial" w:hAnsi="Arial" w:cs="Arial"/>
          <w:b/>
          <w:bCs/>
        </w:rPr>
        <w:t xml:space="preserve">Siretul </w:t>
      </w:r>
      <w:r w:rsidRPr="00E92120">
        <w:rPr>
          <w:rFonts w:ascii="Arial" w:hAnsi="Arial" w:cs="Arial"/>
        </w:rPr>
        <w:t xml:space="preserve">formează limita dintre judeţele </w:t>
      </w:r>
      <w:r w:rsidR="00217620">
        <w:rPr>
          <w:rFonts w:ascii="Arial" w:hAnsi="Arial" w:cs="Arial"/>
        </w:rPr>
        <w:t>Brăila</w:t>
      </w:r>
      <w:r w:rsidRPr="00E92120">
        <w:rPr>
          <w:rFonts w:ascii="Arial" w:hAnsi="Arial" w:cs="Arial"/>
        </w:rPr>
        <w:t xml:space="preserve"> si Galaţi, între localitatea Corbu Vechi si confluenţa cu Dunărea pe 47,4 Km lungime. În acest sector, pe partea dreaptă, la Voinesti, Siretul primeste apele Buzăului.</w:t>
      </w:r>
    </w:p>
    <w:p w:rsidR="007551D0" w:rsidRPr="00E92120" w:rsidRDefault="007551D0" w:rsidP="007551D0">
      <w:pPr>
        <w:pStyle w:val="Default"/>
        <w:ind w:firstLine="708"/>
        <w:jc w:val="both"/>
        <w:rPr>
          <w:rFonts w:ascii="Arial" w:hAnsi="Arial" w:cs="Arial"/>
        </w:rPr>
      </w:pPr>
      <w:r w:rsidRPr="00E92120">
        <w:rPr>
          <w:rFonts w:ascii="Arial" w:hAnsi="Arial" w:cs="Arial"/>
        </w:rPr>
        <w:t>Faţă de debitul mediu multianual (153 m3/s), analizat la staţia hidrometrică Lungoci, situată în amonte de câţiva kilometri, la vârsarea în Dunăre, debitul maxim este de 4500 m3/s (asigurarea de 1%), iar cel minim de 26 m3/s (asigurarea de 95%).</w:t>
      </w:r>
    </w:p>
    <w:p w:rsidR="007551D0" w:rsidRDefault="007551D0" w:rsidP="007551D0">
      <w:pPr>
        <w:pStyle w:val="Default"/>
        <w:ind w:firstLine="708"/>
        <w:jc w:val="both"/>
        <w:rPr>
          <w:rFonts w:ascii="Arial" w:hAnsi="Arial" w:cs="Arial"/>
        </w:rPr>
      </w:pPr>
      <w:r w:rsidRPr="00E92120">
        <w:rPr>
          <w:rFonts w:ascii="Arial" w:hAnsi="Arial" w:cs="Arial"/>
        </w:rPr>
        <w:t>Minera</w:t>
      </w:r>
      <w:r w:rsidR="00672B27">
        <w:rPr>
          <w:rFonts w:ascii="Arial" w:hAnsi="Arial" w:cs="Arial"/>
        </w:rPr>
        <w:t xml:space="preserve">lizarea apei redusă (375 mg/l) </w:t>
      </w:r>
      <w:r w:rsidRPr="00E92120">
        <w:rPr>
          <w:rFonts w:ascii="Arial" w:hAnsi="Arial" w:cs="Arial"/>
        </w:rPr>
        <w:t>fac</w:t>
      </w:r>
      <w:r w:rsidR="00672B27">
        <w:rPr>
          <w:rFonts w:ascii="Arial" w:hAnsi="Arial" w:cs="Arial"/>
        </w:rPr>
        <w:t>e</w:t>
      </w:r>
      <w:r w:rsidRPr="00E92120">
        <w:rPr>
          <w:rFonts w:ascii="Arial" w:hAnsi="Arial" w:cs="Arial"/>
        </w:rPr>
        <w:t xml:space="preserve"> ca apa din Siret să fie folosită în bune condiţii în irigaţii.</w:t>
      </w:r>
    </w:p>
    <w:p w:rsidR="00EA6509" w:rsidRPr="00E92120" w:rsidRDefault="00EA6509" w:rsidP="007551D0">
      <w:pPr>
        <w:pStyle w:val="Default"/>
        <w:ind w:firstLine="708"/>
        <w:jc w:val="both"/>
        <w:rPr>
          <w:rFonts w:ascii="Arial" w:hAnsi="Arial" w:cs="Arial"/>
        </w:rPr>
      </w:pPr>
    </w:p>
    <w:p w:rsidR="007551D0" w:rsidRPr="00E92120" w:rsidRDefault="007551D0" w:rsidP="007551D0">
      <w:pPr>
        <w:pStyle w:val="Default"/>
        <w:jc w:val="both"/>
        <w:rPr>
          <w:rFonts w:ascii="Arial" w:hAnsi="Arial" w:cs="Arial"/>
        </w:rPr>
      </w:pPr>
      <w:r w:rsidRPr="00E92120">
        <w:rPr>
          <w:rFonts w:ascii="Arial" w:hAnsi="Arial" w:cs="Arial"/>
          <w:b/>
          <w:bCs/>
        </w:rPr>
        <w:lastRenderedPageBreak/>
        <w:t>3. Bazinul Hidrografic al râului Buzău</w:t>
      </w:r>
    </w:p>
    <w:p w:rsidR="007551D0" w:rsidRPr="00E92120" w:rsidRDefault="007551D0" w:rsidP="007551D0">
      <w:pPr>
        <w:pStyle w:val="Default"/>
        <w:ind w:firstLine="708"/>
        <w:jc w:val="both"/>
        <w:rPr>
          <w:rFonts w:ascii="Arial" w:hAnsi="Arial" w:cs="Arial"/>
        </w:rPr>
      </w:pPr>
      <w:r w:rsidRPr="00E92120">
        <w:rPr>
          <w:rFonts w:ascii="Arial" w:hAnsi="Arial" w:cs="Arial"/>
          <w:b/>
          <w:bCs/>
        </w:rPr>
        <w:t xml:space="preserve">Buzăul </w:t>
      </w:r>
      <w:r w:rsidRPr="00E92120">
        <w:rPr>
          <w:rFonts w:ascii="Arial" w:hAnsi="Arial" w:cs="Arial"/>
        </w:rPr>
        <w:t>pe teritoriul judeţului, se desfăsoară pe o l</w:t>
      </w:r>
      <w:r w:rsidR="00607AC2">
        <w:rPr>
          <w:rFonts w:ascii="Arial" w:hAnsi="Arial" w:cs="Arial"/>
        </w:rPr>
        <w:t>ungime de 141 Km, între Făurei ș</w:t>
      </w:r>
      <w:r w:rsidRPr="00E92120">
        <w:rPr>
          <w:rFonts w:ascii="Arial" w:hAnsi="Arial" w:cs="Arial"/>
        </w:rPr>
        <w:t>i confluenţa cu Siretul la Voinesti.</w:t>
      </w:r>
    </w:p>
    <w:p w:rsidR="007551D0" w:rsidRPr="00E92120" w:rsidRDefault="007551D0" w:rsidP="007551D0">
      <w:pPr>
        <w:pStyle w:val="Default"/>
        <w:ind w:firstLine="708"/>
        <w:jc w:val="both"/>
        <w:rPr>
          <w:rFonts w:ascii="Arial" w:hAnsi="Arial" w:cs="Arial"/>
          <w:b/>
          <w:color w:val="auto"/>
        </w:rPr>
      </w:pPr>
      <w:r w:rsidRPr="00E92120">
        <w:rPr>
          <w:rFonts w:ascii="Arial" w:hAnsi="Arial" w:cs="Arial"/>
        </w:rPr>
        <w:t>Buzăul transportă o cantitate redusă de apă la niveluri medii multianuale, respective 25,4 m la staţia hidrometrică Băinţa, situată la 10 Km amonte de limita judeţului</w:t>
      </w:r>
      <w:r>
        <w:rPr>
          <w:rFonts w:ascii="Arial" w:hAnsi="Arial" w:cs="Arial"/>
        </w:rPr>
        <w:t>.</w:t>
      </w:r>
    </w:p>
    <w:p w:rsidR="007551D0" w:rsidRPr="00E92120" w:rsidRDefault="007551D0" w:rsidP="007551D0">
      <w:pPr>
        <w:pStyle w:val="Default"/>
        <w:rPr>
          <w:rFonts w:ascii="Arial" w:hAnsi="Arial" w:cs="Arial"/>
          <w:color w:val="auto"/>
        </w:rPr>
      </w:pPr>
    </w:p>
    <w:p w:rsidR="007551D0" w:rsidRPr="00E92120" w:rsidRDefault="007551D0" w:rsidP="007551D0">
      <w:pPr>
        <w:pStyle w:val="Default"/>
        <w:rPr>
          <w:rFonts w:ascii="Arial" w:hAnsi="Arial" w:cs="Arial"/>
          <w:color w:val="auto"/>
        </w:rPr>
      </w:pPr>
      <w:r w:rsidRPr="00E92120">
        <w:rPr>
          <w:rFonts w:ascii="Arial" w:hAnsi="Arial" w:cs="Arial"/>
          <w:b/>
          <w:bCs/>
          <w:color w:val="auto"/>
        </w:rPr>
        <w:t xml:space="preserve">          II.1.1.4. Schimbări hidromorfologice ale cursurilor de apă </w:t>
      </w:r>
    </w:p>
    <w:p w:rsidR="007551D0" w:rsidRPr="007A7008" w:rsidRDefault="007551D0" w:rsidP="00607AC2">
      <w:pPr>
        <w:pStyle w:val="Default"/>
        <w:ind w:firstLine="567"/>
        <w:jc w:val="both"/>
        <w:rPr>
          <w:rFonts w:ascii="Arial" w:hAnsi="Arial" w:cs="Arial"/>
        </w:rPr>
      </w:pPr>
      <w:r w:rsidRPr="007A7008">
        <w:rPr>
          <w:rFonts w:ascii="Arial" w:hAnsi="Arial" w:cs="Arial"/>
        </w:rPr>
        <w:t xml:space="preserve">Modificările caracteristicilor hidromorfologice ale cursurilor de apă (schimbări ale cursurilor naturale, schimbări ale regimului hidrologic, deteriorarea biodiversităţii acvatice, etc.) sunt rezultatul prezenței presiunilor hidromorfologice care produc un impact asupra stării ecosistemelor acvatice şi pot contribui la neatingerea obiectivelor de mediu ale corpurilor de apă. </w:t>
      </w:r>
    </w:p>
    <w:p w:rsidR="007551D0" w:rsidRDefault="007551D0" w:rsidP="00607AC2">
      <w:pPr>
        <w:spacing w:after="0" w:line="240" w:lineRule="auto"/>
        <w:ind w:firstLine="567"/>
        <w:jc w:val="both"/>
        <w:rPr>
          <w:rFonts w:ascii="Arial" w:eastAsia="Times New Roman" w:hAnsi="Arial" w:cs="Arial"/>
          <w:sz w:val="24"/>
          <w:szCs w:val="24"/>
        </w:rPr>
      </w:pPr>
      <w:r w:rsidRPr="00A772F4">
        <w:rPr>
          <w:rFonts w:ascii="Arial" w:eastAsia="Times New Roman" w:hAnsi="Arial" w:cs="Arial"/>
          <w:sz w:val="24"/>
          <w:szCs w:val="24"/>
        </w:rPr>
        <w:t>Conform Directivei Cadru Apă</w:t>
      </w:r>
      <w:r>
        <w:rPr>
          <w:rFonts w:ascii="Arial" w:eastAsia="Times New Roman" w:hAnsi="Arial" w:cs="Arial"/>
          <w:sz w:val="24"/>
          <w:szCs w:val="24"/>
        </w:rPr>
        <w:t xml:space="preserve"> 2000/60/CE</w:t>
      </w:r>
      <w:r w:rsidRPr="00A772F4">
        <w:rPr>
          <w:rFonts w:ascii="Arial" w:eastAsia="Times New Roman" w:hAnsi="Arial" w:cs="Arial"/>
          <w:sz w:val="24"/>
          <w:szCs w:val="24"/>
        </w:rPr>
        <w:t xml:space="preserve">, corpurile de apă puternic modificate sunt acele corpuri de apă de suprafaţă care datorită „alterărilor fizice” şi-au schimbat substanţial caracterul lor natural. Alterarea trebuie să fie profundă, permanentă şi să afecteze la scară largă. Conform Art. 2.8 din Directiva Cadru a Apei, corpurile de apă artificiale sunt corpurile de apă de suprafaţă create prin activitatea umană. </w:t>
      </w:r>
    </w:p>
    <w:p w:rsidR="007551D0" w:rsidRDefault="007551D0" w:rsidP="00607AC2">
      <w:pPr>
        <w:spacing w:after="0" w:line="240" w:lineRule="auto"/>
        <w:ind w:firstLine="567"/>
        <w:jc w:val="both"/>
        <w:rPr>
          <w:rFonts w:ascii="Arial" w:eastAsia="Times New Roman" w:hAnsi="Arial" w:cs="Arial"/>
          <w:sz w:val="24"/>
          <w:szCs w:val="24"/>
        </w:rPr>
      </w:pPr>
      <w:r w:rsidRPr="00A772F4">
        <w:rPr>
          <w:rFonts w:ascii="Arial" w:eastAsia="Times New Roman" w:hAnsi="Arial" w:cs="Arial"/>
          <w:sz w:val="24"/>
          <w:szCs w:val="24"/>
        </w:rPr>
        <w:t>Corpurile de apă puternic modificate si corpurile de apă artificiale au ca obiectiv atingerea unui „potenţial ecologic bun”, precum şi atingerea „stării chimice bune”.</w:t>
      </w:r>
    </w:p>
    <w:p w:rsidR="007551D0" w:rsidRDefault="007551D0" w:rsidP="00607AC2">
      <w:pPr>
        <w:spacing w:after="0" w:line="240" w:lineRule="auto"/>
        <w:ind w:firstLine="567"/>
        <w:jc w:val="both"/>
        <w:rPr>
          <w:rFonts w:ascii="Arial" w:eastAsia="Times New Roman" w:hAnsi="Arial" w:cs="Arial"/>
          <w:sz w:val="24"/>
          <w:szCs w:val="24"/>
        </w:rPr>
      </w:pPr>
      <w:r w:rsidRPr="00A772F4">
        <w:rPr>
          <w:rFonts w:ascii="Arial" w:eastAsia="Times New Roman" w:hAnsi="Arial" w:cs="Arial"/>
          <w:sz w:val="24"/>
          <w:szCs w:val="24"/>
        </w:rPr>
        <w:t>Un corp de apă a fost încadrat în categoria corpurilor de apă puternic modificate dacă nu este în stare ecologică bună, consecinţă a alterărilor hidromorfologice potențial semnificative, şi a parcurs toate etapele din testul de desemnare, conform cerințelor art. 4.3 al Directivei Cadru Apă.</w:t>
      </w:r>
    </w:p>
    <w:p w:rsidR="007551D0" w:rsidRPr="00050FDE" w:rsidRDefault="007551D0" w:rsidP="00607AC2">
      <w:pPr>
        <w:spacing w:after="0" w:line="240" w:lineRule="auto"/>
        <w:ind w:firstLine="567"/>
        <w:jc w:val="both"/>
        <w:rPr>
          <w:rFonts w:ascii="Arial" w:eastAsia="Times New Roman" w:hAnsi="Arial" w:cs="Arial"/>
          <w:sz w:val="24"/>
          <w:szCs w:val="24"/>
        </w:rPr>
      </w:pPr>
      <w:r w:rsidRPr="00050FDE">
        <w:rPr>
          <w:rFonts w:ascii="Arial" w:eastAsia="Times New Roman" w:hAnsi="Arial" w:cs="Arial"/>
          <w:sz w:val="24"/>
          <w:szCs w:val="24"/>
        </w:rPr>
        <w:t>Construcţiile hidrotehnice cu barare transversală (baraje, stavilare, praguri de fund) întrerup conectivitatea longitudinală a râurilor cu efecte asupra regimului hidrologic, transportului de sedimente, dar mai ales asupra migrării biotei. Lucrările în lungul râului (îndiguirile, lucrări de regularizare şi consolidare maluri) întrerup conectivitatea laterală a corpurilor de apă cu luncile inundabile şi zonele de reproducere ce au ca rezultat deteriorarea stării. Prelevările şi restituţiile semnificative au efecte asupra regimului hidrologic, dar şi asupra biotei.</w:t>
      </w:r>
    </w:p>
    <w:p w:rsidR="007551D0" w:rsidRPr="00E92120" w:rsidRDefault="007551D0" w:rsidP="00607AC2">
      <w:pPr>
        <w:spacing w:after="0" w:line="240" w:lineRule="auto"/>
        <w:ind w:firstLine="567"/>
        <w:jc w:val="both"/>
        <w:rPr>
          <w:rFonts w:ascii="Arial" w:hAnsi="Arial" w:cs="Arial"/>
        </w:rPr>
      </w:pPr>
      <w:r w:rsidRPr="00050FDE">
        <w:rPr>
          <w:rFonts w:ascii="Arial" w:eastAsia="Times New Roman" w:hAnsi="Arial" w:cs="Arial"/>
          <w:sz w:val="24"/>
          <w:szCs w:val="24"/>
        </w:rPr>
        <w:tab/>
        <w:t xml:space="preserve">Astfel, impactul alterărilor hidromorfologice asupra stării corpurilor de apă se poate exprima prin afectarea migrării speciilor de peşti migratori, declinul reproducerii naturale a populaţiilor de peşti, reducerea biodiversităţii şi abundenţei speciilor, precum şi alterarea compoziţiei populaţiilor. </w:t>
      </w:r>
    </w:p>
    <w:p w:rsidR="00EA6509" w:rsidRDefault="007551D0" w:rsidP="007551D0">
      <w:pPr>
        <w:pStyle w:val="Default"/>
        <w:rPr>
          <w:rFonts w:ascii="Arial" w:hAnsi="Arial" w:cs="Arial"/>
          <w:b/>
          <w:bCs/>
          <w:color w:val="auto"/>
        </w:rPr>
      </w:pPr>
      <w:r w:rsidRPr="00E92120">
        <w:rPr>
          <w:rFonts w:ascii="Arial" w:hAnsi="Arial" w:cs="Arial"/>
          <w:b/>
          <w:bCs/>
          <w:color w:val="auto"/>
        </w:rPr>
        <w:t xml:space="preserve"> </w:t>
      </w:r>
    </w:p>
    <w:p w:rsidR="007551D0" w:rsidRPr="00480678" w:rsidRDefault="007551D0" w:rsidP="007551D0">
      <w:pPr>
        <w:pStyle w:val="Default"/>
        <w:rPr>
          <w:rFonts w:ascii="Arial" w:hAnsi="Arial" w:cs="Arial"/>
          <w:b/>
          <w:color w:val="auto"/>
        </w:rPr>
      </w:pPr>
      <w:r w:rsidRPr="00480678">
        <w:rPr>
          <w:rFonts w:ascii="Arial" w:hAnsi="Arial" w:cs="Arial"/>
          <w:b/>
          <w:color w:val="auto"/>
        </w:rPr>
        <w:t xml:space="preserve">Clasificarea corpurilor de apă la nivelul județului </w:t>
      </w:r>
      <w:r w:rsidR="00217620">
        <w:rPr>
          <w:rFonts w:ascii="Arial" w:hAnsi="Arial" w:cs="Arial"/>
          <w:b/>
          <w:color w:val="auto"/>
        </w:rPr>
        <w:t>Brăila</w:t>
      </w:r>
      <w:r w:rsidRPr="00480678">
        <w:rPr>
          <w:rFonts w:ascii="Arial" w:hAnsi="Arial" w:cs="Arial"/>
          <w:b/>
          <w:color w:val="auto"/>
        </w:rPr>
        <w:t xml:space="preserve"> </w:t>
      </w:r>
    </w:p>
    <w:p w:rsidR="007551D0" w:rsidRPr="00E92120" w:rsidRDefault="007551D0" w:rsidP="007551D0">
      <w:pPr>
        <w:pStyle w:val="Default"/>
        <w:ind w:firstLine="708"/>
        <w:jc w:val="both"/>
        <w:rPr>
          <w:rFonts w:ascii="Arial" w:hAnsi="Arial" w:cs="Arial"/>
          <w:color w:val="auto"/>
        </w:rPr>
      </w:pPr>
      <w:r w:rsidRPr="00E92120">
        <w:rPr>
          <w:rFonts w:ascii="Arial" w:hAnsi="Arial" w:cs="Arial"/>
        </w:rPr>
        <w:t xml:space="preserve">Apele curgătoare de </w:t>
      </w:r>
      <w:r>
        <w:rPr>
          <w:rFonts w:ascii="Arial" w:hAnsi="Arial" w:cs="Arial"/>
        </w:rPr>
        <w:t xml:space="preserve">pe teritoriul judeţului </w:t>
      </w:r>
      <w:r w:rsidR="00217620">
        <w:rPr>
          <w:rFonts w:ascii="Arial" w:hAnsi="Arial" w:cs="Arial"/>
        </w:rPr>
        <w:t>Brăila</w:t>
      </w:r>
      <w:r>
        <w:rPr>
          <w:rFonts w:ascii="Arial" w:hAnsi="Arial" w:cs="Arial"/>
        </w:rPr>
        <w:t xml:space="preserve"> sunt reprezentate de </w:t>
      </w:r>
      <w:r w:rsidRPr="00E92120">
        <w:rPr>
          <w:rFonts w:ascii="Arial" w:hAnsi="Arial" w:cs="Arial"/>
        </w:rPr>
        <w:t xml:space="preserve">fluviul Dunărea, râurile Siret, Buzău şi Călmăţui. </w:t>
      </w:r>
      <w:r>
        <w:rPr>
          <w:rFonts w:ascii="Arial" w:hAnsi="Arial" w:cs="Arial"/>
        </w:rPr>
        <w:t xml:space="preserve">Acestea se încadrează în </w:t>
      </w:r>
      <w:r w:rsidRPr="00E92120">
        <w:rPr>
          <w:rFonts w:ascii="Arial" w:hAnsi="Arial" w:cs="Arial"/>
          <w:b/>
          <w:bCs/>
          <w:color w:val="auto"/>
        </w:rPr>
        <w:t>Categori</w:t>
      </w:r>
      <w:r>
        <w:rPr>
          <w:rFonts w:ascii="Arial" w:hAnsi="Arial" w:cs="Arial"/>
          <w:b/>
          <w:bCs/>
          <w:color w:val="auto"/>
        </w:rPr>
        <w:t>a</w:t>
      </w:r>
      <w:r w:rsidRPr="00E92120">
        <w:rPr>
          <w:rFonts w:ascii="Arial" w:hAnsi="Arial" w:cs="Arial"/>
          <w:b/>
          <w:bCs/>
          <w:color w:val="auto"/>
        </w:rPr>
        <w:t xml:space="preserve"> de corpuri de apă</w:t>
      </w:r>
      <w:r>
        <w:rPr>
          <w:rFonts w:ascii="Arial" w:hAnsi="Arial" w:cs="Arial"/>
          <w:b/>
          <w:bCs/>
          <w:color w:val="auto"/>
        </w:rPr>
        <w:t xml:space="preserve"> naturale/cvasinaturale.</w:t>
      </w:r>
    </w:p>
    <w:p w:rsidR="007551D0" w:rsidRPr="00E92120" w:rsidRDefault="007551D0" w:rsidP="00EA6509">
      <w:pPr>
        <w:pStyle w:val="Default"/>
        <w:ind w:firstLine="708"/>
        <w:jc w:val="both"/>
        <w:rPr>
          <w:rFonts w:ascii="Arial" w:hAnsi="Arial" w:cs="Arial"/>
          <w:color w:val="auto"/>
        </w:rPr>
      </w:pPr>
      <w:r w:rsidRPr="00E92120">
        <w:rPr>
          <w:rFonts w:ascii="Arial" w:hAnsi="Arial" w:cs="Arial"/>
          <w:color w:val="auto"/>
        </w:rPr>
        <w:t xml:space="preserve">Nu au existat presiuni  care  să afecteze în mod semnificativ caracteristicile </w:t>
      </w:r>
      <w:r>
        <w:rPr>
          <w:rFonts w:ascii="Arial" w:hAnsi="Arial" w:cs="Arial"/>
          <w:color w:val="auto"/>
        </w:rPr>
        <w:t>h</w:t>
      </w:r>
      <w:r w:rsidRPr="00E92120">
        <w:rPr>
          <w:rFonts w:ascii="Arial" w:hAnsi="Arial" w:cs="Arial"/>
          <w:color w:val="auto"/>
        </w:rPr>
        <w:t xml:space="preserve">idromorfologice ale cursurilor de apă la nivelul județului </w:t>
      </w:r>
      <w:r w:rsidR="00217620">
        <w:rPr>
          <w:rFonts w:ascii="Arial" w:hAnsi="Arial" w:cs="Arial"/>
          <w:color w:val="auto"/>
        </w:rPr>
        <w:t>Brăila</w:t>
      </w:r>
      <w:r w:rsidRPr="00E92120">
        <w:rPr>
          <w:rFonts w:ascii="Arial" w:hAnsi="Arial" w:cs="Arial"/>
          <w:color w:val="auto"/>
        </w:rPr>
        <w:t>, în anul 201</w:t>
      </w:r>
      <w:r>
        <w:rPr>
          <w:rFonts w:ascii="Arial" w:hAnsi="Arial" w:cs="Arial"/>
          <w:color w:val="auto"/>
        </w:rPr>
        <w:t>6</w:t>
      </w:r>
      <w:r w:rsidRPr="00E92120">
        <w:rPr>
          <w:rFonts w:ascii="Arial" w:hAnsi="Arial" w:cs="Arial"/>
          <w:color w:val="auto"/>
        </w:rPr>
        <w:t xml:space="preserve"> și în </w:t>
      </w:r>
      <w:r>
        <w:rPr>
          <w:rFonts w:ascii="Arial" w:hAnsi="Arial" w:cs="Arial"/>
          <w:color w:val="auto"/>
        </w:rPr>
        <w:t>anii anteriori.</w:t>
      </w:r>
      <w:r w:rsidRPr="00E92120">
        <w:rPr>
          <w:rFonts w:ascii="Arial" w:hAnsi="Arial" w:cs="Arial"/>
          <w:color w:val="auto"/>
        </w:rPr>
        <w:t xml:space="preserve">                                     </w:t>
      </w:r>
    </w:p>
    <w:p w:rsidR="0093284E" w:rsidRDefault="0093284E" w:rsidP="007551D0">
      <w:pPr>
        <w:rPr>
          <w:rFonts w:ascii="Arial" w:hAnsi="Arial" w:cs="Arial"/>
          <w:b/>
          <w:bCs/>
          <w:i/>
          <w:iCs/>
          <w:sz w:val="24"/>
          <w:szCs w:val="24"/>
          <w:u w:val="single"/>
        </w:rPr>
      </w:pPr>
    </w:p>
    <w:p w:rsidR="007551D0" w:rsidRDefault="007551D0" w:rsidP="007551D0">
      <w:pPr>
        <w:rPr>
          <w:rFonts w:ascii="Arial" w:hAnsi="Arial" w:cs="Arial"/>
          <w:b/>
          <w:bCs/>
          <w:i/>
          <w:iCs/>
          <w:sz w:val="24"/>
          <w:szCs w:val="24"/>
          <w:u w:val="single"/>
        </w:rPr>
      </w:pPr>
      <w:r w:rsidRPr="00E92120">
        <w:rPr>
          <w:rFonts w:ascii="Arial" w:hAnsi="Arial" w:cs="Arial"/>
          <w:b/>
          <w:bCs/>
          <w:i/>
          <w:iCs/>
          <w:sz w:val="24"/>
          <w:szCs w:val="24"/>
          <w:u w:val="single"/>
        </w:rPr>
        <w:t>II.1.2. Prognoze</w:t>
      </w:r>
    </w:p>
    <w:p w:rsidR="007551D0" w:rsidRDefault="007551D0" w:rsidP="007551D0">
      <w:pPr>
        <w:spacing w:after="120"/>
        <w:ind w:firstLine="709"/>
        <w:jc w:val="both"/>
        <w:rPr>
          <w:rFonts w:ascii="Arial" w:hAnsi="Arial" w:cs="Arial"/>
          <w:b/>
          <w:i/>
          <w:sz w:val="24"/>
          <w:szCs w:val="24"/>
          <w:lang w:val="en-US"/>
        </w:rPr>
      </w:pPr>
      <w:r w:rsidRPr="00C95A7F">
        <w:rPr>
          <w:rFonts w:ascii="Arial" w:hAnsi="Arial" w:cs="Arial"/>
          <w:b/>
          <w:i/>
          <w:sz w:val="26"/>
          <w:szCs w:val="26"/>
          <w:lang w:val="en-US"/>
        </w:rPr>
        <w:t xml:space="preserve">  II.1.2.1 </w:t>
      </w:r>
      <w:r w:rsidRPr="00F43188">
        <w:rPr>
          <w:rFonts w:ascii="Arial" w:hAnsi="Arial" w:cs="Arial"/>
          <w:b/>
          <w:i/>
          <w:sz w:val="24"/>
          <w:szCs w:val="24"/>
          <w:lang w:val="en-US"/>
        </w:rPr>
        <w:t>Disponibilitatea,</w:t>
      </w:r>
      <w:r w:rsidR="00607AC2">
        <w:rPr>
          <w:rFonts w:ascii="Arial" w:hAnsi="Arial" w:cs="Arial"/>
          <w:b/>
          <w:i/>
          <w:sz w:val="24"/>
          <w:szCs w:val="24"/>
          <w:lang w:val="en-US"/>
        </w:rPr>
        <w:t xml:space="preserve"> </w:t>
      </w:r>
      <w:r w:rsidRPr="00F43188">
        <w:rPr>
          <w:rFonts w:ascii="Arial" w:hAnsi="Arial" w:cs="Arial"/>
          <w:b/>
          <w:i/>
          <w:sz w:val="24"/>
          <w:szCs w:val="24"/>
          <w:lang w:val="en-US"/>
        </w:rPr>
        <w:t xml:space="preserve">cererea și deficitul resurselor de apă </w:t>
      </w:r>
    </w:p>
    <w:p w:rsidR="007551D0" w:rsidRPr="00C95A7F" w:rsidRDefault="007551D0" w:rsidP="007551D0">
      <w:pPr>
        <w:spacing w:after="120"/>
        <w:ind w:firstLine="709"/>
        <w:jc w:val="both"/>
        <w:rPr>
          <w:rFonts w:ascii="Arial" w:hAnsi="Arial" w:cs="Arial"/>
          <w:b/>
          <w:i/>
          <w:sz w:val="24"/>
          <w:szCs w:val="24"/>
          <w:lang w:val="en-US"/>
        </w:rPr>
      </w:pPr>
      <w:r w:rsidRPr="00F43188">
        <w:rPr>
          <w:rFonts w:ascii="Arial" w:hAnsi="Arial" w:cs="Arial"/>
          <w:b/>
          <w:i/>
          <w:sz w:val="24"/>
          <w:szCs w:val="24"/>
          <w:lang w:val="en-US"/>
        </w:rPr>
        <w:t>Disponibilitatea resurselor de apă actuală</w:t>
      </w:r>
    </w:p>
    <w:p w:rsidR="007551D0" w:rsidRPr="007105A2" w:rsidRDefault="007551D0" w:rsidP="00607AC2">
      <w:pPr>
        <w:pStyle w:val="BodyTextIndent"/>
        <w:spacing w:after="0" w:line="240" w:lineRule="auto"/>
        <w:ind w:left="0" w:firstLine="709"/>
        <w:jc w:val="both"/>
        <w:rPr>
          <w:rFonts w:ascii="Arial" w:hAnsi="Arial" w:cs="Arial"/>
          <w:sz w:val="24"/>
          <w:szCs w:val="24"/>
          <w:lang w:val="ro-RO"/>
        </w:rPr>
      </w:pPr>
      <w:r w:rsidRPr="007105A2">
        <w:rPr>
          <w:rFonts w:ascii="Arial" w:hAnsi="Arial" w:cs="Arial"/>
          <w:sz w:val="24"/>
          <w:szCs w:val="24"/>
          <w:lang w:val="ro-RO"/>
        </w:rPr>
        <w:t xml:space="preserve">Pentru a determina disponibilitatea resurselor de apă pe bazine hidrografice se face calculul resursei medii de apă (în regim natural și amenajat) pentru perioade caracteristice, în cazul de faţă 1991-2016. </w:t>
      </w:r>
    </w:p>
    <w:p w:rsidR="007551D0" w:rsidRPr="007105A2" w:rsidRDefault="007551D0" w:rsidP="00607AC2">
      <w:pPr>
        <w:pStyle w:val="BodyTextIndent"/>
        <w:spacing w:after="0" w:line="240" w:lineRule="auto"/>
        <w:ind w:left="0" w:firstLine="709"/>
        <w:jc w:val="both"/>
        <w:rPr>
          <w:rFonts w:ascii="Arial" w:hAnsi="Arial" w:cs="Arial"/>
          <w:sz w:val="24"/>
          <w:szCs w:val="24"/>
          <w:lang w:val="ro-RO"/>
        </w:rPr>
      </w:pPr>
      <w:r w:rsidRPr="007105A2">
        <w:rPr>
          <w:rFonts w:ascii="Arial" w:hAnsi="Arial" w:cs="Arial"/>
          <w:sz w:val="24"/>
          <w:szCs w:val="24"/>
          <w:lang w:val="ro-RO"/>
        </w:rPr>
        <w:lastRenderedPageBreak/>
        <w:t>Scurgerea medie, utilă în gestiunea resurselor de apă, oferă informații asupra potențialului resurselor de apă dintr-un bazin hidrografic, reprezentând cel mai general indicator al acestora.</w:t>
      </w:r>
    </w:p>
    <w:p w:rsidR="007551D0" w:rsidRPr="007105A2" w:rsidRDefault="007551D0" w:rsidP="00607AC2">
      <w:pPr>
        <w:pStyle w:val="BodyTextIndent"/>
        <w:spacing w:after="0" w:line="240" w:lineRule="auto"/>
        <w:ind w:left="0" w:firstLine="709"/>
        <w:jc w:val="both"/>
        <w:rPr>
          <w:rFonts w:ascii="Arial" w:hAnsi="Arial" w:cs="Arial"/>
          <w:sz w:val="24"/>
          <w:szCs w:val="24"/>
          <w:lang w:val="ro-RO"/>
        </w:rPr>
      </w:pPr>
      <w:r w:rsidRPr="007105A2">
        <w:rPr>
          <w:rFonts w:ascii="Arial" w:hAnsi="Arial" w:cs="Arial"/>
          <w:sz w:val="24"/>
          <w:szCs w:val="24"/>
          <w:lang w:val="ro-RO"/>
        </w:rPr>
        <w:t xml:space="preserve">În evaluarea resurselor de apă ale râurilor este necesară cunoașterea caracteristicilor scurgerii medii pe o perioadă lungă de timp (peste 20 de ani) care pot fi exprimate sub forma următorilor parametrii: </w:t>
      </w:r>
      <w:r w:rsidRPr="007105A2">
        <w:rPr>
          <w:rFonts w:ascii="Arial" w:hAnsi="Arial" w:cs="Arial"/>
          <w:i/>
          <w:sz w:val="24"/>
          <w:szCs w:val="24"/>
          <w:lang w:val="ro-RO"/>
        </w:rPr>
        <w:t>debitul lichid</w:t>
      </w:r>
      <w:r w:rsidRPr="007105A2">
        <w:rPr>
          <w:rFonts w:ascii="Arial" w:hAnsi="Arial" w:cs="Arial"/>
          <w:sz w:val="24"/>
          <w:szCs w:val="24"/>
          <w:lang w:val="ro-RO"/>
        </w:rPr>
        <w:t xml:space="preserve"> (</w:t>
      </w:r>
      <m:oMath>
        <m:acc>
          <m:accPr>
            <m:chr m:val="̅"/>
            <m:ctrlPr>
              <w:rPr>
                <w:rFonts w:ascii="Cambria Math" w:hAnsi="Arial" w:cs="Arial"/>
                <w:i/>
                <w:sz w:val="24"/>
                <w:szCs w:val="24"/>
                <w:lang w:val="ro-RO"/>
              </w:rPr>
            </m:ctrlPr>
          </m:accPr>
          <m:e>
            <m:r>
              <w:rPr>
                <w:rFonts w:ascii="Cambria Math" w:hAnsi="Cambria Math" w:cs="Arial"/>
                <w:sz w:val="24"/>
                <w:szCs w:val="24"/>
                <w:lang w:val="ro-RO"/>
              </w:rPr>
              <m:t>Q</m:t>
            </m:r>
          </m:e>
        </m:acc>
      </m:oMath>
      <w:r w:rsidRPr="007105A2">
        <w:rPr>
          <w:rFonts w:ascii="Arial" w:hAnsi="Arial" w:cs="Arial"/>
          <w:sz w:val="24"/>
          <w:szCs w:val="24"/>
          <w:lang w:val="ro-RO"/>
        </w:rPr>
        <w:t>, m</w:t>
      </w:r>
      <w:r w:rsidRPr="007105A2">
        <w:rPr>
          <w:rFonts w:ascii="Arial" w:hAnsi="Arial" w:cs="Arial"/>
          <w:sz w:val="24"/>
          <w:szCs w:val="24"/>
          <w:vertAlign w:val="superscript"/>
          <w:lang w:val="ro-RO"/>
        </w:rPr>
        <w:t>3</w:t>
      </w:r>
      <w:r w:rsidRPr="007105A2">
        <w:rPr>
          <w:rFonts w:ascii="Arial" w:hAnsi="Arial" w:cs="Arial"/>
          <w:sz w:val="24"/>
          <w:szCs w:val="24"/>
          <w:lang w:val="ro-RO"/>
        </w:rPr>
        <w:t xml:space="preserve">/s), </w:t>
      </w:r>
      <w:r w:rsidRPr="007105A2">
        <w:rPr>
          <w:rFonts w:ascii="Arial" w:hAnsi="Arial" w:cs="Arial"/>
          <w:i/>
          <w:sz w:val="24"/>
          <w:szCs w:val="24"/>
          <w:lang w:val="ro-RO"/>
        </w:rPr>
        <w:t>debitul de apă mediu specific</w:t>
      </w:r>
      <w:r w:rsidRPr="007105A2">
        <w:rPr>
          <w:rFonts w:ascii="Arial" w:hAnsi="Arial" w:cs="Arial"/>
          <w:sz w:val="24"/>
          <w:szCs w:val="24"/>
          <w:lang w:val="ro-RO"/>
        </w:rPr>
        <w:t xml:space="preserve"> (</w:t>
      </w:r>
      <m:oMath>
        <m:acc>
          <m:accPr>
            <m:chr m:val="̅"/>
            <m:ctrlPr>
              <w:rPr>
                <w:rFonts w:ascii="Cambria Math" w:hAnsi="Arial" w:cs="Arial"/>
                <w:i/>
                <w:sz w:val="24"/>
                <w:szCs w:val="24"/>
                <w:lang w:val="ro-RO"/>
              </w:rPr>
            </m:ctrlPr>
          </m:accPr>
          <m:e>
            <m:r>
              <w:rPr>
                <w:rFonts w:ascii="Cambria Math" w:hAnsi="Cambria Math" w:cs="Arial"/>
                <w:sz w:val="24"/>
                <w:szCs w:val="24"/>
                <w:lang w:val="ro-RO"/>
              </w:rPr>
              <m:t>q</m:t>
            </m:r>
          </m:e>
        </m:acc>
      </m:oMath>
      <w:r w:rsidRPr="007105A2">
        <w:rPr>
          <w:rFonts w:ascii="Arial" w:hAnsi="Arial" w:cs="Arial"/>
          <w:sz w:val="24"/>
          <w:szCs w:val="24"/>
          <w:lang w:val="ro-RO"/>
        </w:rPr>
        <w:t>, l/s/km</w:t>
      </w:r>
      <w:r w:rsidRPr="007105A2">
        <w:rPr>
          <w:rFonts w:ascii="Arial" w:hAnsi="Arial" w:cs="Arial"/>
          <w:sz w:val="24"/>
          <w:szCs w:val="24"/>
          <w:vertAlign w:val="superscript"/>
          <w:lang w:val="ro-RO"/>
        </w:rPr>
        <w:t>2</w:t>
      </w:r>
      <w:r w:rsidRPr="007105A2">
        <w:rPr>
          <w:rFonts w:ascii="Arial" w:hAnsi="Arial" w:cs="Arial"/>
          <w:sz w:val="24"/>
          <w:szCs w:val="24"/>
          <w:lang w:val="ro-RO"/>
        </w:rPr>
        <w:t xml:space="preserve">), </w:t>
      </w:r>
      <w:r w:rsidRPr="007105A2">
        <w:rPr>
          <w:rFonts w:ascii="Arial" w:hAnsi="Arial" w:cs="Arial"/>
          <w:i/>
          <w:sz w:val="24"/>
          <w:szCs w:val="24"/>
          <w:lang w:val="ro-RO"/>
        </w:rPr>
        <w:t xml:space="preserve">volumul scurgerii medii </w:t>
      </w:r>
      <w:r w:rsidRPr="007105A2">
        <w:rPr>
          <w:rFonts w:ascii="Arial" w:hAnsi="Arial" w:cs="Arial"/>
          <w:sz w:val="24"/>
          <w:szCs w:val="24"/>
          <w:lang w:val="ro-RO"/>
        </w:rPr>
        <w:t>(W, mil.m</w:t>
      </w:r>
      <w:r w:rsidRPr="007105A2">
        <w:rPr>
          <w:rFonts w:ascii="Arial" w:hAnsi="Arial" w:cs="Arial"/>
          <w:sz w:val="24"/>
          <w:szCs w:val="24"/>
          <w:vertAlign w:val="superscript"/>
          <w:lang w:val="ro-RO"/>
        </w:rPr>
        <w:t>3</w:t>
      </w:r>
      <w:r w:rsidRPr="007105A2">
        <w:rPr>
          <w:rFonts w:ascii="Arial" w:hAnsi="Arial" w:cs="Arial"/>
          <w:sz w:val="24"/>
          <w:szCs w:val="24"/>
          <w:lang w:val="ro-RO"/>
        </w:rPr>
        <w:t xml:space="preserve">) și </w:t>
      </w:r>
      <w:r w:rsidRPr="007105A2">
        <w:rPr>
          <w:rFonts w:ascii="Arial" w:hAnsi="Arial" w:cs="Arial"/>
          <w:i/>
          <w:sz w:val="24"/>
          <w:szCs w:val="24"/>
          <w:lang w:val="ro-RO"/>
        </w:rPr>
        <w:t>stratul scurs</w:t>
      </w:r>
      <w:r w:rsidRPr="007105A2">
        <w:rPr>
          <w:rFonts w:ascii="Arial" w:hAnsi="Arial" w:cs="Arial"/>
          <w:sz w:val="24"/>
          <w:szCs w:val="24"/>
          <w:lang w:val="ro-RO"/>
        </w:rPr>
        <w:t xml:space="preserve"> (h, mm).</w:t>
      </w:r>
    </w:p>
    <w:p w:rsidR="007551D0" w:rsidRPr="007105A2" w:rsidRDefault="007551D0" w:rsidP="00607AC2">
      <w:pPr>
        <w:pStyle w:val="BodyTextIndent"/>
        <w:spacing w:after="0" w:line="240" w:lineRule="auto"/>
        <w:ind w:left="0" w:firstLine="709"/>
        <w:jc w:val="both"/>
        <w:rPr>
          <w:rFonts w:ascii="Arial" w:hAnsi="Arial" w:cs="Arial"/>
          <w:sz w:val="24"/>
          <w:szCs w:val="24"/>
          <w:lang w:val="ro-RO"/>
        </w:rPr>
      </w:pPr>
      <w:r w:rsidRPr="007105A2">
        <w:rPr>
          <w:rFonts w:ascii="Arial" w:hAnsi="Arial" w:cs="Arial"/>
          <w:sz w:val="24"/>
          <w:szCs w:val="24"/>
          <w:lang w:val="ro-RO"/>
        </w:rPr>
        <w:t xml:space="preserve">Analiza s-a făcut pe baza debitului mediu și a volumului scurgerii medii lunare și anuale. </w:t>
      </w:r>
      <w:r w:rsidRPr="007105A2">
        <w:rPr>
          <w:rFonts w:ascii="Arial" w:hAnsi="Arial" w:cs="Arial"/>
          <w:i/>
          <w:sz w:val="24"/>
          <w:szCs w:val="24"/>
          <w:lang w:val="ro-RO"/>
        </w:rPr>
        <w:t>Volumul de apă mediu</w:t>
      </w:r>
      <w:r w:rsidRPr="007105A2">
        <w:rPr>
          <w:rFonts w:ascii="Arial" w:hAnsi="Arial" w:cs="Arial"/>
          <w:sz w:val="24"/>
          <w:szCs w:val="24"/>
          <w:lang w:val="ro-RO"/>
        </w:rPr>
        <w:t xml:space="preserve"> sau </w:t>
      </w:r>
      <w:r w:rsidRPr="007105A2">
        <w:rPr>
          <w:rFonts w:ascii="Arial" w:hAnsi="Arial" w:cs="Arial"/>
          <w:i/>
          <w:sz w:val="24"/>
          <w:szCs w:val="24"/>
          <w:lang w:val="ro-RO"/>
        </w:rPr>
        <w:t>resursa de apă medie</w:t>
      </w:r>
      <w:r w:rsidRPr="007105A2">
        <w:rPr>
          <w:rFonts w:ascii="Arial" w:hAnsi="Arial" w:cs="Arial"/>
          <w:sz w:val="24"/>
          <w:szCs w:val="24"/>
          <w:lang w:val="ro-RO"/>
        </w:rPr>
        <w:t xml:space="preserve"> sau </w:t>
      </w:r>
      <w:r w:rsidRPr="007105A2">
        <w:rPr>
          <w:rFonts w:ascii="Arial" w:hAnsi="Arial" w:cs="Arial"/>
          <w:i/>
          <w:sz w:val="24"/>
          <w:szCs w:val="24"/>
          <w:lang w:val="ro-RO"/>
        </w:rPr>
        <w:t>stocul mediu</w:t>
      </w:r>
      <w:r w:rsidRPr="007105A2">
        <w:rPr>
          <w:rFonts w:ascii="Arial" w:hAnsi="Arial" w:cs="Arial"/>
          <w:sz w:val="24"/>
          <w:szCs w:val="24"/>
          <w:lang w:val="ro-RO"/>
        </w:rPr>
        <w:t xml:space="preserve"> reprezintă cantitatea de apă transportată de râu într-o anumită perioadă de timp.</w:t>
      </w:r>
    </w:p>
    <w:p w:rsidR="007551D0" w:rsidRPr="007105A2" w:rsidRDefault="007551D0" w:rsidP="00607AC2">
      <w:pPr>
        <w:pStyle w:val="BodyTextIndent"/>
        <w:spacing w:after="0" w:line="240" w:lineRule="auto"/>
        <w:ind w:left="0" w:firstLine="709"/>
        <w:jc w:val="both"/>
        <w:rPr>
          <w:rFonts w:ascii="Arial" w:hAnsi="Arial" w:cs="Arial"/>
          <w:sz w:val="24"/>
          <w:szCs w:val="24"/>
          <w:lang w:val="ro-RO"/>
        </w:rPr>
      </w:pPr>
      <w:r w:rsidRPr="007105A2">
        <w:rPr>
          <w:rFonts w:ascii="Arial" w:hAnsi="Arial" w:cs="Arial"/>
          <w:sz w:val="24"/>
          <w:szCs w:val="24"/>
          <w:lang w:val="ro-RO"/>
        </w:rPr>
        <w:t>Datele au fost calculate atât în ipoteza regimului natural cât și influențat (amenajat) de curgere în vederea identificării diferențelor dintre cele două tipuri de regim.</w:t>
      </w:r>
    </w:p>
    <w:p w:rsidR="007551D0" w:rsidRDefault="007551D0" w:rsidP="00607AC2">
      <w:pPr>
        <w:spacing w:after="0" w:line="240" w:lineRule="auto"/>
        <w:ind w:firstLine="709"/>
        <w:jc w:val="both"/>
        <w:rPr>
          <w:rFonts w:ascii="Arial" w:hAnsi="Arial" w:cs="Arial"/>
          <w:sz w:val="24"/>
          <w:szCs w:val="24"/>
        </w:rPr>
      </w:pPr>
      <w:r w:rsidRPr="00EA6509">
        <w:rPr>
          <w:rFonts w:ascii="Arial" w:hAnsi="Arial" w:cs="Arial"/>
          <w:sz w:val="24"/>
          <w:szCs w:val="24"/>
        </w:rPr>
        <w:t>În tabelul nr. II.1.2.1.1</w:t>
      </w:r>
      <w:r w:rsidRPr="007105A2">
        <w:rPr>
          <w:rFonts w:ascii="Arial" w:hAnsi="Arial" w:cs="Arial"/>
          <w:sz w:val="24"/>
          <w:szCs w:val="24"/>
        </w:rPr>
        <w:t xml:space="preserve"> este prezentată resursa naturală (RN) și în regim amenajat  (actuala-RA) corespunzătoare pentru perioada 1991-2016 pentru principalele bazine hidrografice.</w:t>
      </w:r>
    </w:p>
    <w:p w:rsidR="007551D0" w:rsidRPr="00607AC2" w:rsidRDefault="007551D0" w:rsidP="007551D0">
      <w:pPr>
        <w:spacing w:before="120" w:after="0"/>
        <w:jc w:val="center"/>
        <w:rPr>
          <w:rFonts w:ascii="Arial" w:hAnsi="Arial" w:cs="Arial"/>
          <w:sz w:val="24"/>
          <w:szCs w:val="24"/>
        </w:rPr>
      </w:pPr>
      <w:r w:rsidRPr="00607AC2">
        <w:rPr>
          <w:rFonts w:ascii="Arial" w:hAnsi="Arial" w:cs="Arial"/>
          <w:sz w:val="24"/>
          <w:szCs w:val="24"/>
        </w:rPr>
        <w:t>Tabel nr. II.1.2.1.1 Resursa de apă naturală și în regim amenajat la nivel național</w:t>
      </w:r>
    </w:p>
    <w:tbl>
      <w:tblPr>
        <w:tblW w:w="0" w:type="auto"/>
        <w:jc w:val="center"/>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0"/>
        <w:gridCol w:w="859"/>
        <w:gridCol w:w="833"/>
      </w:tblGrid>
      <w:tr w:rsidR="007551D0" w:rsidRPr="00C95A7F" w:rsidTr="00A54188">
        <w:trPr>
          <w:jc w:val="center"/>
        </w:trPr>
        <w:tc>
          <w:tcPr>
            <w:tcW w:w="3110" w:type="dxa"/>
            <w:vMerge w:val="restart"/>
            <w:shd w:val="clear" w:color="auto" w:fill="F79646"/>
            <w:vAlign w:val="center"/>
          </w:tcPr>
          <w:p w:rsidR="007551D0" w:rsidRPr="00A54188" w:rsidRDefault="007551D0" w:rsidP="00DB2B5E">
            <w:pPr>
              <w:spacing w:before="40" w:after="40" w:line="240" w:lineRule="auto"/>
              <w:jc w:val="center"/>
              <w:rPr>
                <w:rFonts w:ascii="Arial" w:hAnsi="Arial" w:cs="Arial"/>
              </w:rPr>
            </w:pPr>
            <w:r w:rsidRPr="00A54188">
              <w:rPr>
                <w:rFonts w:ascii="Arial" w:hAnsi="Arial" w:cs="Arial"/>
              </w:rPr>
              <w:t>Bazinul hidrografic</w:t>
            </w:r>
          </w:p>
        </w:tc>
        <w:tc>
          <w:tcPr>
            <w:tcW w:w="1692" w:type="dxa"/>
            <w:gridSpan w:val="2"/>
            <w:shd w:val="clear" w:color="auto" w:fill="F79646"/>
          </w:tcPr>
          <w:p w:rsidR="007551D0" w:rsidRPr="00A54188" w:rsidRDefault="007551D0" w:rsidP="00DB2B5E">
            <w:pPr>
              <w:spacing w:before="40" w:after="40" w:line="240" w:lineRule="auto"/>
              <w:jc w:val="center"/>
              <w:rPr>
                <w:rFonts w:ascii="Arial" w:hAnsi="Arial" w:cs="Arial"/>
                <w:lang w:val="fr-BE"/>
              </w:rPr>
            </w:pPr>
            <w:r w:rsidRPr="00A54188">
              <w:rPr>
                <w:rFonts w:ascii="Arial" w:hAnsi="Arial" w:cs="Arial"/>
                <w:lang w:val="fr-BE"/>
              </w:rPr>
              <w:t xml:space="preserve">Resursa de apă </w:t>
            </w:r>
          </w:p>
          <w:p w:rsidR="007551D0" w:rsidRPr="00A54188" w:rsidRDefault="007551D0" w:rsidP="00DB2B5E">
            <w:pPr>
              <w:spacing w:before="40" w:after="40" w:line="240" w:lineRule="auto"/>
              <w:jc w:val="center"/>
              <w:rPr>
                <w:rFonts w:ascii="Arial" w:hAnsi="Arial" w:cs="Arial"/>
                <w:lang w:val="fr-BE"/>
              </w:rPr>
            </w:pPr>
            <w:r w:rsidRPr="00A54188">
              <w:rPr>
                <w:rFonts w:ascii="Arial" w:hAnsi="Arial" w:cs="Arial"/>
                <w:lang w:val="fr-BE"/>
              </w:rPr>
              <w:t>(mil.mc)</w:t>
            </w:r>
          </w:p>
        </w:tc>
      </w:tr>
      <w:tr w:rsidR="007551D0" w:rsidRPr="00C95A7F" w:rsidTr="00A54188">
        <w:trPr>
          <w:jc w:val="center"/>
        </w:trPr>
        <w:tc>
          <w:tcPr>
            <w:tcW w:w="3110" w:type="dxa"/>
            <w:vMerge/>
            <w:shd w:val="clear" w:color="auto" w:fill="F79646"/>
          </w:tcPr>
          <w:p w:rsidR="007551D0" w:rsidRPr="00A54188" w:rsidRDefault="007551D0" w:rsidP="00DB2B5E">
            <w:pPr>
              <w:spacing w:before="40" w:after="40" w:line="240" w:lineRule="auto"/>
              <w:jc w:val="center"/>
              <w:rPr>
                <w:rFonts w:ascii="Arial" w:hAnsi="Arial" w:cs="Arial"/>
                <w:lang w:val="fr-BE"/>
              </w:rPr>
            </w:pPr>
          </w:p>
        </w:tc>
        <w:tc>
          <w:tcPr>
            <w:tcW w:w="859" w:type="dxa"/>
            <w:shd w:val="clear" w:color="auto" w:fill="F79646"/>
          </w:tcPr>
          <w:p w:rsidR="007551D0" w:rsidRPr="00A54188" w:rsidRDefault="007551D0" w:rsidP="00DB2B5E">
            <w:pPr>
              <w:spacing w:before="40" w:after="40" w:line="240" w:lineRule="auto"/>
              <w:jc w:val="center"/>
              <w:rPr>
                <w:rFonts w:ascii="Arial" w:hAnsi="Arial" w:cs="Arial"/>
              </w:rPr>
            </w:pPr>
            <w:r w:rsidRPr="00A54188">
              <w:rPr>
                <w:rFonts w:ascii="Arial" w:hAnsi="Arial" w:cs="Arial"/>
              </w:rPr>
              <w:t>RN</w:t>
            </w:r>
          </w:p>
        </w:tc>
        <w:tc>
          <w:tcPr>
            <w:tcW w:w="833" w:type="dxa"/>
            <w:shd w:val="clear" w:color="auto" w:fill="F79646"/>
          </w:tcPr>
          <w:p w:rsidR="007551D0" w:rsidRPr="00A54188" w:rsidRDefault="007551D0" w:rsidP="00DB2B5E">
            <w:pPr>
              <w:spacing w:before="40" w:after="40" w:line="240" w:lineRule="auto"/>
              <w:jc w:val="center"/>
              <w:rPr>
                <w:rFonts w:ascii="Arial" w:hAnsi="Arial" w:cs="Arial"/>
              </w:rPr>
            </w:pPr>
            <w:r w:rsidRPr="00A54188">
              <w:rPr>
                <w:rFonts w:ascii="Arial" w:hAnsi="Arial" w:cs="Arial"/>
              </w:rPr>
              <w:t>RA</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Tisa</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2397</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2379</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Someş</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4244</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4265</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Crișuri</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2811</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2709</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Mureș</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5809</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5667</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Bega – Timiș - Caraș</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2386</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2339</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Nera – Cerna</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1211</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1008</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Jiu</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2064</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2089</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Olt</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3712</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3585</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Vedea</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335</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339</w:t>
            </w:r>
          </w:p>
        </w:tc>
      </w:tr>
      <w:tr w:rsidR="007551D0" w:rsidRPr="00C95A7F" w:rsidTr="00A54188">
        <w:trPr>
          <w:jc w:val="center"/>
        </w:trPr>
        <w:tc>
          <w:tcPr>
            <w:tcW w:w="3110" w:type="dxa"/>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Argeș</w:t>
            </w:r>
          </w:p>
        </w:tc>
        <w:tc>
          <w:tcPr>
            <w:tcW w:w="859"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2363</w:t>
            </w:r>
          </w:p>
        </w:tc>
        <w:tc>
          <w:tcPr>
            <w:tcW w:w="833" w:type="dxa"/>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2097</w:t>
            </w:r>
          </w:p>
        </w:tc>
      </w:tr>
      <w:tr w:rsidR="007551D0" w:rsidRPr="00C95A7F" w:rsidTr="00A54188">
        <w:trPr>
          <w:jc w:val="center"/>
        </w:trPr>
        <w:tc>
          <w:tcPr>
            <w:tcW w:w="31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Ialomița</w:t>
            </w:r>
          </w:p>
        </w:tc>
        <w:tc>
          <w:tcPr>
            <w:tcW w:w="8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1325</w:t>
            </w:r>
          </w:p>
        </w:tc>
        <w:tc>
          <w:tcPr>
            <w:tcW w:w="8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1177</w:t>
            </w:r>
          </w:p>
        </w:tc>
      </w:tr>
      <w:tr w:rsidR="007551D0" w:rsidRPr="00C95A7F" w:rsidTr="00A54188">
        <w:trPr>
          <w:jc w:val="center"/>
        </w:trPr>
        <w:tc>
          <w:tcPr>
            <w:tcW w:w="31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Dunărea</w:t>
            </w:r>
          </w:p>
        </w:tc>
        <w:tc>
          <w:tcPr>
            <w:tcW w:w="8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846</w:t>
            </w:r>
          </w:p>
        </w:tc>
        <w:tc>
          <w:tcPr>
            <w:tcW w:w="8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846</w:t>
            </w:r>
          </w:p>
        </w:tc>
      </w:tr>
      <w:tr w:rsidR="007551D0" w:rsidRPr="00C95A7F" w:rsidTr="00A54188">
        <w:trPr>
          <w:jc w:val="center"/>
        </w:trPr>
        <w:tc>
          <w:tcPr>
            <w:tcW w:w="31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Siret</w:t>
            </w:r>
          </w:p>
        </w:tc>
        <w:tc>
          <w:tcPr>
            <w:tcW w:w="8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7901</w:t>
            </w:r>
          </w:p>
        </w:tc>
        <w:tc>
          <w:tcPr>
            <w:tcW w:w="8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7366</w:t>
            </w:r>
          </w:p>
        </w:tc>
      </w:tr>
      <w:tr w:rsidR="007551D0" w:rsidRPr="00C95A7F" w:rsidTr="00A54188">
        <w:trPr>
          <w:jc w:val="center"/>
        </w:trPr>
        <w:tc>
          <w:tcPr>
            <w:tcW w:w="31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Prut</w:t>
            </w:r>
          </w:p>
        </w:tc>
        <w:tc>
          <w:tcPr>
            <w:tcW w:w="8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550</w:t>
            </w:r>
          </w:p>
        </w:tc>
        <w:tc>
          <w:tcPr>
            <w:tcW w:w="8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591</w:t>
            </w:r>
          </w:p>
        </w:tc>
      </w:tr>
      <w:tr w:rsidR="007551D0" w:rsidRPr="00C95A7F" w:rsidTr="00A54188">
        <w:trPr>
          <w:jc w:val="center"/>
        </w:trPr>
        <w:tc>
          <w:tcPr>
            <w:tcW w:w="31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Do</w:t>
            </w:r>
            <w:r w:rsidR="007C1699" w:rsidRPr="00A54188">
              <w:rPr>
                <w:rFonts w:ascii="Arial" w:hAnsi="Arial" w:cs="Arial"/>
                <w:color w:val="000000"/>
              </w:rPr>
              <w:t>BR</w:t>
            </w:r>
            <w:r w:rsidRPr="00A54188">
              <w:rPr>
                <w:rFonts w:ascii="Arial" w:hAnsi="Arial" w:cs="Arial"/>
                <w:color w:val="000000"/>
              </w:rPr>
              <w:t>ogea – Litoral</w:t>
            </w:r>
          </w:p>
        </w:tc>
        <w:tc>
          <w:tcPr>
            <w:tcW w:w="8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103</w:t>
            </w:r>
          </w:p>
        </w:tc>
        <w:tc>
          <w:tcPr>
            <w:tcW w:w="8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color w:val="000000"/>
              </w:rPr>
            </w:pPr>
            <w:r w:rsidRPr="00A54188">
              <w:rPr>
                <w:rFonts w:ascii="Arial" w:hAnsi="Arial" w:cs="Arial"/>
                <w:color w:val="000000"/>
              </w:rPr>
              <w:t>103</w:t>
            </w:r>
          </w:p>
        </w:tc>
      </w:tr>
      <w:tr w:rsidR="007551D0" w:rsidRPr="00C95A7F" w:rsidTr="00A54188">
        <w:trPr>
          <w:jc w:val="center"/>
        </w:trPr>
        <w:tc>
          <w:tcPr>
            <w:tcW w:w="311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rPr>
                <w:rFonts w:ascii="Arial" w:hAnsi="Arial" w:cs="Arial"/>
                <w:color w:val="000000"/>
              </w:rPr>
            </w:pPr>
            <w:r w:rsidRPr="00A54188">
              <w:rPr>
                <w:rFonts w:ascii="Arial" w:hAnsi="Arial" w:cs="Arial"/>
                <w:color w:val="000000"/>
              </w:rPr>
              <w:t>Total România</w:t>
            </w:r>
          </w:p>
        </w:tc>
        <w:tc>
          <w:tcPr>
            <w:tcW w:w="85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b/>
                <w:color w:val="000000"/>
              </w:rPr>
            </w:pPr>
            <w:r w:rsidRPr="00A54188">
              <w:rPr>
                <w:rFonts w:ascii="Arial" w:hAnsi="Arial" w:cs="Arial"/>
                <w:b/>
                <w:color w:val="000000"/>
              </w:rPr>
              <w:t>38057</w:t>
            </w:r>
          </w:p>
        </w:tc>
        <w:tc>
          <w:tcPr>
            <w:tcW w:w="83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rsidR="007551D0" w:rsidRPr="00A54188" w:rsidRDefault="007551D0" w:rsidP="00DB2B5E">
            <w:pPr>
              <w:spacing w:before="40" w:after="40" w:line="240" w:lineRule="auto"/>
              <w:jc w:val="right"/>
              <w:rPr>
                <w:rFonts w:ascii="Arial" w:hAnsi="Arial" w:cs="Arial"/>
                <w:b/>
                <w:color w:val="000000"/>
              </w:rPr>
            </w:pPr>
            <w:r w:rsidRPr="00A54188">
              <w:rPr>
                <w:rFonts w:ascii="Arial" w:hAnsi="Arial" w:cs="Arial"/>
                <w:b/>
                <w:color w:val="000000"/>
              </w:rPr>
              <w:t>36562</w:t>
            </w:r>
          </w:p>
        </w:tc>
      </w:tr>
    </w:tbl>
    <w:p w:rsidR="007551D0" w:rsidRDefault="007551D0" w:rsidP="007551D0">
      <w:pPr>
        <w:rPr>
          <w:rFonts w:ascii="Arial" w:hAnsi="Arial" w:cs="Arial"/>
        </w:rPr>
      </w:pPr>
    </w:p>
    <w:p w:rsidR="007551D0" w:rsidRPr="00C95A7F" w:rsidRDefault="007551D0" w:rsidP="007551D0">
      <w:pPr>
        <w:spacing w:after="120"/>
        <w:ind w:firstLine="709"/>
        <w:jc w:val="both"/>
        <w:rPr>
          <w:rFonts w:ascii="Arial" w:hAnsi="Arial" w:cs="Arial"/>
          <w:b/>
          <w:i/>
          <w:sz w:val="24"/>
          <w:szCs w:val="24"/>
          <w:lang w:val="en-US"/>
        </w:rPr>
      </w:pPr>
      <w:r w:rsidRPr="00C95A7F">
        <w:rPr>
          <w:rFonts w:ascii="Arial" w:hAnsi="Arial" w:cs="Arial"/>
          <w:b/>
          <w:i/>
          <w:sz w:val="24"/>
          <w:szCs w:val="24"/>
          <w:lang w:val="en-US"/>
        </w:rPr>
        <w:t>Prognoza disponibilului de apă</w:t>
      </w:r>
    </w:p>
    <w:p w:rsidR="007551D0" w:rsidRPr="007105A2" w:rsidRDefault="007551D0" w:rsidP="00607AC2">
      <w:pPr>
        <w:spacing w:after="0" w:line="240" w:lineRule="auto"/>
        <w:jc w:val="both"/>
        <w:rPr>
          <w:rFonts w:ascii="Arial" w:hAnsi="Arial" w:cs="Arial"/>
          <w:sz w:val="24"/>
          <w:szCs w:val="24"/>
        </w:rPr>
      </w:pPr>
      <w:r>
        <w:rPr>
          <w:rFonts w:ascii="Arial" w:hAnsi="Arial" w:cs="Arial"/>
          <w:sz w:val="24"/>
          <w:szCs w:val="24"/>
        </w:rPr>
        <w:t xml:space="preserve">      </w:t>
      </w:r>
      <w:r w:rsidR="00607AC2">
        <w:rPr>
          <w:rFonts w:ascii="Arial" w:hAnsi="Arial" w:cs="Arial"/>
          <w:sz w:val="24"/>
          <w:szCs w:val="24"/>
        </w:rPr>
        <w:tab/>
      </w:r>
      <w:r w:rsidRPr="007105A2">
        <w:rPr>
          <w:rFonts w:ascii="Arial" w:hAnsi="Arial" w:cs="Arial"/>
          <w:sz w:val="24"/>
          <w:szCs w:val="24"/>
        </w:rPr>
        <w:t>În prezent, pentru a putea vorbi despre o estimare a resurselor de apă pe bazine hidrografice este necesar a lua în considerare efectul schimbărilor climatice asupra resurselor de apă.</w:t>
      </w:r>
    </w:p>
    <w:p w:rsidR="007551D0" w:rsidRPr="007105A2" w:rsidRDefault="007551D0" w:rsidP="00607AC2">
      <w:pPr>
        <w:widowControl w:val="0"/>
        <w:spacing w:after="0" w:line="240" w:lineRule="auto"/>
        <w:ind w:firstLine="709"/>
        <w:jc w:val="both"/>
        <w:rPr>
          <w:rFonts w:ascii="Arial" w:hAnsi="Arial" w:cs="Arial"/>
          <w:sz w:val="24"/>
        </w:rPr>
      </w:pPr>
      <w:r w:rsidRPr="007105A2">
        <w:rPr>
          <w:rFonts w:ascii="Arial" w:hAnsi="Arial" w:cs="Arial"/>
          <w:sz w:val="24"/>
        </w:rPr>
        <w:t>Estimarea impactului schimbărilor şi variabilităţilor climatice asupra regimului hidrologic dintr-un bazin hidrografic se bazează pe simulările de lungă durată realizate cu ajutorul unui model hidrologic, utilizând ca date de intrare seriile de precipitaţii şi temperaturi rezultate din simulările de evoluţie climatică realizate cu ajutorul unui model meteorologic regional.</w:t>
      </w:r>
    </w:p>
    <w:p w:rsidR="007551D0" w:rsidRPr="007105A2" w:rsidRDefault="007551D0" w:rsidP="00607AC2">
      <w:pPr>
        <w:widowControl w:val="0"/>
        <w:spacing w:after="0" w:line="240" w:lineRule="auto"/>
        <w:ind w:firstLine="709"/>
        <w:jc w:val="both"/>
        <w:rPr>
          <w:rFonts w:ascii="Arial" w:hAnsi="Arial" w:cs="Arial"/>
          <w:sz w:val="24"/>
          <w:szCs w:val="24"/>
        </w:rPr>
      </w:pPr>
      <w:r w:rsidRPr="007105A2">
        <w:rPr>
          <w:rFonts w:ascii="Arial" w:hAnsi="Arial" w:cs="Arial"/>
          <w:sz w:val="24"/>
          <w:szCs w:val="24"/>
        </w:rPr>
        <w:t xml:space="preserve">Pentru estimarea impactului schimbărilor climatice asupra regimului scurgerii pe </w:t>
      </w:r>
      <w:r w:rsidRPr="007105A2">
        <w:rPr>
          <w:rFonts w:ascii="Arial" w:hAnsi="Arial" w:cs="Arial"/>
          <w:sz w:val="24"/>
          <w:szCs w:val="24"/>
        </w:rPr>
        <w:lastRenderedPageBreak/>
        <w:t>râurile din România, în ceea ce priveşte debitele medii anuale, s-au prelucrat şi s-au completat, acolo unde a fost cazul, rezultatele obţinute în cadrul studiilor complexe elaborate la nivel naţional (teme şi proiecte) sau internaţional (proiecte) în cadrul Institutului Naţional de Hidrologie şi Gospodărire a Apelor. Calculele s-au efectuat pentru 12 râuri din cele 11 bazine/spaţii   hidrografice din România, şi anume: Vişeu, Iza, Tur, Someş, Crasna, Mureş, Jiu, Olt, Vedea, Argeş, Ialomiţa, şi Siret, urmând ca în viitor să se definitiveze calculele şi pentru celelate râuri.</w:t>
      </w:r>
    </w:p>
    <w:p w:rsidR="007551D0" w:rsidRPr="007105A2" w:rsidRDefault="007551D0" w:rsidP="00607AC2">
      <w:pPr>
        <w:widowControl w:val="0"/>
        <w:spacing w:after="0" w:line="240" w:lineRule="auto"/>
        <w:ind w:firstLine="709"/>
        <w:jc w:val="both"/>
        <w:rPr>
          <w:rFonts w:ascii="Arial" w:hAnsi="Arial" w:cs="Arial"/>
          <w:sz w:val="24"/>
          <w:lang w:val="en-US"/>
        </w:rPr>
      </w:pPr>
      <w:r w:rsidRPr="007105A2">
        <w:rPr>
          <w:rFonts w:ascii="Arial" w:hAnsi="Arial" w:cs="Arial"/>
          <w:sz w:val="24"/>
        </w:rPr>
        <w:t>Ca urmare a tendinţelor de variaţie a parametrilor meteorologici, în urma analizei simulărilor evoluţiei debitelor pe perioada viitoare (de ex. 2021-2050) faţă de perioada de referinţă (de ex. 1971-2000), se observă următoarele modificări ale regimului debitelor medii multianuale, pentru râurile studiate</w:t>
      </w:r>
      <w:r w:rsidRPr="007105A2">
        <w:rPr>
          <w:rFonts w:ascii="Arial" w:hAnsi="Arial" w:cs="Arial"/>
          <w:sz w:val="24"/>
          <w:lang w:val="en-US"/>
        </w:rPr>
        <w:t>:</w:t>
      </w:r>
    </w:p>
    <w:p w:rsidR="007551D0" w:rsidRPr="007105A2"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7105A2">
        <w:rPr>
          <w:rFonts w:ascii="Arial" w:hAnsi="Arial" w:cs="Arial"/>
          <w:sz w:val="24"/>
          <w:szCs w:val="24"/>
        </w:rPr>
        <w:t>Vişeu</w:t>
      </w:r>
      <w:r w:rsidRPr="007105A2">
        <w:rPr>
          <w:rFonts w:ascii="Arial" w:hAnsi="Arial" w:cs="Arial"/>
          <w:sz w:val="24"/>
          <w:szCs w:val="24"/>
          <w:lang w:val="en-US"/>
        </w:rPr>
        <w:t xml:space="preserve">: scădere de cca. – 0,1 %; </w:t>
      </w:r>
      <w:r w:rsidRPr="007105A2">
        <w:rPr>
          <w:rFonts w:ascii="Arial" w:hAnsi="Arial" w:cs="Arial"/>
          <w:sz w:val="24"/>
          <w:szCs w:val="24"/>
        </w:rPr>
        <w:t xml:space="preserve">Iza: scădere de cca. -1,9 %; Tur: </w:t>
      </w:r>
      <w:r w:rsidRPr="007105A2">
        <w:rPr>
          <w:rFonts w:ascii="Arial" w:hAnsi="Arial" w:cs="Arial"/>
          <w:sz w:val="24"/>
          <w:szCs w:val="24"/>
          <w:lang w:val="en-US"/>
        </w:rPr>
        <w:t xml:space="preserve">scădere de cca. – 2.5 %; </w:t>
      </w:r>
      <w:r w:rsidRPr="007105A2">
        <w:rPr>
          <w:rFonts w:ascii="Arial" w:hAnsi="Arial" w:cs="Arial"/>
          <w:sz w:val="24"/>
          <w:szCs w:val="24"/>
        </w:rPr>
        <w:t>Someş: creştere de cca.6,2 %; Crasna: scădere de cca.-9,4 % ; Mureş: scădere de cca.-9,9 %; Jiu: scădere de cca. -11,0 %; Olt: scădere de cca. -9,5 %; Vedea: scădere de cca.-24,6 %; Argeş: scădere de cca. -8,6 % ; Ialomiţa: scădere de cca.  -5,8 % ; Siret: scădere de cca. -9,6 %.</w:t>
      </w:r>
    </w:p>
    <w:p w:rsidR="007551D0" w:rsidRPr="007105A2" w:rsidRDefault="007551D0" w:rsidP="00607AC2">
      <w:pPr>
        <w:widowControl w:val="0"/>
        <w:spacing w:before="120" w:after="0" w:line="240" w:lineRule="auto"/>
        <w:ind w:firstLine="709"/>
        <w:jc w:val="both"/>
        <w:rPr>
          <w:rFonts w:ascii="Arial" w:hAnsi="Arial" w:cs="Arial"/>
          <w:sz w:val="24"/>
          <w:szCs w:val="24"/>
        </w:rPr>
      </w:pPr>
      <w:r w:rsidRPr="007105A2">
        <w:rPr>
          <w:rFonts w:ascii="Arial" w:hAnsi="Arial" w:cs="Arial"/>
          <w:b/>
          <w:i/>
          <w:sz w:val="24"/>
          <w:szCs w:val="24"/>
        </w:rPr>
        <w:t>Nota:</w:t>
      </w:r>
      <w:r w:rsidRPr="007105A2">
        <w:rPr>
          <w:rFonts w:ascii="Arial" w:hAnsi="Arial" w:cs="Arial"/>
          <w:sz w:val="24"/>
          <w:szCs w:val="24"/>
        </w:rPr>
        <w:t xml:space="preserve"> Datele şi informatiile prezentate mai sus sunt extrase din Studiul </w:t>
      </w:r>
      <w:r w:rsidRPr="007105A2">
        <w:rPr>
          <w:rFonts w:ascii="Arial" w:hAnsi="Arial" w:cs="Arial"/>
          <w:i/>
          <w:sz w:val="24"/>
          <w:szCs w:val="24"/>
        </w:rPr>
        <w:t>“</w:t>
      </w:r>
      <w:r w:rsidRPr="007105A2">
        <w:rPr>
          <w:rFonts w:ascii="Arial" w:eastAsia="Calibri" w:hAnsi="Arial" w:cs="Arial"/>
          <w:i/>
          <w:sz w:val="24"/>
          <w:szCs w:val="24"/>
        </w:rPr>
        <w:t>Identificarea principalelor zone potenţial deficitare din punct de vedere al resursei de apă, la nivel naţional, în regim actual şi în perspectiva schimbărilor climatice</w:t>
      </w:r>
      <w:r w:rsidRPr="007105A2">
        <w:rPr>
          <w:rFonts w:ascii="Arial" w:eastAsia="Calibri" w:hAnsi="Arial" w:cs="Arial"/>
          <w:sz w:val="24"/>
          <w:szCs w:val="24"/>
        </w:rPr>
        <w:t xml:space="preserve">”, elaborat de Institutul Naţional de Hidrologie şi Gospodărire a Apelor, la solicitarea  AN </w:t>
      </w:r>
      <w:r w:rsidRPr="007105A2">
        <w:rPr>
          <w:rFonts w:ascii="Arial" w:eastAsia="Calibri" w:hAnsi="Arial" w:cs="Arial"/>
          <w:sz w:val="24"/>
          <w:szCs w:val="24"/>
          <w:lang w:val="en-US"/>
        </w:rPr>
        <w:t>”</w:t>
      </w:r>
      <w:r w:rsidRPr="007105A2">
        <w:rPr>
          <w:rFonts w:ascii="Arial" w:eastAsia="Calibri" w:hAnsi="Arial" w:cs="Arial"/>
          <w:sz w:val="24"/>
          <w:szCs w:val="24"/>
        </w:rPr>
        <w:t>Apele Române” în anul 2015.</w:t>
      </w:r>
    </w:p>
    <w:p w:rsidR="00231660" w:rsidRDefault="00231660" w:rsidP="007551D0">
      <w:pPr>
        <w:spacing w:after="120"/>
        <w:ind w:firstLine="709"/>
        <w:jc w:val="both"/>
        <w:rPr>
          <w:rFonts w:ascii="Arial" w:hAnsi="Arial" w:cs="Arial"/>
          <w:b/>
          <w:i/>
          <w:sz w:val="24"/>
          <w:szCs w:val="24"/>
          <w:lang w:val="en-US"/>
        </w:rPr>
      </w:pPr>
    </w:p>
    <w:p w:rsidR="007551D0" w:rsidRDefault="007551D0" w:rsidP="007551D0">
      <w:pPr>
        <w:spacing w:after="120"/>
        <w:ind w:firstLine="709"/>
        <w:jc w:val="both"/>
        <w:rPr>
          <w:rFonts w:ascii="Arial" w:hAnsi="Arial" w:cs="Arial"/>
          <w:b/>
          <w:i/>
          <w:sz w:val="24"/>
          <w:szCs w:val="24"/>
          <w:lang w:val="en-US"/>
        </w:rPr>
      </w:pPr>
      <w:r w:rsidRPr="00C95A7F">
        <w:rPr>
          <w:rFonts w:ascii="Arial" w:hAnsi="Arial" w:cs="Arial"/>
          <w:b/>
          <w:i/>
          <w:sz w:val="24"/>
          <w:szCs w:val="24"/>
          <w:lang w:val="en-US"/>
        </w:rPr>
        <w:t xml:space="preserve">Cererea de apa </w:t>
      </w:r>
    </w:p>
    <w:p w:rsidR="007551D0" w:rsidRPr="0081649A" w:rsidRDefault="007551D0" w:rsidP="00607AC2">
      <w:pPr>
        <w:spacing w:after="0" w:line="240" w:lineRule="auto"/>
        <w:ind w:firstLine="709"/>
        <w:jc w:val="both"/>
        <w:rPr>
          <w:rFonts w:ascii="Arial" w:hAnsi="Arial" w:cs="Arial"/>
          <w:sz w:val="24"/>
          <w:szCs w:val="24"/>
        </w:rPr>
      </w:pPr>
      <w:r w:rsidRPr="007105A2">
        <w:rPr>
          <w:rFonts w:ascii="Arial" w:hAnsi="Arial" w:cs="Arial"/>
          <w:sz w:val="24"/>
          <w:szCs w:val="24"/>
          <w:lang w:val="en-US"/>
        </w:rPr>
        <w:t xml:space="preserve">Prognoza cerinţei de apă s-a determinat în anul 2014 în cadrul studiului: </w:t>
      </w:r>
      <w:r w:rsidRPr="0081649A">
        <w:rPr>
          <w:rFonts w:ascii="Arial" w:eastAsia="Calibri" w:hAnsi="Arial" w:cs="Arial"/>
          <w:i/>
          <w:sz w:val="24"/>
          <w:szCs w:val="24"/>
        </w:rPr>
        <w:t xml:space="preserve">Actualizarea studiilor de fundamentare a </w:t>
      </w:r>
      <w:r w:rsidRPr="0081649A">
        <w:rPr>
          <w:rFonts w:ascii="Arial" w:hAnsi="Arial" w:cs="Arial"/>
          <w:i/>
          <w:sz w:val="24"/>
          <w:szCs w:val="24"/>
        </w:rPr>
        <w:t>P.A.B.H. - Evaluarea cerinţelor de apă</w:t>
      </w:r>
      <w:r w:rsidRPr="0081649A">
        <w:rPr>
          <w:rFonts w:ascii="Arial" w:eastAsia="Calibri" w:hAnsi="Arial" w:cs="Arial"/>
          <w:i/>
          <w:sz w:val="24"/>
          <w:szCs w:val="24"/>
        </w:rPr>
        <w:t xml:space="preserve"> (an de referin</w:t>
      </w:r>
      <w:r w:rsidRPr="0081649A">
        <w:rPr>
          <w:rFonts w:ascii="Arial" w:hAnsi="Arial" w:cs="Arial"/>
          <w:i/>
          <w:sz w:val="24"/>
          <w:szCs w:val="24"/>
        </w:rPr>
        <w:t>ţă</w:t>
      </w:r>
      <w:r w:rsidRPr="0081649A">
        <w:rPr>
          <w:rFonts w:ascii="Arial" w:eastAsia="Calibri" w:hAnsi="Arial" w:cs="Arial"/>
          <w:i/>
          <w:sz w:val="24"/>
          <w:szCs w:val="24"/>
        </w:rPr>
        <w:t xml:space="preserve"> 2011) la nivelul bazinelor hidrografice</w:t>
      </w:r>
      <w:r w:rsidRPr="0081649A">
        <w:rPr>
          <w:rFonts w:ascii="Arial" w:hAnsi="Arial" w:cs="Arial"/>
          <w:i/>
          <w:sz w:val="24"/>
          <w:szCs w:val="24"/>
        </w:rPr>
        <w:t xml:space="preserve"> pentru orizontul de timp 2020 ş</w:t>
      </w:r>
      <w:r w:rsidRPr="0081649A">
        <w:rPr>
          <w:rFonts w:ascii="Arial" w:eastAsia="Calibri" w:hAnsi="Arial" w:cs="Arial"/>
          <w:i/>
          <w:sz w:val="24"/>
          <w:szCs w:val="24"/>
        </w:rPr>
        <w:t>i 2030</w:t>
      </w:r>
      <w:r w:rsidRPr="0081649A">
        <w:rPr>
          <w:rFonts w:ascii="Arial" w:hAnsi="Arial" w:cs="Arial"/>
          <w:sz w:val="24"/>
          <w:szCs w:val="24"/>
        </w:rPr>
        <w:t>.</w:t>
      </w:r>
    </w:p>
    <w:p w:rsidR="007551D0" w:rsidRPr="007105A2"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eastAsia="Calibri" w:hAnsi="Arial" w:cs="Arial"/>
          <w:sz w:val="24"/>
          <w:szCs w:val="24"/>
        </w:rPr>
      </w:pPr>
      <w:r w:rsidRPr="007105A2">
        <w:rPr>
          <w:rFonts w:ascii="Arial" w:hAnsi="Arial" w:cs="Arial"/>
          <w:sz w:val="24"/>
          <w:szCs w:val="24"/>
        </w:rPr>
        <w:t>Prognoza cerinţei de apă s-a determinat prin metode specifice de prognoză pentru fiecare categorie de folosinţă de apă:</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Populație;</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Industrie;</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Irigații;</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Zootehnie;</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Acvacultură/piscicultură.</w:t>
      </w:r>
    </w:p>
    <w:p w:rsidR="007551D0" w:rsidRPr="007105A2" w:rsidRDefault="00EA6509" w:rsidP="00EA650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Arial" w:hAnsi="Arial" w:cs="Arial"/>
          <w:sz w:val="24"/>
          <w:szCs w:val="24"/>
        </w:rPr>
      </w:pPr>
      <w:r>
        <w:rPr>
          <w:rFonts w:ascii="Arial" w:hAnsi="Arial" w:cs="Arial"/>
          <w:sz w:val="24"/>
          <w:szCs w:val="24"/>
        </w:rPr>
        <w:tab/>
      </w:r>
      <w:r w:rsidR="007551D0" w:rsidRPr="007105A2">
        <w:rPr>
          <w:rFonts w:ascii="Arial" w:hAnsi="Arial" w:cs="Arial"/>
          <w:sz w:val="24"/>
          <w:szCs w:val="24"/>
        </w:rPr>
        <w:t xml:space="preserve">În elaborarea </w:t>
      </w:r>
      <w:r w:rsidR="007551D0" w:rsidRPr="007105A2">
        <w:rPr>
          <w:rFonts w:ascii="Arial" w:hAnsi="Arial" w:cs="Arial"/>
          <w:b/>
          <w:i/>
          <w:sz w:val="24"/>
          <w:szCs w:val="24"/>
        </w:rPr>
        <w:t xml:space="preserve">prognozei </w:t>
      </w:r>
      <w:r w:rsidR="007551D0" w:rsidRPr="007105A2">
        <w:rPr>
          <w:rFonts w:ascii="Arial" w:eastAsia="Calibri" w:hAnsi="Arial" w:cs="Arial"/>
          <w:b/>
          <w:i/>
          <w:sz w:val="24"/>
          <w:szCs w:val="24"/>
        </w:rPr>
        <w:t>cerințelor de apă pentru populație</w:t>
      </w:r>
      <w:r w:rsidR="007551D0" w:rsidRPr="007105A2">
        <w:rPr>
          <w:rFonts w:ascii="Arial" w:eastAsia="Calibri" w:hAnsi="Arial" w:cs="Arial"/>
          <w:sz w:val="24"/>
          <w:szCs w:val="24"/>
        </w:rPr>
        <w:t xml:space="preserve"> </w:t>
      </w:r>
      <w:r w:rsidR="007551D0" w:rsidRPr="007105A2">
        <w:rPr>
          <w:rFonts w:ascii="Arial" w:hAnsi="Arial" w:cs="Arial"/>
          <w:sz w:val="24"/>
          <w:szCs w:val="24"/>
        </w:rPr>
        <w:t>s-a ţinut cont de:</w:t>
      </w:r>
    </w:p>
    <w:p w:rsidR="007551D0" w:rsidRPr="007105A2"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datele puse la dispoziţie de Institutul Naţional de Statistică prin Recensământul Populaţiei şi Locuinţelor realizat în anul 2011</w:t>
      </w:r>
      <w:r w:rsidRPr="007105A2">
        <w:rPr>
          <w:rFonts w:ascii="Arial" w:hAnsi="Arial" w:cs="Arial"/>
          <w:sz w:val="24"/>
          <w:szCs w:val="24"/>
        </w:rPr>
        <w:t>;</w:t>
      </w:r>
    </w:p>
    <w:p w:rsidR="007551D0" w:rsidRPr="00AB4C01"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AB4C01">
        <w:rPr>
          <w:rFonts w:ascii="Arial" w:hAnsi="Arial" w:cs="Arial"/>
          <w:sz w:val="24"/>
          <w:szCs w:val="24"/>
        </w:rPr>
        <w:t>datele statistice privind evoluţia populaţiei din România repartiţia populaţiei pe medii de locuire;</w:t>
      </w:r>
    </w:p>
    <w:p w:rsidR="007551D0" w:rsidRPr="00AB4C01"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AB4C01">
        <w:rPr>
          <w:rFonts w:ascii="Arial" w:hAnsi="Arial" w:cs="Arial"/>
          <w:sz w:val="24"/>
          <w:szCs w:val="24"/>
        </w:rPr>
        <w:t>coeficientul de creştere a gradului de urbanizare pentru prognoza evoluţiei populaţiei pentru orizontul de timp 2020-2030;</w:t>
      </w:r>
    </w:p>
    <w:p w:rsidR="007551D0" w:rsidRPr="007105A2"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rata de utilizare a apei pentru populaţie în zonele urbane</w:t>
      </w:r>
      <w:r w:rsidRPr="007105A2">
        <w:rPr>
          <w:rFonts w:ascii="Arial" w:hAnsi="Arial" w:cs="Arial"/>
          <w:sz w:val="24"/>
          <w:szCs w:val="24"/>
        </w:rPr>
        <w:t>/rurale,</w:t>
      </w:r>
      <w:r w:rsidRPr="00ED1BAC">
        <w:rPr>
          <w:rFonts w:ascii="Arial" w:hAnsi="Arial" w:cs="Arial"/>
          <w:sz w:val="24"/>
          <w:szCs w:val="24"/>
        </w:rPr>
        <w:t xml:space="preserve"> la nivelul României</w:t>
      </w:r>
      <w:r w:rsidRPr="007105A2">
        <w:rPr>
          <w:rFonts w:ascii="Arial" w:hAnsi="Arial" w:cs="Arial"/>
          <w:sz w:val="24"/>
          <w:szCs w:val="24"/>
        </w:rPr>
        <w:t>;</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7105A2">
        <w:rPr>
          <w:rFonts w:ascii="Arial" w:hAnsi="Arial" w:cs="Arial"/>
          <w:sz w:val="24"/>
          <w:szCs w:val="24"/>
        </w:rPr>
        <w:t xml:space="preserve">prevederile </w:t>
      </w:r>
      <w:r w:rsidRPr="00ED1BAC">
        <w:rPr>
          <w:rFonts w:ascii="Arial" w:hAnsi="Arial" w:cs="Arial"/>
          <w:sz w:val="24"/>
          <w:szCs w:val="24"/>
        </w:rPr>
        <w:t>Programului Operaţional Sectorial de Mediu (POS MEDIU)</w:t>
      </w:r>
      <w:r w:rsidRPr="007105A2">
        <w:rPr>
          <w:rFonts w:ascii="Arial" w:hAnsi="Arial" w:cs="Arial"/>
          <w:sz w:val="24"/>
          <w:szCs w:val="24"/>
        </w:rPr>
        <w:t>.</w:t>
      </w:r>
    </w:p>
    <w:p w:rsidR="007551D0" w:rsidRPr="007105A2"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hAnsi="Arial" w:cs="Arial"/>
          <w:sz w:val="24"/>
          <w:szCs w:val="24"/>
        </w:rPr>
      </w:pPr>
      <w:r w:rsidRPr="007105A2">
        <w:rPr>
          <w:rFonts w:ascii="Arial" w:eastAsia="Calibri" w:hAnsi="Arial" w:cs="Arial"/>
          <w:sz w:val="24"/>
          <w:szCs w:val="24"/>
        </w:rPr>
        <w:t xml:space="preserve">Prognoza cerinţelor de apă </w:t>
      </w:r>
      <w:r w:rsidRPr="007105A2">
        <w:rPr>
          <w:rFonts w:ascii="Arial" w:hAnsi="Arial" w:cs="Arial"/>
          <w:sz w:val="24"/>
          <w:szCs w:val="24"/>
        </w:rPr>
        <w:t>pentru populaţie s-a realizat</w:t>
      </w:r>
      <w:r w:rsidRPr="007105A2">
        <w:rPr>
          <w:rFonts w:ascii="Arial" w:eastAsia="Calibri" w:hAnsi="Arial" w:cs="Arial"/>
          <w:sz w:val="24"/>
          <w:szCs w:val="24"/>
        </w:rPr>
        <w:t xml:space="preserve"> pentru trei scenarii în funcţie de rata fertilităţii: scenariul minimal (rata scăzută a fertilităţii), scenariul mediu (rata medie a fertilităţii) şi scenariul maximal (rata ridicată a fertilităţii)</w:t>
      </w:r>
      <w:r w:rsidRPr="007105A2">
        <w:rPr>
          <w:rFonts w:ascii="Arial" w:hAnsi="Arial" w:cs="Arial"/>
          <w:sz w:val="24"/>
          <w:szCs w:val="24"/>
        </w:rPr>
        <w:t>.</w:t>
      </w:r>
    </w:p>
    <w:p w:rsidR="007551D0"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eastAsia="Calibri" w:hAnsi="Arial" w:cs="Arial"/>
          <w:b/>
          <w:i/>
          <w:sz w:val="24"/>
          <w:szCs w:val="24"/>
          <w:lang w:val="es-ES_tradnl"/>
        </w:rPr>
      </w:pPr>
    </w:p>
    <w:p w:rsidR="007551D0" w:rsidRPr="007105A2"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hAnsi="Arial" w:cs="Arial"/>
          <w:sz w:val="24"/>
          <w:szCs w:val="24"/>
        </w:rPr>
      </w:pPr>
      <w:r w:rsidRPr="007105A2">
        <w:rPr>
          <w:rFonts w:ascii="Arial" w:eastAsia="Calibri" w:hAnsi="Arial" w:cs="Arial"/>
          <w:b/>
          <w:i/>
          <w:sz w:val="24"/>
          <w:szCs w:val="24"/>
          <w:lang w:val="es-ES_tradnl"/>
        </w:rPr>
        <w:t>Prognoza cerințelor de apă pentru industrie</w:t>
      </w:r>
      <w:r w:rsidRPr="007105A2">
        <w:rPr>
          <w:rFonts w:ascii="Arial" w:hAnsi="Arial" w:cs="Arial"/>
          <w:i/>
          <w:sz w:val="24"/>
          <w:szCs w:val="24"/>
          <w:lang w:val="es-ES_tradnl"/>
        </w:rPr>
        <w:t xml:space="preserve"> </w:t>
      </w:r>
      <w:r w:rsidRPr="007105A2">
        <w:rPr>
          <w:rFonts w:ascii="Arial" w:hAnsi="Arial" w:cs="Arial"/>
          <w:sz w:val="24"/>
          <w:szCs w:val="24"/>
          <w:lang w:val="es-ES_tradnl"/>
        </w:rPr>
        <w:t xml:space="preserve">s-a determinat prin </w:t>
      </w:r>
      <w:r w:rsidRPr="007105A2">
        <w:rPr>
          <w:rFonts w:ascii="Arial" w:eastAsia="Calibri" w:hAnsi="Arial" w:cs="Arial"/>
          <w:sz w:val="24"/>
          <w:szCs w:val="24"/>
        </w:rPr>
        <w:t>metoda prelevărilor pe locuitor</w:t>
      </w:r>
      <w:r w:rsidRPr="007105A2">
        <w:rPr>
          <w:rFonts w:ascii="Arial" w:hAnsi="Arial" w:cs="Arial"/>
          <w:sz w:val="24"/>
          <w:szCs w:val="24"/>
        </w:rPr>
        <w:t>, având la bază</w:t>
      </w:r>
      <w:r w:rsidRPr="007105A2">
        <w:rPr>
          <w:rFonts w:ascii="Arial" w:eastAsia="Calibri" w:hAnsi="Arial" w:cs="Arial"/>
          <w:sz w:val="24"/>
          <w:szCs w:val="24"/>
        </w:rPr>
        <w:t>:</w:t>
      </w:r>
    </w:p>
    <w:p w:rsidR="007551D0" w:rsidRPr="007105A2"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 xml:space="preserve">volumul de apa industrială prelevat la nivelul anului de referinţă, volum ce a fost preluat din Balanţa Apei elaborată de Administraţia Naţionala „Apele Române” </w:t>
      </w:r>
      <w:r w:rsidRPr="007105A2">
        <w:rPr>
          <w:rFonts w:ascii="Arial" w:hAnsi="Arial" w:cs="Arial"/>
          <w:sz w:val="24"/>
          <w:szCs w:val="24"/>
        </w:rPr>
        <w:t>;</w:t>
      </w:r>
      <w:r w:rsidRPr="00ED1BAC">
        <w:rPr>
          <w:rFonts w:ascii="Arial" w:hAnsi="Arial" w:cs="Arial"/>
          <w:sz w:val="24"/>
          <w:szCs w:val="24"/>
        </w:rPr>
        <w:t xml:space="preserve"> </w:t>
      </w:r>
    </w:p>
    <w:p w:rsidR="007551D0" w:rsidRPr="007105A2"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populaţia la nivelul anului de referinţă</w:t>
      </w:r>
      <w:r w:rsidRPr="007105A2">
        <w:rPr>
          <w:rFonts w:ascii="Arial" w:hAnsi="Arial" w:cs="Arial"/>
          <w:sz w:val="24"/>
          <w:szCs w:val="24"/>
        </w:rPr>
        <w:t>;</w:t>
      </w:r>
    </w:p>
    <w:p w:rsidR="007551D0" w:rsidRPr="007105A2"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evoluţia principalilor indicatori economico - sociali</w:t>
      </w:r>
      <w:r w:rsidRPr="007105A2">
        <w:rPr>
          <w:rFonts w:ascii="Arial" w:hAnsi="Arial" w:cs="Arial"/>
          <w:sz w:val="24"/>
          <w:szCs w:val="24"/>
        </w:rPr>
        <w:t xml:space="preserve"> furnizată de</w:t>
      </w:r>
      <w:r w:rsidRPr="00ED1BAC">
        <w:rPr>
          <w:rFonts w:ascii="Arial" w:hAnsi="Arial" w:cs="Arial"/>
          <w:sz w:val="24"/>
          <w:szCs w:val="24"/>
        </w:rPr>
        <w:t xml:space="preserve"> Comisia Naţională </w:t>
      </w:r>
      <w:r w:rsidRPr="00ED1BAC">
        <w:rPr>
          <w:rFonts w:ascii="Arial" w:hAnsi="Arial" w:cs="Arial"/>
          <w:sz w:val="24"/>
          <w:szCs w:val="24"/>
        </w:rPr>
        <w:lastRenderedPageBreak/>
        <w:t>de Prognoză</w:t>
      </w:r>
      <w:r w:rsidRPr="007105A2">
        <w:rPr>
          <w:rFonts w:ascii="Arial" w:hAnsi="Arial" w:cs="Arial"/>
          <w:sz w:val="24"/>
          <w:szCs w:val="24"/>
        </w:rPr>
        <w:t>.</w:t>
      </w:r>
    </w:p>
    <w:p w:rsidR="007551D0" w:rsidRDefault="007551D0" w:rsidP="00607AC2">
      <w:pPr>
        <w:pStyle w:val="1text2"/>
        <w:spacing w:before="0"/>
        <w:ind w:firstLine="709"/>
        <w:rPr>
          <w:rFonts w:cs="Arial"/>
        </w:rPr>
      </w:pPr>
      <w:r w:rsidRPr="007105A2">
        <w:rPr>
          <w:rFonts w:cs="Arial"/>
        </w:rPr>
        <w:t>Pentru determinarea cerinţei de apă pentru industrie pentru orizontul de timp 2020 - 2030 se prevăd 3 scenarii de prognoză</w:t>
      </w:r>
      <w:r>
        <w:rPr>
          <w:rFonts w:cs="Arial"/>
        </w:rPr>
        <w:t>.</w:t>
      </w:r>
    </w:p>
    <w:p w:rsidR="007551D0" w:rsidRPr="007105A2"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eastAsia="Calibri" w:hAnsi="Arial" w:cs="Arial"/>
          <w:sz w:val="24"/>
          <w:szCs w:val="24"/>
          <w:lang w:val="es-ES_tradnl"/>
        </w:rPr>
      </w:pPr>
      <w:r w:rsidRPr="007105A2">
        <w:rPr>
          <w:rFonts w:ascii="Arial" w:eastAsia="Calibri" w:hAnsi="Arial" w:cs="Arial"/>
          <w:i/>
          <w:sz w:val="24"/>
          <w:szCs w:val="24"/>
          <w:lang w:val="es-ES_tradnl"/>
        </w:rPr>
        <w:tab/>
      </w:r>
      <w:r w:rsidRPr="007105A2">
        <w:rPr>
          <w:rFonts w:ascii="Arial" w:eastAsia="Calibri" w:hAnsi="Arial" w:cs="Arial"/>
          <w:sz w:val="24"/>
          <w:szCs w:val="24"/>
          <w:lang w:val="es-ES_tradnl"/>
        </w:rPr>
        <w:t>Pentru calculul</w:t>
      </w:r>
      <w:r w:rsidRPr="007105A2">
        <w:rPr>
          <w:rFonts w:ascii="Arial" w:eastAsia="Calibri" w:hAnsi="Arial" w:cs="Arial"/>
          <w:b/>
          <w:i/>
          <w:sz w:val="24"/>
          <w:szCs w:val="24"/>
          <w:lang w:val="es-ES_tradnl"/>
        </w:rPr>
        <w:t xml:space="preserve"> prognozei cerințelor de apă pentru irigații</w:t>
      </w:r>
      <w:r w:rsidRPr="007105A2">
        <w:rPr>
          <w:rFonts w:ascii="Arial" w:eastAsia="Calibri" w:hAnsi="Arial" w:cs="Arial"/>
          <w:i/>
          <w:sz w:val="24"/>
          <w:szCs w:val="24"/>
          <w:lang w:val="es-ES_tradnl"/>
        </w:rPr>
        <w:t xml:space="preserve"> </w:t>
      </w:r>
      <w:r w:rsidRPr="007105A2">
        <w:rPr>
          <w:rFonts w:ascii="Arial" w:eastAsia="Calibri" w:hAnsi="Arial" w:cs="Arial"/>
          <w:sz w:val="24"/>
          <w:szCs w:val="24"/>
          <w:lang w:val="es-ES_tradnl"/>
        </w:rPr>
        <w:t xml:space="preserve">s-au luat în considerare: </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volumele de apă prelevate pentru irigații în anii anteriori etapei de calcul;</w:t>
      </w:r>
    </w:p>
    <w:p w:rsidR="00AB4C01"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AB4C01">
        <w:rPr>
          <w:rFonts w:ascii="Arial" w:hAnsi="Arial" w:cs="Arial"/>
          <w:sz w:val="24"/>
          <w:szCs w:val="24"/>
        </w:rPr>
        <w:t xml:space="preserve"> suprafețele prognozate a fi irigate in conformitate cu Strategia Investiţiilor în Sectorul Irigaţiilor</w:t>
      </w:r>
    </w:p>
    <w:p w:rsidR="007551D0" w:rsidRPr="00AB4C01"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AB4C01">
        <w:rPr>
          <w:rFonts w:ascii="Arial" w:hAnsi="Arial" w:cs="Arial"/>
          <w:sz w:val="24"/>
          <w:szCs w:val="24"/>
        </w:rPr>
        <w:t>suprafeţele prognozate a fi amenajate pentru irigaţii cu normele de udare aferente la nivel național, conform informaţiilor primite de la ANIF.</w:t>
      </w:r>
    </w:p>
    <w:p w:rsidR="007551D0" w:rsidRPr="007105A2" w:rsidRDefault="007551D0" w:rsidP="00607AC2">
      <w:pPr>
        <w:pStyle w:val="ListParagraph"/>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0" w:firstLine="709"/>
        <w:jc w:val="both"/>
        <w:rPr>
          <w:rFonts w:ascii="Arial" w:eastAsia="Calibri" w:hAnsi="Arial" w:cs="Arial"/>
          <w:lang w:val="es-ES_tradnl"/>
        </w:rPr>
      </w:pPr>
      <w:r w:rsidRPr="007105A2">
        <w:rPr>
          <w:rFonts w:ascii="Arial" w:eastAsia="Calibri" w:hAnsi="Arial" w:cs="Arial"/>
          <w:lang w:val="es-ES_tradnl"/>
        </w:rPr>
        <w:t>Calculele de prognoză s-au realizat pe trei scenarii de prognoză.</w:t>
      </w:r>
    </w:p>
    <w:p w:rsidR="007551D0"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eastAsia="Calibri" w:hAnsi="Arial" w:cs="Arial"/>
          <w:b/>
          <w:i/>
          <w:sz w:val="24"/>
          <w:szCs w:val="24"/>
          <w:lang w:val="es-ES_tradnl"/>
        </w:rPr>
      </w:pPr>
    </w:p>
    <w:p w:rsidR="007551D0" w:rsidRPr="007105A2"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eastAsia="Calibri" w:hAnsi="Arial" w:cs="Arial"/>
          <w:sz w:val="24"/>
          <w:szCs w:val="24"/>
          <w:lang w:val="es-ES_tradnl"/>
        </w:rPr>
      </w:pPr>
      <w:r w:rsidRPr="007105A2">
        <w:rPr>
          <w:rFonts w:ascii="Arial" w:eastAsia="Calibri" w:hAnsi="Arial" w:cs="Arial"/>
          <w:b/>
          <w:i/>
          <w:sz w:val="24"/>
          <w:szCs w:val="24"/>
          <w:lang w:val="es-ES_tradnl"/>
        </w:rPr>
        <w:t>Prognoza cerințelor de apă pentru zootehnie</w:t>
      </w:r>
      <w:r w:rsidRPr="007105A2">
        <w:rPr>
          <w:rFonts w:ascii="Arial" w:eastAsia="Calibri" w:hAnsi="Arial" w:cs="Arial"/>
          <w:i/>
          <w:sz w:val="24"/>
          <w:szCs w:val="24"/>
          <w:lang w:val="es-ES_tradnl"/>
        </w:rPr>
        <w:t xml:space="preserve">  </w:t>
      </w:r>
      <w:r w:rsidRPr="007105A2">
        <w:rPr>
          <w:rFonts w:ascii="Arial" w:eastAsia="Calibri" w:hAnsi="Arial" w:cs="Arial"/>
          <w:sz w:val="24"/>
          <w:szCs w:val="24"/>
          <w:lang w:val="es-ES_tradnl"/>
        </w:rPr>
        <w:t xml:space="preserve">se referă în mod exclusiv la cerința de apă necesară creșterii animalelor în regim industrial, pentru animalele crescute în gospodăriile poulației volumele de apă necesare  s-au considerat a fi  înglobate în cerința de apă din mediul rural. </w:t>
      </w:r>
    </w:p>
    <w:p w:rsidR="007551D0" w:rsidRPr="007105A2"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eastAsia="Calibri" w:hAnsi="Arial" w:cs="Arial"/>
          <w:sz w:val="24"/>
          <w:szCs w:val="24"/>
          <w:lang w:val="es-ES_tradnl"/>
        </w:rPr>
      </w:pPr>
      <w:r w:rsidRPr="007105A2">
        <w:rPr>
          <w:rFonts w:ascii="Arial" w:eastAsia="Calibri" w:hAnsi="Arial" w:cs="Arial"/>
          <w:sz w:val="24"/>
          <w:szCs w:val="24"/>
          <w:lang w:val="es-ES_tradnl"/>
        </w:rPr>
        <w:tab/>
        <w:t xml:space="preserve">Pentru calcul prognozei cerințelor de apă pentru zootehnie  s-au luat in considerare: </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 xml:space="preserve">datele furnizate de Institutul Naţional de Statistică ce cuprind efectivele de animale, pe categorii de animale, forme de proprietate, macroregiuni, regiuni de dezvoltare şi judeţe pentru anul de referinţă (2011) ; </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numărul populaţiei la nivelul anului de referinţă;</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prognoza numărului de locuitori pentru orizontul de timp 2020-2030 determinată anterior;</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cerinţa medie de apă pentru animalele crescute în regim industrial.</w:t>
      </w:r>
    </w:p>
    <w:p w:rsidR="007551D0" w:rsidRDefault="007551D0" w:rsidP="00607AC2">
      <w:pPr>
        <w:pStyle w:val="1text2"/>
        <w:spacing w:before="0"/>
        <w:ind w:firstLine="709"/>
        <w:rPr>
          <w:rFonts w:cs="Arial"/>
        </w:rPr>
      </w:pPr>
      <w:r w:rsidRPr="007105A2">
        <w:rPr>
          <w:rFonts w:cs="Arial"/>
        </w:rPr>
        <w:t>Calculele de prognoză s-au realizat pentru trei scenarii de prognoză.</w:t>
      </w:r>
    </w:p>
    <w:p w:rsidR="007551D0" w:rsidRPr="007105A2" w:rsidRDefault="007551D0" w:rsidP="00607AC2">
      <w:pPr>
        <w:pStyle w:val="1text2"/>
        <w:spacing w:before="0"/>
        <w:ind w:firstLine="709"/>
        <w:rPr>
          <w:rFonts w:cs="Arial"/>
        </w:rPr>
      </w:pPr>
    </w:p>
    <w:p w:rsidR="007551D0" w:rsidRPr="007105A2"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eastAsia="Calibri" w:hAnsi="Arial" w:cs="Arial"/>
          <w:sz w:val="24"/>
          <w:szCs w:val="24"/>
          <w:lang w:val="es-ES_tradnl"/>
        </w:rPr>
      </w:pPr>
      <w:r w:rsidRPr="007105A2">
        <w:rPr>
          <w:rFonts w:ascii="Arial" w:eastAsia="Calibri" w:hAnsi="Arial" w:cs="Arial"/>
          <w:b/>
          <w:i/>
          <w:sz w:val="24"/>
          <w:szCs w:val="24"/>
          <w:lang w:val="es-ES_tradnl"/>
        </w:rPr>
        <w:t>Prognoza cerințelor de apă pentru acvacultură/piscicultură</w:t>
      </w:r>
      <w:r w:rsidRPr="007105A2">
        <w:rPr>
          <w:rFonts w:ascii="Arial" w:eastAsia="Calibri" w:hAnsi="Arial" w:cs="Arial"/>
          <w:i/>
          <w:sz w:val="24"/>
          <w:szCs w:val="24"/>
          <w:lang w:val="es-ES_tradnl"/>
        </w:rPr>
        <w:t xml:space="preserve"> </w:t>
      </w:r>
      <w:r w:rsidRPr="007105A2">
        <w:rPr>
          <w:rFonts w:ascii="Arial" w:eastAsia="Calibri" w:hAnsi="Arial" w:cs="Arial"/>
          <w:sz w:val="24"/>
          <w:szCs w:val="24"/>
          <w:lang w:val="es-ES_tradnl"/>
        </w:rPr>
        <w:t xml:space="preserve">s-a realizat luând în considerare: </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 xml:space="preserve">volumule de apă prelevate  în anii anteriori pentru acvacultură/piscicultură, volume ce au fost preluate din Balanţa Apei elaborată de Administraţia Naţionala „Apele Române” </w:t>
      </w:r>
      <w:r w:rsidRPr="007105A2">
        <w:rPr>
          <w:rFonts w:ascii="Arial" w:hAnsi="Arial" w:cs="Arial"/>
          <w:sz w:val="24"/>
          <w:szCs w:val="24"/>
        </w:rPr>
        <w:t>;</w:t>
      </w:r>
    </w:p>
    <w:p w:rsidR="007551D0" w:rsidRPr="00ED1BAC" w:rsidRDefault="007551D0" w:rsidP="00607AC2">
      <w:pPr>
        <w:widowControl w:val="0"/>
        <w:numPr>
          <w:ilvl w:val="0"/>
          <w:numId w:val="83"/>
        </w:numPr>
        <w:tabs>
          <w:tab w:val="left" w:pos="1021"/>
        </w:tabs>
        <w:spacing w:after="0" w:line="240" w:lineRule="auto"/>
        <w:ind w:left="1021" w:hanging="284"/>
        <w:jc w:val="both"/>
        <w:rPr>
          <w:rFonts w:ascii="Arial" w:hAnsi="Arial" w:cs="Arial"/>
          <w:sz w:val="24"/>
          <w:szCs w:val="24"/>
        </w:rPr>
      </w:pPr>
      <w:r w:rsidRPr="00ED1BAC">
        <w:rPr>
          <w:rFonts w:ascii="Arial" w:hAnsi="Arial" w:cs="Arial"/>
          <w:sz w:val="24"/>
          <w:szCs w:val="24"/>
        </w:rPr>
        <w:t>suprafeţele amenajărilor piscicole – pepiniere şi crescătorii potrivit Registrului Unităților de Acvacultură a Agenţiei Naţionale pentru Pescuit şi Acvacultură.</w:t>
      </w:r>
    </w:p>
    <w:p w:rsidR="007551D0" w:rsidRPr="007105A2"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eastAsia="Calibri" w:hAnsi="Arial" w:cs="Arial"/>
          <w:sz w:val="24"/>
          <w:szCs w:val="24"/>
          <w:lang w:val="es-ES_tradnl"/>
        </w:rPr>
      </w:pPr>
      <w:r w:rsidRPr="007105A2">
        <w:rPr>
          <w:rFonts w:ascii="Arial" w:eastAsia="Calibri" w:hAnsi="Arial" w:cs="Arial"/>
          <w:sz w:val="24"/>
          <w:szCs w:val="24"/>
          <w:lang w:val="es-ES_tradnl"/>
        </w:rPr>
        <w:t>Calculele de prognoză s-au realizat pentru un scenariu de prognoză.</w:t>
      </w:r>
    </w:p>
    <w:p w:rsidR="007551D0" w:rsidRDefault="007551D0" w:rsidP="00607AC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firstLine="709"/>
        <w:jc w:val="both"/>
        <w:rPr>
          <w:rFonts w:ascii="Arial" w:hAnsi="Arial" w:cs="Arial"/>
          <w:sz w:val="24"/>
          <w:szCs w:val="24"/>
        </w:rPr>
      </w:pPr>
      <w:r w:rsidRPr="007105A2">
        <w:rPr>
          <w:rFonts w:ascii="Arial" w:hAnsi="Arial" w:cs="Arial"/>
          <w:sz w:val="24"/>
          <w:szCs w:val="24"/>
        </w:rPr>
        <w:t xml:space="preserve">In tabelul nr. </w:t>
      </w:r>
      <w:r w:rsidRPr="007105A2">
        <w:rPr>
          <w:rFonts w:ascii="Arial" w:hAnsi="Arial" w:cs="Arial"/>
          <w:i/>
          <w:sz w:val="24"/>
          <w:szCs w:val="24"/>
        </w:rPr>
        <w:t xml:space="preserve">II.1.2.1.2 </w:t>
      </w:r>
      <w:r w:rsidRPr="007105A2">
        <w:rPr>
          <w:rFonts w:ascii="Arial" w:hAnsi="Arial" w:cs="Arial"/>
          <w:sz w:val="24"/>
          <w:szCs w:val="24"/>
        </w:rPr>
        <w:t>se prezintă cerinţa de apă, la nivelul României, pe folosinţe de apă şi pe orizonturi de timp, pentru scenariul mediu.</w:t>
      </w:r>
    </w:p>
    <w:p w:rsidR="007551D0" w:rsidRPr="007105A2" w:rsidRDefault="007551D0" w:rsidP="007551D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ind w:firstLine="709"/>
        <w:jc w:val="both"/>
        <w:rPr>
          <w:rFonts w:ascii="Arial" w:hAnsi="Arial" w:cs="Arial"/>
          <w:sz w:val="24"/>
          <w:szCs w:val="24"/>
        </w:rPr>
      </w:pPr>
    </w:p>
    <w:p w:rsidR="007551D0" w:rsidRPr="00AB4C01" w:rsidRDefault="007551D0" w:rsidP="007551D0">
      <w:pPr>
        <w:pStyle w:val="1tabeltitlu"/>
        <w:spacing w:before="0" w:line="276" w:lineRule="auto"/>
        <w:rPr>
          <w:b w:val="0"/>
          <w:sz w:val="24"/>
        </w:rPr>
      </w:pPr>
      <w:r w:rsidRPr="00AB4C01">
        <w:rPr>
          <w:b w:val="0"/>
          <w:sz w:val="24"/>
        </w:rPr>
        <w:t xml:space="preserve">Tabel nr. </w:t>
      </w:r>
      <w:r w:rsidRPr="00AB4C01">
        <w:rPr>
          <w:b w:val="0"/>
          <w:i/>
          <w:sz w:val="24"/>
        </w:rPr>
        <w:t xml:space="preserve">II.1.2.1.2 </w:t>
      </w:r>
      <w:r w:rsidRPr="00AB4C01">
        <w:rPr>
          <w:b w:val="0"/>
          <w:sz w:val="24"/>
        </w:rPr>
        <w:t>Centralizator  privind  cerinţa de apă pentru orizonturile de timp 2020 şi 2030</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268"/>
        <w:gridCol w:w="2410"/>
      </w:tblGrid>
      <w:tr w:rsidR="007551D0" w:rsidRPr="00AB4C01" w:rsidTr="00A54188">
        <w:trPr>
          <w:trHeight w:val="20"/>
          <w:jc w:val="center"/>
        </w:trPr>
        <w:tc>
          <w:tcPr>
            <w:tcW w:w="2693" w:type="dxa"/>
            <w:vMerge w:val="restart"/>
            <w:shd w:val="clear" w:color="auto" w:fill="8DB3E2" w:themeFill="text2" w:themeFillTint="66"/>
            <w:vAlign w:val="center"/>
          </w:tcPr>
          <w:p w:rsidR="007551D0" w:rsidRPr="00AB4C01" w:rsidRDefault="007551D0" w:rsidP="00DB2B5E">
            <w:pPr>
              <w:spacing w:before="40" w:after="40" w:line="240" w:lineRule="auto"/>
              <w:rPr>
                <w:rFonts w:ascii="Arial" w:eastAsia="Calibri" w:hAnsi="Arial" w:cs="Arial"/>
                <w:b/>
                <w:sz w:val="24"/>
                <w:szCs w:val="24"/>
              </w:rPr>
            </w:pPr>
          </w:p>
          <w:p w:rsidR="007551D0" w:rsidRPr="00AB4C01" w:rsidRDefault="007551D0" w:rsidP="00DB2B5E">
            <w:pPr>
              <w:spacing w:before="40" w:after="40" w:line="240" w:lineRule="auto"/>
              <w:jc w:val="center"/>
              <w:rPr>
                <w:rFonts w:ascii="Arial" w:eastAsia="Calibri" w:hAnsi="Arial" w:cs="Arial"/>
                <w:b/>
                <w:sz w:val="24"/>
                <w:szCs w:val="24"/>
              </w:rPr>
            </w:pPr>
            <w:r w:rsidRPr="00AB4C01">
              <w:rPr>
                <w:rFonts w:ascii="Arial" w:eastAsia="Calibri" w:hAnsi="Arial" w:cs="Arial"/>
                <w:b/>
                <w:sz w:val="24"/>
                <w:szCs w:val="24"/>
              </w:rPr>
              <w:t>Folosința de apă</w:t>
            </w:r>
          </w:p>
        </w:tc>
        <w:tc>
          <w:tcPr>
            <w:tcW w:w="4678" w:type="dxa"/>
            <w:gridSpan w:val="2"/>
            <w:shd w:val="clear" w:color="auto" w:fill="8DB3E2" w:themeFill="text2" w:themeFillTint="66"/>
            <w:vAlign w:val="center"/>
          </w:tcPr>
          <w:p w:rsidR="007551D0" w:rsidRPr="00AB4C01" w:rsidRDefault="007551D0" w:rsidP="00DB2B5E">
            <w:pPr>
              <w:spacing w:before="40" w:after="40" w:line="240" w:lineRule="auto"/>
              <w:jc w:val="center"/>
              <w:rPr>
                <w:rFonts w:ascii="Arial" w:eastAsia="Calibri" w:hAnsi="Arial" w:cs="Arial"/>
                <w:b/>
                <w:sz w:val="24"/>
                <w:szCs w:val="24"/>
              </w:rPr>
            </w:pPr>
            <w:r w:rsidRPr="00AB4C01">
              <w:rPr>
                <w:rFonts w:ascii="Arial" w:eastAsia="Calibri" w:hAnsi="Arial" w:cs="Arial"/>
                <w:b/>
                <w:sz w:val="24"/>
                <w:szCs w:val="24"/>
              </w:rPr>
              <w:t>CERINȚA DE APĂ (mil. mc)</w:t>
            </w:r>
          </w:p>
        </w:tc>
      </w:tr>
      <w:tr w:rsidR="007551D0" w:rsidRPr="007105A2" w:rsidTr="00A54188">
        <w:trPr>
          <w:trHeight w:val="20"/>
          <w:jc w:val="center"/>
        </w:trPr>
        <w:tc>
          <w:tcPr>
            <w:tcW w:w="2693" w:type="dxa"/>
            <w:vMerge/>
            <w:shd w:val="clear" w:color="auto" w:fill="8DB3E2" w:themeFill="text2" w:themeFillTint="66"/>
            <w:vAlign w:val="center"/>
          </w:tcPr>
          <w:p w:rsidR="007551D0" w:rsidRPr="007105A2" w:rsidRDefault="007551D0" w:rsidP="00DB2B5E">
            <w:pPr>
              <w:spacing w:before="40" w:after="40" w:line="240" w:lineRule="auto"/>
              <w:jc w:val="center"/>
              <w:rPr>
                <w:rFonts w:ascii="Arial" w:eastAsia="Calibri" w:hAnsi="Arial" w:cs="Arial"/>
                <w:b/>
              </w:rPr>
            </w:pPr>
          </w:p>
        </w:tc>
        <w:tc>
          <w:tcPr>
            <w:tcW w:w="2268" w:type="dxa"/>
            <w:shd w:val="clear" w:color="auto" w:fill="8DB3E2" w:themeFill="text2" w:themeFillTint="66"/>
            <w:vAlign w:val="center"/>
          </w:tcPr>
          <w:p w:rsidR="007551D0" w:rsidRPr="007105A2" w:rsidRDefault="007551D0" w:rsidP="00DB2B5E">
            <w:pPr>
              <w:spacing w:before="40" w:after="40" w:line="240" w:lineRule="auto"/>
              <w:jc w:val="center"/>
              <w:rPr>
                <w:rFonts w:ascii="Arial" w:eastAsia="Calibri" w:hAnsi="Arial" w:cs="Arial"/>
                <w:b/>
              </w:rPr>
            </w:pPr>
            <w:r w:rsidRPr="007105A2">
              <w:rPr>
                <w:rFonts w:ascii="Arial" w:eastAsia="Calibri" w:hAnsi="Arial" w:cs="Arial"/>
                <w:b/>
              </w:rPr>
              <w:t>2020</w:t>
            </w:r>
          </w:p>
        </w:tc>
        <w:tc>
          <w:tcPr>
            <w:tcW w:w="2410" w:type="dxa"/>
            <w:shd w:val="clear" w:color="auto" w:fill="8DB3E2" w:themeFill="text2" w:themeFillTint="66"/>
            <w:vAlign w:val="center"/>
          </w:tcPr>
          <w:p w:rsidR="007551D0" w:rsidRPr="007105A2" w:rsidRDefault="007551D0" w:rsidP="00DB2B5E">
            <w:pPr>
              <w:spacing w:before="40" w:after="40" w:line="240" w:lineRule="auto"/>
              <w:jc w:val="center"/>
              <w:rPr>
                <w:rFonts w:ascii="Arial" w:eastAsia="Calibri" w:hAnsi="Arial" w:cs="Arial"/>
                <w:b/>
              </w:rPr>
            </w:pPr>
            <w:r w:rsidRPr="007105A2">
              <w:rPr>
                <w:rFonts w:ascii="Arial" w:eastAsia="Calibri" w:hAnsi="Arial" w:cs="Arial"/>
                <w:b/>
              </w:rPr>
              <w:t>2030</w:t>
            </w:r>
          </w:p>
        </w:tc>
      </w:tr>
      <w:tr w:rsidR="007551D0" w:rsidRPr="007105A2" w:rsidTr="00A54188">
        <w:trPr>
          <w:trHeight w:val="20"/>
          <w:jc w:val="center"/>
        </w:trPr>
        <w:tc>
          <w:tcPr>
            <w:tcW w:w="2693"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Populație</w:t>
            </w:r>
          </w:p>
        </w:tc>
        <w:tc>
          <w:tcPr>
            <w:tcW w:w="2268"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color w:val="FF0000"/>
                <w:highlight w:val="red"/>
              </w:rPr>
            </w:pPr>
            <w:r w:rsidRPr="007105A2">
              <w:rPr>
                <w:rFonts w:ascii="Arial" w:eastAsia="Calibri" w:hAnsi="Arial" w:cs="Arial"/>
              </w:rPr>
              <w:t>2.088</w:t>
            </w:r>
          </w:p>
        </w:tc>
        <w:tc>
          <w:tcPr>
            <w:tcW w:w="2410"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2.097</w:t>
            </w:r>
          </w:p>
        </w:tc>
      </w:tr>
      <w:tr w:rsidR="007551D0" w:rsidRPr="007105A2" w:rsidTr="00A54188">
        <w:trPr>
          <w:trHeight w:val="20"/>
          <w:jc w:val="center"/>
        </w:trPr>
        <w:tc>
          <w:tcPr>
            <w:tcW w:w="2693"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Industrie</w:t>
            </w:r>
          </w:p>
        </w:tc>
        <w:tc>
          <w:tcPr>
            <w:tcW w:w="2268"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6.664</w:t>
            </w:r>
          </w:p>
        </w:tc>
        <w:tc>
          <w:tcPr>
            <w:tcW w:w="2410"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7.383</w:t>
            </w:r>
          </w:p>
        </w:tc>
      </w:tr>
      <w:tr w:rsidR="007551D0" w:rsidRPr="007105A2" w:rsidTr="00A54188">
        <w:trPr>
          <w:trHeight w:val="20"/>
          <w:jc w:val="center"/>
        </w:trPr>
        <w:tc>
          <w:tcPr>
            <w:tcW w:w="2693"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Irigații</w:t>
            </w:r>
          </w:p>
        </w:tc>
        <w:tc>
          <w:tcPr>
            <w:tcW w:w="2268"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562</w:t>
            </w:r>
          </w:p>
        </w:tc>
        <w:tc>
          <w:tcPr>
            <w:tcW w:w="2410"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1.689</w:t>
            </w:r>
          </w:p>
        </w:tc>
      </w:tr>
      <w:tr w:rsidR="007551D0" w:rsidRPr="007105A2" w:rsidTr="00A54188">
        <w:trPr>
          <w:trHeight w:val="20"/>
          <w:jc w:val="center"/>
        </w:trPr>
        <w:tc>
          <w:tcPr>
            <w:tcW w:w="2693"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Zootehnie</w:t>
            </w:r>
          </w:p>
        </w:tc>
        <w:tc>
          <w:tcPr>
            <w:tcW w:w="2268"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color w:val="FF0000"/>
              </w:rPr>
            </w:pPr>
            <w:r w:rsidRPr="007105A2">
              <w:rPr>
                <w:rFonts w:ascii="Arial" w:eastAsia="Calibri" w:hAnsi="Arial" w:cs="Arial"/>
              </w:rPr>
              <w:t>172</w:t>
            </w:r>
          </w:p>
        </w:tc>
        <w:tc>
          <w:tcPr>
            <w:tcW w:w="2410"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164</w:t>
            </w:r>
          </w:p>
        </w:tc>
      </w:tr>
      <w:tr w:rsidR="007551D0" w:rsidRPr="007105A2" w:rsidTr="00A54188">
        <w:trPr>
          <w:trHeight w:val="20"/>
          <w:jc w:val="center"/>
        </w:trPr>
        <w:tc>
          <w:tcPr>
            <w:tcW w:w="2693"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Acvacultură</w:t>
            </w:r>
          </w:p>
        </w:tc>
        <w:tc>
          <w:tcPr>
            <w:tcW w:w="2268"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color w:val="FF0000"/>
              </w:rPr>
            </w:pPr>
            <w:r w:rsidRPr="007105A2">
              <w:rPr>
                <w:rFonts w:ascii="Arial" w:eastAsia="Calibri" w:hAnsi="Arial" w:cs="Arial"/>
              </w:rPr>
              <w:t>818</w:t>
            </w:r>
          </w:p>
        </w:tc>
        <w:tc>
          <w:tcPr>
            <w:tcW w:w="2410"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rPr>
            </w:pPr>
            <w:r w:rsidRPr="007105A2">
              <w:rPr>
                <w:rFonts w:ascii="Arial" w:eastAsia="Calibri" w:hAnsi="Arial" w:cs="Arial"/>
              </w:rPr>
              <w:t>949</w:t>
            </w:r>
          </w:p>
        </w:tc>
      </w:tr>
      <w:tr w:rsidR="007551D0" w:rsidRPr="007105A2" w:rsidTr="00A54188">
        <w:trPr>
          <w:trHeight w:val="20"/>
          <w:jc w:val="center"/>
        </w:trPr>
        <w:tc>
          <w:tcPr>
            <w:tcW w:w="2693"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b/>
              </w:rPr>
            </w:pPr>
            <w:r w:rsidRPr="007105A2">
              <w:rPr>
                <w:rFonts w:ascii="Arial" w:eastAsia="Calibri" w:hAnsi="Arial" w:cs="Arial"/>
                <w:b/>
              </w:rPr>
              <w:t>Total</w:t>
            </w:r>
            <w:r w:rsidRPr="007105A2">
              <w:rPr>
                <w:rFonts w:ascii="Arial" w:hAnsi="Arial" w:cs="Arial"/>
                <w:b/>
              </w:rPr>
              <w:t xml:space="preserve"> România</w:t>
            </w:r>
          </w:p>
        </w:tc>
        <w:tc>
          <w:tcPr>
            <w:tcW w:w="2268"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b/>
              </w:rPr>
            </w:pPr>
            <w:r w:rsidRPr="007105A2">
              <w:rPr>
                <w:rFonts w:ascii="Arial" w:eastAsia="Calibri" w:hAnsi="Arial" w:cs="Arial"/>
                <w:b/>
              </w:rPr>
              <w:t>10.304</w:t>
            </w:r>
          </w:p>
        </w:tc>
        <w:tc>
          <w:tcPr>
            <w:tcW w:w="2410" w:type="dxa"/>
            <w:shd w:val="clear" w:color="auto" w:fill="DBE5F1" w:themeFill="accent1" w:themeFillTint="33"/>
            <w:vAlign w:val="center"/>
          </w:tcPr>
          <w:p w:rsidR="007551D0" w:rsidRPr="007105A2" w:rsidRDefault="007551D0" w:rsidP="00DB2B5E">
            <w:pPr>
              <w:spacing w:before="40" w:after="40" w:line="240" w:lineRule="auto"/>
              <w:jc w:val="center"/>
              <w:rPr>
                <w:rFonts w:ascii="Arial" w:eastAsia="Calibri" w:hAnsi="Arial" w:cs="Arial"/>
                <w:b/>
              </w:rPr>
            </w:pPr>
            <w:r w:rsidRPr="007105A2">
              <w:rPr>
                <w:rFonts w:ascii="Arial" w:eastAsia="Calibri" w:hAnsi="Arial" w:cs="Arial"/>
                <w:b/>
              </w:rPr>
              <w:t>12.282</w:t>
            </w:r>
          </w:p>
        </w:tc>
      </w:tr>
    </w:tbl>
    <w:p w:rsidR="007551D0" w:rsidRDefault="007551D0" w:rsidP="007551D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ind w:firstLine="709"/>
        <w:jc w:val="both"/>
        <w:rPr>
          <w:rFonts w:ascii="Arial" w:hAnsi="Arial" w:cs="Arial"/>
          <w:sz w:val="24"/>
          <w:szCs w:val="24"/>
        </w:rPr>
      </w:pPr>
    </w:p>
    <w:p w:rsidR="007551D0" w:rsidRPr="007105A2" w:rsidRDefault="007551D0" w:rsidP="007551D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ind w:firstLine="709"/>
        <w:jc w:val="both"/>
        <w:rPr>
          <w:rFonts w:ascii="Arial" w:hAnsi="Arial" w:cs="Arial"/>
          <w:sz w:val="24"/>
          <w:szCs w:val="24"/>
        </w:rPr>
      </w:pPr>
      <w:r w:rsidRPr="006A3B47">
        <w:rPr>
          <w:rFonts w:ascii="Arial" w:hAnsi="Arial" w:cs="Arial"/>
          <w:b/>
          <w:sz w:val="24"/>
          <w:szCs w:val="24"/>
        </w:rPr>
        <w:t>În figura II.1.2.1.2</w:t>
      </w:r>
      <w:r w:rsidRPr="00C95A7F">
        <w:rPr>
          <w:rFonts w:ascii="Arial" w:hAnsi="Arial" w:cs="Arial"/>
          <w:sz w:val="24"/>
          <w:szCs w:val="24"/>
        </w:rPr>
        <w:t xml:space="preserve"> </w:t>
      </w:r>
      <w:r w:rsidRPr="007105A2">
        <w:rPr>
          <w:rFonts w:ascii="Arial" w:hAnsi="Arial" w:cs="Arial"/>
          <w:sz w:val="24"/>
          <w:szCs w:val="24"/>
        </w:rPr>
        <w:t>este reprezentată prognoza cerinţei de apă totală la nivel naţional pentru orizontul de timp 2015 - 2030.</w:t>
      </w:r>
    </w:p>
    <w:p w:rsidR="007551D0" w:rsidRPr="007105A2" w:rsidRDefault="007551D0" w:rsidP="007551D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jc w:val="center"/>
        <w:rPr>
          <w:rFonts w:ascii="Arial" w:hAnsi="Arial" w:cs="Arial"/>
          <w:i/>
          <w:sz w:val="24"/>
          <w:szCs w:val="24"/>
        </w:rPr>
      </w:pPr>
      <w:r w:rsidRPr="007105A2">
        <w:rPr>
          <w:rFonts w:ascii="Arial" w:hAnsi="Arial" w:cs="Arial"/>
          <w:i/>
          <w:noProof/>
          <w:sz w:val="24"/>
          <w:szCs w:val="24"/>
          <w:lang w:eastAsia="ro-RO"/>
        </w:rPr>
        <w:lastRenderedPageBreak/>
        <w:drawing>
          <wp:inline distT="0" distB="0" distL="0" distR="0">
            <wp:extent cx="3571875" cy="3057525"/>
            <wp:effectExtent l="0" t="0" r="0" b="0"/>
            <wp:docPr id="19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551D0" w:rsidRPr="00C95A7F" w:rsidRDefault="007551D0" w:rsidP="007551D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jc w:val="center"/>
        <w:rPr>
          <w:rFonts w:ascii="Arial" w:hAnsi="Arial" w:cs="Arial"/>
          <w:i/>
        </w:rPr>
      </w:pPr>
      <w:r w:rsidRPr="00C95A7F">
        <w:rPr>
          <w:rFonts w:ascii="Arial" w:hAnsi="Arial" w:cs="Arial"/>
          <w:i/>
        </w:rPr>
        <w:t xml:space="preserve">Figura II.1.2.1.2 Prognoza cerinţei de apă totală la nivel naţional pentru </w:t>
      </w:r>
    </w:p>
    <w:p w:rsidR="007551D0" w:rsidRPr="00C95A7F" w:rsidRDefault="007551D0" w:rsidP="007551D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jc w:val="center"/>
        <w:rPr>
          <w:rFonts w:ascii="Arial" w:hAnsi="Arial" w:cs="Arial"/>
          <w:i/>
        </w:rPr>
      </w:pPr>
      <w:r w:rsidRPr="00C95A7F">
        <w:rPr>
          <w:rFonts w:ascii="Arial" w:hAnsi="Arial" w:cs="Arial"/>
          <w:i/>
        </w:rPr>
        <w:t>orizontul de timp 2015 -2030.</w:t>
      </w:r>
    </w:p>
    <w:p w:rsidR="007551D0" w:rsidRPr="007105A2" w:rsidRDefault="007551D0" w:rsidP="007551D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jc w:val="center"/>
        <w:rPr>
          <w:rFonts w:ascii="Arial" w:hAnsi="Arial" w:cs="Arial"/>
          <w:i/>
          <w:sz w:val="24"/>
          <w:szCs w:val="24"/>
        </w:rPr>
      </w:pPr>
    </w:p>
    <w:p w:rsidR="007551D0" w:rsidRDefault="007551D0" w:rsidP="007551D0">
      <w:pPr>
        <w:spacing w:after="120"/>
        <w:ind w:firstLine="709"/>
        <w:jc w:val="both"/>
        <w:rPr>
          <w:rFonts w:ascii="Arial" w:eastAsia="Calibri" w:hAnsi="Arial" w:cs="Arial"/>
          <w:sz w:val="24"/>
          <w:szCs w:val="24"/>
        </w:rPr>
      </w:pPr>
      <w:r w:rsidRPr="00745B7E">
        <w:rPr>
          <w:rFonts w:ascii="Arial" w:hAnsi="Arial" w:cs="Arial"/>
          <w:b/>
          <w:i/>
          <w:sz w:val="26"/>
          <w:szCs w:val="26"/>
          <w:lang w:val="en-US"/>
        </w:rPr>
        <w:t xml:space="preserve">  II.1.2.2   Riscurile şi presiunile inundaţiilor</w:t>
      </w:r>
    </w:p>
    <w:p w:rsidR="007551D0" w:rsidRPr="004F436C" w:rsidRDefault="007551D0" w:rsidP="00EA6509">
      <w:pPr>
        <w:spacing w:after="0" w:line="240" w:lineRule="auto"/>
        <w:ind w:firstLine="709"/>
        <w:jc w:val="both"/>
        <w:rPr>
          <w:rFonts w:ascii="Arial" w:eastAsia="Calibri" w:hAnsi="Arial" w:cs="Arial"/>
          <w:sz w:val="24"/>
          <w:szCs w:val="24"/>
        </w:rPr>
      </w:pPr>
      <w:r w:rsidRPr="004F436C">
        <w:rPr>
          <w:rFonts w:ascii="Arial" w:eastAsia="Calibri" w:hAnsi="Arial" w:cs="Arial"/>
          <w:sz w:val="24"/>
          <w:szCs w:val="24"/>
        </w:rPr>
        <w:t>I</w:t>
      </w:r>
      <w:r w:rsidRPr="004F436C">
        <w:rPr>
          <w:rFonts w:ascii="Arial" w:eastAsia="Calibri" w:hAnsi="Arial" w:cs="Arial"/>
          <w:spacing w:val="-1"/>
          <w:sz w:val="24"/>
          <w:szCs w:val="24"/>
        </w:rPr>
        <w:t>nund</w:t>
      </w:r>
      <w:r w:rsidRPr="004F436C">
        <w:rPr>
          <w:rFonts w:ascii="Arial" w:eastAsia="Calibri" w:hAnsi="Arial" w:cs="Arial"/>
          <w:sz w:val="24"/>
          <w:szCs w:val="24"/>
        </w:rPr>
        <w:t>a</w:t>
      </w:r>
      <w:r w:rsidRPr="004F436C">
        <w:rPr>
          <w:rFonts w:ascii="Arial" w:eastAsia="Calibri" w:hAnsi="Arial" w:cs="Arial"/>
          <w:spacing w:val="1"/>
          <w:sz w:val="24"/>
          <w:szCs w:val="24"/>
        </w:rPr>
        <w:t>ţ</w:t>
      </w:r>
      <w:r w:rsidRPr="004F436C">
        <w:rPr>
          <w:rFonts w:ascii="Arial" w:eastAsia="Calibri" w:hAnsi="Arial" w:cs="Arial"/>
          <w:sz w:val="24"/>
          <w:szCs w:val="24"/>
        </w:rPr>
        <w:t>i</w:t>
      </w:r>
      <w:r w:rsidRPr="004F436C">
        <w:rPr>
          <w:rFonts w:ascii="Arial" w:eastAsia="Calibri" w:hAnsi="Arial" w:cs="Arial"/>
          <w:spacing w:val="-1"/>
          <w:sz w:val="24"/>
          <w:szCs w:val="24"/>
        </w:rPr>
        <w:t>i</w:t>
      </w:r>
      <w:r w:rsidRPr="004F436C">
        <w:rPr>
          <w:rFonts w:ascii="Arial" w:eastAsia="Calibri" w:hAnsi="Arial" w:cs="Arial"/>
          <w:sz w:val="24"/>
          <w:szCs w:val="24"/>
        </w:rPr>
        <w:t>le</w:t>
      </w:r>
      <w:r w:rsidRPr="004F436C">
        <w:rPr>
          <w:rFonts w:ascii="Arial" w:eastAsia="Calibri" w:hAnsi="Arial" w:cs="Arial"/>
          <w:spacing w:val="19"/>
          <w:sz w:val="24"/>
          <w:szCs w:val="24"/>
        </w:rPr>
        <w:t xml:space="preserve"> </w:t>
      </w:r>
      <w:r w:rsidRPr="004F436C">
        <w:rPr>
          <w:rFonts w:ascii="Arial" w:eastAsia="Calibri" w:hAnsi="Arial" w:cs="Arial"/>
          <w:sz w:val="24"/>
          <w:szCs w:val="24"/>
        </w:rPr>
        <w:t>rep</w:t>
      </w:r>
      <w:r w:rsidRPr="004F436C">
        <w:rPr>
          <w:rFonts w:ascii="Arial" w:eastAsia="Calibri" w:hAnsi="Arial" w:cs="Arial"/>
          <w:spacing w:val="-1"/>
          <w:sz w:val="24"/>
          <w:szCs w:val="24"/>
        </w:rPr>
        <w:t>r</w:t>
      </w:r>
      <w:r w:rsidRPr="004F436C">
        <w:rPr>
          <w:rFonts w:ascii="Arial" w:eastAsia="Calibri" w:hAnsi="Arial" w:cs="Arial"/>
          <w:sz w:val="24"/>
          <w:szCs w:val="24"/>
        </w:rPr>
        <w:t>ez</w:t>
      </w:r>
      <w:r w:rsidRPr="004F436C">
        <w:rPr>
          <w:rFonts w:ascii="Arial" w:eastAsia="Calibri" w:hAnsi="Arial" w:cs="Arial"/>
          <w:spacing w:val="-1"/>
          <w:sz w:val="24"/>
          <w:szCs w:val="24"/>
        </w:rPr>
        <w:t>in</w:t>
      </w:r>
      <w:r w:rsidRPr="004F436C">
        <w:rPr>
          <w:rFonts w:ascii="Arial" w:eastAsia="Calibri" w:hAnsi="Arial" w:cs="Arial"/>
          <w:sz w:val="24"/>
          <w:szCs w:val="24"/>
        </w:rPr>
        <w:t>tă</w:t>
      </w:r>
      <w:r w:rsidRPr="004F436C">
        <w:rPr>
          <w:rFonts w:ascii="Arial" w:eastAsia="Calibri" w:hAnsi="Arial" w:cs="Arial"/>
          <w:spacing w:val="19"/>
          <w:sz w:val="24"/>
          <w:szCs w:val="24"/>
        </w:rPr>
        <w:t xml:space="preserve"> </w:t>
      </w:r>
      <w:r w:rsidRPr="004F436C">
        <w:rPr>
          <w:rFonts w:ascii="Arial" w:eastAsia="Calibri" w:hAnsi="Arial" w:cs="Arial"/>
          <w:spacing w:val="-1"/>
          <w:sz w:val="24"/>
          <w:szCs w:val="24"/>
        </w:rPr>
        <w:t>unu</w:t>
      </w:r>
      <w:r w:rsidRPr="004F436C">
        <w:rPr>
          <w:rFonts w:ascii="Arial" w:eastAsia="Calibri" w:hAnsi="Arial" w:cs="Arial"/>
          <w:sz w:val="24"/>
          <w:szCs w:val="24"/>
        </w:rPr>
        <w:t>l</w:t>
      </w:r>
      <w:r w:rsidRPr="004F436C">
        <w:rPr>
          <w:rFonts w:ascii="Arial" w:eastAsia="Calibri" w:hAnsi="Arial" w:cs="Arial"/>
          <w:spacing w:val="19"/>
          <w:sz w:val="24"/>
          <w:szCs w:val="24"/>
        </w:rPr>
        <w:t xml:space="preserve"> </w:t>
      </w:r>
      <w:r w:rsidRPr="004F436C">
        <w:rPr>
          <w:rFonts w:ascii="Arial" w:eastAsia="Calibri" w:hAnsi="Arial" w:cs="Arial"/>
          <w:spacing w:val="-1"/>
          <w:sz w:val="24"/>
          <w:szCs w:val="24"/>
        </w:rPr>
        <w:t>d</w:t>
      </w:r>
      <w:r w:rsidRPr="004F436C">
        <w:rPr>
          <w:rFonts w:ascii="Arial" w:eastAsia="Calibri" w:hAnsi="Arial" w:cs="Arial"/>
          <w:sz w:val="24"/>
          <w:szCs w:val="24"/>
        </w:rPr>
        <w:t>i</w:t>
      </w:r>
      <w:r w:rsidRPr="004F436C">
        <w:rPr>
          <w:rFonts w:ascii="Arial" w:eastAsia="Calibri" w:hAnsi="Arial" w:cs="Arial"/>
          <w:spacing w:val="-1"/>
          <w:sz w:val="24"/>
          <w:szCs w:val="24"/>
        </w:rPr>
        <w:t>n</w:t>
      </w:r>
      <w:r w:rsidRPr="004F436C">
        <w:rPr>
          <w:rFonts w:ascii="Arial" w:eastAsia="Calibri" w:hAnsi="Arial" w:cs="Arial"/>
          <w:sz w:val="24"/>
          <w:szCs w:val="24"/>
        </w:rPr>
        <w:t>tre</w:t>
      </w:r>
      <w:r w:rsidRPr="004F436C">
        <w:rPr>
          <w:rFonts w:ascii="Arial" w:eastAsia="Calibri" w:hAnsi="Arial" w:cs="Arial"/>
          <w:spacing w:val="19"/>
          <w:sz w:val="24"/>
          <w:szCs w:val="24"/>
        </w:rPr>
        <w:t xml:space="preserve"> </w:t>
      </w:r>
      <w:r w:rsidRPr="004F436C">
        <w:rPr>
          <w:rFonts w:ascii="Arial" w:eastAsia="Calibri" w:hAnsi="Arial" w:cs="Arial"/>
          <w:spacing w:val="-1"/>
          <w:sz w:val="24"/>
          <w:szCs w:val="24"/>
        </w:rPr>
        <w:t>h</w:t>
      </w:r>
      <w:r w:rsidRPr="004F436C">
        <w:rPr>
          <w:rFonts w:ascii="Arial" w:eastAsia="Calibri" w:hAnsi="Arial" w:cs="Arial"/>
          <w:sz w:val="24"/>
          <w:szCs w:val="24"/>
        </w:rPr>
        <w:t>a</w:t>
      </w:r>
      <w:r w:rsidRPr="004F436C">
        <w:rPr>
          <w:rFonts w:ascii="Arial" w:eastAsia="Calibri" w:hAnsi="Arial" w:cs="Arial"/>
          <w:spacing w:val="-1"/>
          <w:sz w:val="24"/>
          <w:szCs w:val="24"/>
        </w:rPr>
        <w:t>z</w:t>
      </w:r>
      <w:r w:rsidRPr="004F436C">
        <w:rPr>
          <w:rFonts w:ascii="Arial" w:eastAsia="Calibri" w:hAnsi="Arial" w:cs="Arial"/>
          <w:sz w:val="24"/>
          <w:szCs w:val="24"/>
        </w:rPr>
        <w:t>ar</w:t>
      </w:r>
      <w:r w:rsidRPr="004F436C">
        <w:rPr>
          <w:rFonts w:ascii="Arial" w:eastAsia="Calibri" w:hAnsi="Arial" w:cs="Arial"/>
          <w:spacing w:val="-1"/>
          <w:sz w:val="24"/>
          <w:szCs w:val="24"/>
        </w:rPr>
        <w:t>d</w:t>
      </w:r>
      <w:r w:rsidRPr="004F436C">
        <w:rPr>
          <w:rFonts w:ascii="Arial" w:eastAsia="Calibri" w:hAnsi="Arial" w:cs="Arial"/>
          <w:sz w:val="24"/>
          <w:szCs w:val="24"/>
        </w:rPr>
        <w:t>ele</w:t>
      </w:r>
      <w:r w:rsidRPr="004F436C">
        <w:rPr>
          <w:rFonts w:ascii="Arial" w:eastAsia="Calibri" w:hAnsi="Arial" w:cs="Arial"/>
          <w:spacing w:val="19"/>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ri</w:t>
      </w:r>
      <w:r w:rsidRPr="004F436C">
        <w:rPr>
          <w:rFonts w:ascii="Arial" w:eastAsia="Calibri" w:hAnsi="Arial" w:cs="Arial"/>
          <w:spacing w:val="-1"/>
          <w:sz w:val="24"/>
          <w:szCs w:val="24"/>
        </w:rPr>
        <w:t>n</w:t>
      </w:r>
      <w:r w:rsidRPr="004F436C">
        <w:rPr>
          <w:rFonts w:ascii="Arial" w:eastAsia="Calibri" w:hAnsi="Arial" w:cs="Arial"/>
          <w:sz w:val="24"/>
          <w:szCs w:val="24"/>
        </w:rPr>
        <w:t>ci</w:t>
      </w:r>
      <w:r w:rsidRPr="004F436C">
        <w:rPr>
          <w:rFonts w:ascii="Arial" w:eastAsia="Calibri" w:hAnsi="Arial" w:cs="Arial"/>
          <w:spacing w:val="-1"/>
          <w:sz w:val="24"/>
          <w:szCs w:val="24"/>
        </w:rPr>
        <w:t>p</w:t>
      </w:r>
      <w:r w:rsidRPr="004F436C">
        <w:rPr>
          <w:rFonts w:ascii="Arial" w:eastAsia="Calibri" w:hAnsi="Arial" w:cs="Arial"/>
          <w:sz w:val="24"/>
          <w:szCs w:val="24"/>
        </w:rPr>
        <w:t>ale</w:t>
      </w:r>
      <w:r w:rsidRPr="004F436C">
        <w:rPr>
          <w:rFonts w:ascii="Arial" w:eastAsia="Calibri" w:hAnsi="Arial" w:cs="Arial"/>
          <w:spacing w:val="19"/>
          <w:sz w:val="24"/>
          <w:szCs w:val="24"/>
        </w:rPr>
        <w:t xml:space="preserve"> </w:t>
      </w:r>
      <w:r w:rsidRPr="004F436C">
        <w:rPr>
          <w:rFonts w:ascii="Arial" w:eastAsia="Calibri" w:hAnsi="Arial" w:cs="Arial"/>
          <w:spacing w:val="-1"/>
          <w:sz w:val="24"/>
          <w:szCs w:val="24"/>
        </w:rPr>
        <w:t>d</w:t>
      </w:r>
      <w:r w:rsidRPr="004F436C">
        <w:rPr>
          <w:rFonts w:ascii="Arial" w:eastAsia="Calibri" w:hAnsi="Arial" w:cs="Arial"/>
          <w:sz w:val="24"/>
          <w:szCs w:val="24"/>
        </w:rPr>
        <w:t>in</w:t>
      </w:r>
      <w:r w:rsidRPr="004F436C">
        <w:rPr>
          <w:rFonts w:ascii="Arial" w:eastAsia="Calibri" w:hAnsi="Arial" w:cs="Arial"/>
          <w:spacing w:val="18"/>
          <w:sz w:val="24"/>
          <w:szCs w:val="24"/>
        </w:rPr>
        <w:t xml:space="preserve"> </w:t>
      </w:r>
      <w:r w:rsidRPr="004F436C">
        <w:rPr>
          <w:rFonts w:ascii="Arial" w:eastAsia="Calibri" w:hAnsi="Arial" w:cs="Arial"/>
          <w:sz w:val="24"/>
          <w:szCs w:val="24"/>
        </w:rPr>
        <w:t xml:space="preserve">ţara  </w:t>
      </w:r>
      <w:r w:rsidRPr="004F436C">
        <w:rPr>
          <w:rFonts w:ascii="Arial" w:eastAsia="Calibri" w:hAnsi="Arial" w:cs="Arial"/>
          <w:spacing w:val="-1"/>
          <w:sz w:val="24"/>
          <w:szCs w:val="24"/>
        </w:rPr>
        <w:t>n</w:t>
      </w:r>
      <w:r w:rsidRPr="004F436C">
        <w:rPr>
          <w:rFonts w:ascii="Arial" w:eastAsia="Calibri" w:hAnsi="Arial" w:cs="Arial"/>
          <w:spacing w:val="1"/>
          <w:sz w:val="24"/>
          <w:szCs w:val="24"/>
        </w:rPr>
        <w:t>o</w:t>
      </w:r>
      <w:r w:rsidRPr="004F436C">
        <w:rPr>
          <w:rFonts w:ascii="Arial" w:eastAsia="Calibri" w:hAnsi="Arial" w:cs="Arial"/>
          <w:sz w:val="24"/>
          <w:szCs w:val="24"/>
        </w:rPr>
        <w:t>astră, care</w:t>
      </w:r>
      <w:r w:rsidRPr="004F436C">
        <w:rPr>
          <w:rFonts w:ascii="Arial" w:eastAsia="Calibri" w:hAnsi="Arial" w:cs="Arial"/>
          <w:spacing w:val="-9"/>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rin</w:t>
      </w:r>
      <w:r w:rsidRPr="004F436C">
        <w:rPr>
          <w:rFonts w:ascii="Arial" w:eastAsia="Calibri" w:hAnsi="Arial" w:cs="Arial"/>
          <w:spacing w:val="-10"/>
          <w:sz w:val="24"/>
          <w:szCs w:val="24"/>
        </w:rPr>
        <w:t xml:space="preserve"> </w:t>
      </w:r>
      <w:r w:rsidRPr="004F436C">
        <w:rPr>
          <w:rFonts w:ascii="Arial" w:eastAsia="Calibri" w:hAnsi="Arial" w:cs="Arial"/>
          <w:sz w:val="24"/>
          <w:szCs w:val="24"/>
        </w:rPr>
        <w:t>i</w:t>
      </w:r>
      <w:r w:rsidRPr="004F436C">
        <w:rPr>
          <w:rFonts w:ascii="Arial" w:eastAsia="Calibri" w:hAnsi="Arial" w:cs="Arial"/>
          <w:spacing w:val="-1"/>
          <w:sz w:val="24"/>
          <w:szCs w:val="24"/>
        </w:rPr>
        <w:t>n</w:t>
      </w:r>
      <w:r w:rsidRPr="004F436C">
        <w:rPr>
          <w:rFonts w:ascii="Arial" w:eastAsia="Calibri" w:hAnsi="Arial" w:cs="Arial"/>
          <w:sz w:val="24"/>
          <w:szCs w:val="24"/>
        </w:rPr>
        <w:t>t</w:t>
      </w:r>
      <w:r w:rsidRPr="004F436C">
        <w:rPr>
          <w:rFonts w:ascii="Arial" w:eastAsia="Calibri" w:hAnsi="Arial" w:cs="Arial"/>
          <w:spacing w:val="1"/>
          <w:sz w:val="24"/>
          <w:szCs w:val="24"/>
        </w:rPr>
        <w:t>e</w:t>
      </w:r>
      <w:r w:rsidRPr="004F436C">
        <w:rPr>
          <w:rFonts w:ascii="Arial" w:eastAsia="Calibri" w:hAnsi="Arial" w:cs="Arial"/>
          <w:spacing w:val="-1"/>
          <w:sz w:val="24"/>
          <w:szCs w:val="24"/>
        </w:rPr>
        <w:t>n</w:t>
      </w:r>
      <w:r w:rsidRPr="004F436C">
        <w:rPr>
          <w:rFonts w:ascii="Arial" w:eastAsia="Calibri" w:hAnsi="Arial" w:cs="Arial"/>
          <w:sz w:val="24"/>
          <w:szCs w:val="24"/>
        </w:rPr>
        <w:t>s</w:t>
      </w:r>
      <w:r w:rsidRPr="004F436C">
        <w:rPr>
          <w:rFonts w:ascii="Arial" w:eastAsia="Calibri" w:hAnsi="Arial" w:cs="Arial"/>
          <w:spacing w:val="-3"/>
          <w:sz w:val="24"/>
          <w:szCs w:val="24"/>
        </w:rPr>
        <w:t>i</w:t>
      </w:r>
      <w:r w:rsidRPr="004F436C">
        <w:rPr>
          <w:rFonts w:ascii="Arial" w:eastAsia="Calibri" w:hAnsi="Arial" w:cs="Arial"/>
          <w:sz w:val="24"/>
          <w:szCs w:val="24"/>
        </w:rPr>
        <w:t>tate</w:t>
      </w:r>
      <w:r w:rsidRPr="004F436C">
        <w:rPr>
          <w:rFonts w:ascii="Arial" w:eastAsia="Calibri" w:hAnsi="Arial" w:cs="Arial"/>
          <w:spacing w:val="-11"/>
          <w:sz w:val="24"/>
          <w:szCs w:val="24"/>
        </w:rPr>
        <w:t xml:space="preserve"> </w:t>
      </w:r>
      <w:r w:rsidRPr="004F436C">
        <w:rPr>
          <w:rFonts w:ascii="Arial" w:eastAsia="Calibri" w:hAnsi="Arial" w:cs="Arial"/>
          <w:sz w:val="24"/>
          <w:szCs w:val="24"/>
        </w:rPr>
        <w:t>şi</w:t>
      </w:r>
      <w:r w:rsidRPr="004F436C">
        <w:rPr>
          <w:rFonts w:ascii="Arial" w:eastAsia="Calibri" w:hAnsi="Arial" w:cs="Arial"/>
          <w:spacing w:val="-9"/>
          <w:sz w:val="24"/>
          <w:szCs w:val="24"/>
        </w:rPr>
        <w:t xml:space="preserve"> </w:t>
      </w:r>
      <w:r w:rsidRPr="004F436C">
        <w:rPr>
          <w:rFonts w:ascii="Arial" w:eastAsia="Calibri" w:hAnsi="Arial" w:cs="Arial"/>
          <w:spacing w:val="-3"/>
          <w:sz w:val="24"/>
          <w:szCs w:val="24"/>
        </w:rPr>
        <w:t>a</w:t>
      </w:r>
      <w:r w:rsidRPr="004F436C">
        <w:rPr>
          <w:rFonts w:ascii="Arial" w:eastAsia="Calibri" w:hAnsi="Arial" w:cs="Arial"/>
          <w:spacing w:val="1"/>
          <w:sz w:val="24"/>
          <w:szCs w:val="24"/>
        </w:rPr>
        <w:t>m</w:t>
      </w:r>
      <w:r w:rsidRPr="004F436C">
        <w:rPr>
          <w:rFonts w:ascii="Arial" w:eastAsia="Calibri" w:hAnsi="Arial" w:cs="Arial"/>
          <w:spacing w:val="-1"/>
          <w:sz w:val="24"/>
          <w:szCs w:val="24"/>
        </w:rPr>
        <w:t>p</w:t>
      </w:r>
      <w:r w:rsidRPr="004F436C">
        <w:rPr>
          <w:rFonts w:ascii="Arial" w:eastAsia="Calibri" w:hAnsi="Arial" w:cs="Arial"/>
          <w:spacing w:val="-3"/>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are</w:t>
      </w:r>
      <w:r w:rsidRPr="004F436C">
        <w:rPr>
          <w:rFonts w:ascii="Arial" w:eastAsia="Calibri" w:hAnsi="Arial" w:cs="Arial"/>
          <w:spacing w:val="-9"/>
          <w:sz w:val="24"/>
          <w:szCs w:val="24"/>
        </w:rPr>
        <w:t xml:space="preserve"> </w:t>
      </w:r>
      <w:r w:rsidRPr="004F436C">
        <w:rPr>
          <w:rFonts w:ascii="Arial" w:eastAsia="Calibri" w:hAnsi="Arial" w:cs="Arial"/>
          <w:spacing w:val="-3"/>
          <w:sz w:val="24"/>
          <w:szCs w:val="24"/>
        </w:rPr>
        <w:t>a</w:t>
      </w:r>
      <w:r w:rsidRPr="004F436C">
        <w:rPr>
          <w:rFonts w:ascii="Arial" w:eastAsia="Calibri" w:hAnsi="Arial" w:cs="Arial"/>
          <w:spacing w:val="-1"/>
          <w:sz w:val="24"/>
          <w:szCs w:val="24"/>
        </w:rPr>
        <w:t>m</w:t>
      </w:r>
      <w:r w:rsidRPr="004F436C">
        <w:rPr>
          <w:rFonts w:ascii="Arial" w:eastAsia="Calibri" w:hAnsi="Arial" w:cs="Arial"/>
          <w:sz w:val="24"/>
          <w:szCs w:val="24"/>
        </w:rPr>
        <w:t>en</w:t>
      </w:r>
      <w:r w:rsidRPr="004F436C">
        <w:rPr>
          <w:rFonts w:ascii="Arial" w:eastAsia="Calibri" w:hAnsi="Arial" w:cs="Arial"/>
          <w:spacing w:val="-1"/>
          <w:sz w:val="24"/>
          <w:szCs w:val="24"/>
        </w:rPr>
        <w:t>in</w:t>
      </w:r>
      <w:r w:rsidRPr="004F436C">
        <w:rPr>
          <w:rFonts w:ascii="Arial" w:eastAsia="Calibri" w:hAnsi="Arial" w:cs="Arial"/>
          <w:sz w:val="24"/>
          <w:szCs w:val="24"/>
        </w:rPr>
        <w:t>ţă</w:t>
      </w:r>
      <w:r w:rsidRPr="004F436C">
        <w:rPr>
          <w:rFonts w:ascii="Arial" w:eastAsia="Calibri" w:hAnsi="Arial" w:cs="Arial"/>
          <w:spacing w:val="-9"/>
          <w:sz w:val="24"/>
          <w:szCs w:val="24"/>
        </w:rPr>
        <w:t xml:space="preserve"> </w:t>
      </w:r>
      <w:r w:rsidRPr="004F436C">
        <w:rPr>
          <w:rFonts w:ascii="Arial" w:eastAsia="Calibri" w:hAnsi="Arial" w:cs="Arial"/>
          <w:spacing w:val="-1"/>
          <w:sz w:val="24"/>
          <w:szCs w:val="24"/>
        </w:rPr>
        <w:t>p</w:t>
      </w:r>
      <w:r w:rsidRPr="004F436C">
        <w:rPr>
          <w:rFonts w:ascii="Arial" w:eastAsia="Calibri" w:hAnsi="Arial" w:cs="Arial"/>
          <w:spacing w:val="1"/>
          <w:sz w:val="24"/>
          <w:szCs w:val="24"/>
        </w:rPr>
        <w:t>o</w:t>
      </w:r>
      <w:r w:rsidRPr="004F436C">
        <w:rPr>
          <w:rFonts w:ascii="Arial" w:eastAsia="Calibri" w:hAnsi="Arial" w:cs="Arial"/>
          <w:spacing w:val="-1"/>
          <w:sz w:val="24"/>
          <w:szCs w:val="24"/>
        </w:rPr>
        <w:t>pu</w:t>
      </w:r>
      <w:r w:rsidRPr="004F436C">
        <w:rPr>
          <w:rFonts w:ascii="Arial" w:eastAsia="Calibri" w:hAnsi="Arial" w:cs="Arial"/>
          <w:sz w:val="24"/>
          <w:szCs w:val="24"/>
        </w:rPr>
        <w:t>laţi</w:t>
      </w:r>
      <w:r w:rsidRPr="004F436C">
        <w:rPr>
          <w:rFonts w:ascii="Arial" w:eastAsia="Calibri" w:hAnsi="Arial" w:cs="Arial"/>
          <w:spacing w:val="-3"/>
          <w:sz w:val="24"/>
          <w:szCs w:val="24"/>
        </w:rPr>
        <w:t>a</w:t>
      </w:r>
      <w:r w:rsidRPr="004F436C">
        <w:rPr>
          <w:rFonts w:ascii="Arial" w:eastAsia="Calibri" w:hAnsi="Arial" w:cs="Arial"/>
          <w:sz w:val="24"/>
          <w:szCs w:val="24"/>
        </w:rPr>
        <w:t>,</w:t>
      </w:r>
      <w:r w:rsidRPr="004F436C">
        <w:rPr>
          <w:rFonts w:ascii="Arial" w:eastAsia="Calibri" w:hAnsi="Arial" w:cs="Arial"/>
          <w:spacing w:val="-9"/>
          <w:sz w:val="24"/>
          <w:szCs w:val="24"/>
        </w:rPr>
        <w:t xml:space="preserve"> </w:t>
      </w:r>
      <w:r w:rsidRPr="004F436C">
        <w:rPr>
          <w:rFonts w:ascii="Arial" w:eastAsia="Calibri" w:hAnsi="Arial" w:cs="Arial"/>
          <w:spacing w:val="-3"/>
          <w:sz w:val="24"/>
          <w:szCs w:val="24"/>
        </w:rPr>
        <w:t>a</w:t>
      </w:r>
      <w:r w:rsidRPr="004F436C">
        <w:rPr>
          <w:rFonts w:ascii="Arial" w:eastAsia="Calibri" w:hAnsi="Arial" w:cs="Arial"/>
          <w:sz w:val="24"/>
          <w:szCs w:val="24"/>
        </w:rPr>
        <w:t>cti</w:t>
      </w:r>
      <w:r w:rsidRPr="004F436C">
        <w:rPr>
          <w:rFonts w:ascii="Arial" w:eastAsia="Calibri" w:hAnsi="Arial" w:cs="Arial"/>
          <w:spacing w:val="1"/>
          <w:sz w:val="24"/>
          <w:szCs w:val="24"/>
        </w:rPr>
        <w:t>v</w:t>
      </w:r>
      <w:r w:rsidRPr="004F436C">
        <w:rPr>
          <w:rFonts w:ascii="Arial" w:eastAsia="Calibri" w:hAnsi="Arial" w:cs="Arial"/>
          <w:sz w:val="24"/>
          <w:szCs w:val="24"/>
        </w:rPr>
        <w:t>it</w:t>
      </w:r>
      <w:r w:rsidRPr="004F436C">
        <w:rPr>
          <w:rFonts w:ascii="Arial" w:eastAsia="Calibri" w:hAnsi="Arial" w:cs="Arial"/>
          <w:spacing w:val="-2"/>
          <w:sz w:val="24"/>
          <w:szCs w:val="24"/>
        </w:rPr>
        <w:t>a</w:t>
      </w:r>
      <w:r w:rsidRPr="004F436C">
        <w:rPr>
          <w:rFonts w:ascii="Arial" w:eastAsia="Calibri" w:hAnsi="Arial" w:cs="Arial"/>
          <w:sz w:val="24"/>
          <w:szCs w:val="24"/>
        </w:rPr>
        <w:t>t</w:t>
      </w:r>
      <w:r w:rsidRPr="004F436C">
        <w:rPr>
          <w:rFonts w:ascii="Arial" w:eastAsia="Calibri" w:hAnsi="Arial" w:cs="Arial"/>
          <w:spacing w:val="1"/>
          <w:sz w:val="24"/>
          <w:szCs w:val="24"/>
        </w:rPr>
        <w:t>e</w:t>
      </w:r>
      <w:r w:rsidRPr="004F436C">
        <w:rPr>
          <w:rFonts w:ascii="Arial" w:eastAsia="Calibri" w:hAnsi="Arial" w:cs="Arial"/>
          <w:sz w:val="24"/>
          <w:szCs w:val="24"/>
        </w:rPr>
        <w:t>a</w:t>
      </w:r>
      <w:r w:rsidRPr="004F436C">
        <w:rPr>
          <w:rFonts w:ascii="Arial" w:eastAsia="Calibri" w:hAnsi="Arial" w:cs="Arial"/>
          <w:spacing w:val="-12"/>
          <w:sz w:val="24"/>
          <w:szCs w:val="24"/>
        </w:rPr>
        <w:t xml:space="preserve"> </w:t>
      </w:r>
      <w:r w:rsidRPr="004F436C">
        <w:rPr>
          <w:rFonts w:ascii="Arial" w:eastAsia="Calibri" w:hAnsi="Arial" w:cs="Arial"/>
          <w:sz w:val="24"/>
          <w:szCs w:val="24"/>
        </w:rPr>
        <w:t>e</w:t>
      </w:r>
      <w:r w:rsidRPr="004F436C">
        <w:rPr>
          <w:rFonts w:ascii="Arial" w:eastAsia="Calibri" w:hAnsi="Arial" w:cs="Arial"/>
          <w:spacing w:val="-2"/>
          <w:sz w:val="24"/>
          <w:szCs w:val="24"/>
        </w:rPr>
        <w:t>c</w:t>
      </w:r>
      <w:r w:rsidRPr="004F436C">
        <w:rPr>
          <w:rFonts w:ascii="Arial" w:eastAsia="Calibri" w:hAnsi="Arial" w:cs="Arial"/>
          <w:spacing w:val="1"/>
          <w:sz w:val="24"/>
          <w:szCs w:val="24"/>
        </w:rPr>
        <w:t>o</w:t>
      </w:r>
      <w:r w:rsidRPr="004F436C">
        <w:rPr>
          <w:rFonts w:ascii="Arial" w:eastAsia="Calibri" w:hAnsi="Arial" w:cs="Arial"/>
          <w:spacing w:val="-1"/>
          <w:sz w:val="24"/>
          <w:szCs w:val="24"/>
        </w:rPr>
        <w:t>no</w:t>
      </w:r>
      <w:r w:rsidRPr="004F436C">
        <w:rPr>
          <w:rFonts w:ascii="Arial" w:eastAsia="Calibri" w:hAnsi="Arial" w:cs="Arial"/>
          <w:spacing w:val="1"/>
          <w:sz w:val="24"/>
          <w:szCs w:val="24"/>
        </w:rPr>
        <w:t>m</w:t>
      </w:r>
      <w:r w:rsidRPr="004F436C">
        <w:rPr>
          <w:rFonts w:ascii="Arial" w:eastAsia="Calibri" w:hAnsi="Arial" w:cs="Arial"/>
          <w:sz w:val="24"/>
          <w:szCs w:val="24"/>
        </w:rPr>
        <w:t>ic</w:t>
      </w:r>
      <w:r w:rsidRPr="004F436C">
        <w:rPr>
          <w:rFonts w:ascii="Arial" w:eastAsia="Calibri" w:hAnsi="Arial" w:cs="Arial"/>
          <w:spacing w:val="-3"/>
          <w:sz w:val="24"/>
          <w:szCs w:val="24"/>
        </w:rPr>
        <w:t>ă</w:t>
      </w:r>
      <w:r w:rsidRPr="004F436C">
        <w:rPr>
          <w:rFonts w:ascii="Arial" w:eastAsia="Calibri" w:hAnsi="Arial" w:cs="Arial"/>
          <w:sz w:val="24"/>
          <w:szCs w:val="24"/>
        </w:rPr>
        <w:t xml:space="preserve">, </w:t>
      </w:r>
      <w:r w:rsidRPr="004F436C">
        <w:rPr>
          <w:rFonts w:ascii="Arial" w:eastAsia="Calibri" w:hAnsi="Arial" w:cs="Arial"/>
          <w:spacing w:val="1"/>
          <w:sz w:val="24"/>
          <w:szCs w:val="24"/>
        </w:rPr>
        <w:t>m</w:t>
      </w:r>
      <w:r w:rsidRPr="004F436C">
        <w:rPr>
          <w:rFonts w:ascii="Arial" w:eastAsia="Calibri" w:hAnsi="Arial" w:cs="Arial"/>
          <w:sz w:val="24"/>
          <w:szCs w:val="24"/>
        </w:rPr>
        <w:t>ed</w:t>
      </w:r>
      <w:r w:rsidRPr="004F436C">
        <w:rPr>
          <w:rFonts w:ascii="Arial" w:eastAsia="Calibri" w:hAnsi="Arial" w:cs="Arial"/>
          <w:spacing w:val="-1"/>
          <w:sz w:val="24"/>
          <w:szCs w:val="24"/>
        </w:rPr>
        <w:t>iu</w:t>
      </w:r>
      <w:r w:rsidRPr="004F436C">
        <w:rPr>
          <w:rFonts w:ascii="Arial" w:eastAsia="Calibri" w:hAnsi="Arial" w:cs="Arial"/>
          <w:sz w:val="24"/>
          <w:szCs w:val="24"/>
        </w:rPr>
        <w:t>l,</w:t>
      </w:r>
      <w:r w:rsidRPr="004F436C">
        <w:rPr>
          <w:rFonts w:ascii="Arial" w:eastAsia="Calibri" w:hAnsi="Arial" w:cs="Arial"/>
          <w:spacing w:val="-2"/>
          <w:sz w:val="24"/>
          <w:szCs w:val="24"/>
        </w:rPr>
        <w:t xml:space="preserve"> </w:t>
      </w:r>
      <w:r w:rsidRPr="004F436C">
        <w:rPr>
          <w:rFonts w:ascii="Arial" w:eastAsia="Calibri" w:hAnsi="Arial" w:cs="Arial"/>
          <w:spacing w:val="1"/>
          <w:sz w:val="24"/>
          <w:szCs w:val="24"/>
        </w:rPr>
        <w:t>v</w:t>
      </w:r>
      <w:r w:rsidRPr="004F436C">
        <w:rPr>
          <w:rFonts w:ascii="Arial" w:eastAsia="Calibri" w:hAnsi="Arial" w:cs="Arial"/>
          <w:sz w:val="24"/>
          <w:szCs w:val="24"/>
        </w:rPr>
        <w:t>alori</w:t>
      </w:r>
      <w:r w:rsidRPr="004F436C">
        <w:rPr>
          <w:rFonts w:ascii="Arial" w:eastAsia="Calibri" w:hAnsi="Arial" w:cs="Arial"/>
          <w:spacing w:val="-4"/>
          <w:sz w:val="24"/>
          <w:szCs w:val="24"/>
        </w:rPr>
        <w:t>l</w:t>
      </w:r>
      <w:r w:rsidRPr="004F436C">
        <w:rPr>
          <w:rFonts w:ascii="Arial" w:eastAsia="Calibri" w:hAnsi="Arial" w:cs="Arial"/>
          <w:sz w:val="24"/>
          <w:szCs w:val="24"/>
        </w:rPr>
        <w:t>e</w:t>
      </w:r>
      <w:r w:rsidRPr="004F436C">
        <w:rPr>
          <w:rFonts w:ascii="Arial" w:eastAsia="Calibri" w:hAnsi="Arial" w:cs="Arial"/>
          <w:spacing w:val="1"/>
          <w:sz w:val="24"/>
          <w:szCs w:val="24"/>
        </w:rPr>
        <w:t xml:space="preserve"> </w:t>
      </w:r>
      <w:r w:rsidRPr="004F436C">
        <w:rPr>
          <w:rFonts w:ascii="Arial" w:eastAsia="Calibri" w:hAnsi="Arial" w:cs="Arial"/>
          <w:sz w:val="24"/>
          <w:szCs w:val="24"/>
        </w:rPr>
        <w:t>cu</w:t>
      </w:r>
      <w:r w:rsidRPr="004F436C">
        <w:rPr>
          <w:rFonts w:ascii="Arial" w:eastAsia="Calibri" w:hAnsi="Arial" w:cs="Arial"/>
          <w:spacing w:val="-1"/>
          <w:sz w:val="24"/>
          <w:szCs w:val="24"/>
        </w:rPr>
        <w:t>l</w:t>
      </w:r>
      <w:r w:rsidRPr="004F436C">
        <w:rPr>
          <w:rFonts w:ascii="Arial" w:eastAsia="Calibri" w:hAnsi="Arial" w:cs="Arial"/>
          <w:sz w:val="24"/>
          <w:szCs w:val="24"/>
        </w:rPr>
        <w:t>tur</w:t>
      </w:r>
      <w:r w:rsidRPr="004F436C">
        <w:rPr>
          <w:rFonts w:ascii="Arial" w:eastAsia="Calibri" w:hAnsi="Arial" w:cs="Arial"/>
          <w:spacing w:val="-1"/>
          <w:sz w:val="24"/>
          <w:szCs w:val="24"/>
        </w:rPr>
        <w:t>a</w:t>
      </w:r>
      <w:r w:rsidRPr="004F436C">
        <w:rPr>
          <w:rFonts w:ascii="Arial" w:eastAsia="Calibri" w:hAnsi="Arial" w:cs="Arial"/>
          <w:spacing w:val="-3"/>
          <w:sz w:val="24"/>
          <w:szCs w:val="24"/>
        </w:rPr>
        <w:t>l</w:t>
      </w:r>
      <w:r w:rsidRPr="004F436C">
        <w:rPr>
          <w:rFonts w:ascii="Arial" w:eastAsia="Calibri" w:hAnsi="Arial" w:cs="Arial"/>
          <w:sz w:val="24"/>
          <w:szCs w:val="24"/>
        </w:rPr>
        <w:t>e</w:t>
      </w:r>
      <w:r w:rsidRPr="004F436C">
        <w:rPr>
          <w:rFonts w:ascii="Arial" w:eastAsia="Calibri" w:hAnsi="Arial" w:cs="Arial"/>
          <w:spacing w:val="1"/>
          <w:sz w:val="24"/>
          <w:szCs w:val="24"/>
        </w:rPr>
        <w:t xml:space="preserve"> </w:t>
      </w:r>
      <w:r w:rsidRPr="004F436C">
        <w:rPr>
          <w:rFonts w:ascii="Arial" w:eastAsia="Calibri" w:hAnsi="Arial" w:cs="Arial"/>
          <w:sz w:val="24"/>
          <w:szCs w:val="24"/>
        </w:rPr>
        <w:t>şi</w:t>
      </w:r>
      <w:r w:rsidRPr="004F436C">
        <w:rPr>
          <w:rFonts w:ascii="Arial" w:eastAsia="Calibri" w:hAnsi="Arial" w:cs="Arial"/>
          <w:spacing w:val="-3"/>
          <w:sz w:val="24"/>
          <w:szCs w:val="24"/>
        </w:rPr>
        <w:t xml:space="preserve"> </w:t>
      </w:r>
      <w:r w:rsidRPr="004F436C">
        <w:rPr>
          <w:rFonts w:ascii="Arial" w:eastAsia="Calibri" w:hAnsi="Arial" w:cs="Arial"/>
          <w:sz w:val="24"/>
          <w:szCs w:val="24"/>
        </w:rPr>
        <w:t>de</w:t>
      </w:r>
      <w:r w:rsidRPr="004F436C">
        <w:rPr>
          <w:rFonts w:ascii="Arial" w:eastAsia="Calibri" w:hAnsi="Arial" w:cs="Arial"/>
          <w:spacing w:val="1"/>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atr</w:t>
      </w:r>
      <w:r w:rsidRPr="004F436C">
        <w:rPr>
          <w:rFonts w:ascii="Arial" w:eastAsia="Calibri" w:hAnsi="Arial" w:cs="Arial"/>
          <w:spacing w:val="-3"/>
          <w:sz w:val="24"/>
          <w:szCs w:val="24"/>
        </w:rPr>
        <w:t>i</w:t>
      </w:r>
      <w:r w:rsidRPr="004F436C">
        <w:rPr>
          <w:rFonts w:ascii="Arial" w:eastAsia="Calibri" w:hAnsi="Arial" w:cs="Arial"/>
          <w:spacing w:val="1"/>
          <w:sz w:val="24"/>
          <w:szCs w:val="24"/>
        </w:rPr>
        <w:t>mo</w:t>
      </w:r>
      <w:r w:rsidRPr="004F436C">
        <w:rPr>
          <w:rFonts w:ascii="Arial" w:eastAsia="Calibri" w:hAnsi="Arial" w:cs="Arial"/>
          <w:spacing w:val="-1"/>
          <w:sz w:val="24"/>
          <w:szCs w:val="24"/>
        </w:rPr>
        <w:t>n</w:t>
      </w:r>
      <w:r w:rsidRPr="004F436C">
        <w:rPr>
          <w:rFonts w:ascii="Arial" w:eastAsia="Calibri" w:hAnsi="Arial" w:cs="Arial"/>
          <w:sz w:val="24"/>
          <w:szCs w:val="24"/>
        </w:rPr>
        <w:t>i</w:t>
      </w:r>
      <w:r w:rsidRPr="004F436C">
        <w:rPr>
          <w:rFonts w:ascii="Arial" w:eastAsia="Calibri" w:hAnsi="Arial" w:cs="Arial"/>
          <w:spacing w:val="-1"/>
          <w:sz w:val="24"/>
          <w:szCs w:val="24"/>
        </w:rPr>
        <w:t>u</w:t>
      </w:r>
      <w:r w:rsidRPr="004F436C">
        <w:rPr>
          <w:rFonts w:ascii="Arial" w:eastAsia="Calibri" w:hAnsi="Arial" w:cs="Arial"/>
          <w:sz w:val="24"/>
          <w:szCs w:val="24"/>
        </w:rPr>
        <w:t>.</w:t>
      </w:r>
    </w:p>
    <w:p w:rsidR="007551D0" w:rsidRDefault="007551D0" w:rsidP="00EA6509">
      <w:pPr>
        <w:spacing w:after="0" w:line="240" w:lineRule="auto"/>
        <w:ind w:firstLine="709"/>
        <w:jc w:val="both"/>
        <w:rPr>
          <w:rFonts w:ascii="Calibri" w:eastAsia="Calibri" w:hAnsi="Calibri" w:cs="Calibri"/>
        </w:rPr>
      </w:pPr>
      <w:r w:rsidRPr="004F436C">
        <w:rPr>
          <w:rFonts w:ascii="Arial" w:eastAsia="Calibri" w:hAnsi="Arial" w:cs="Arial"/>
          <w:sz w:val="24"/>
          <w:szCs w:val="24"/>
        </w:rPr>
        <w:t>În</w:t>
      </w:r>
      <w:r w:rsidRPr="004F436C">
        <w:rPr>
          <w:rFonts w:ascii="Arial" w:eastAsia="Calibri" w:hAnsi="Arial" w:cs="Arial"/>
          <w:spacing w:val="4"/>
          <w:sz w:val="24"/>
          <w:szCs w:val="24"/>
        </w:rPr>
        <w:t xml:space="preserve"> </w:t>
      </w:r>
      <w:r w:rsidRPr="004F436C">
        <w:rPr>
          <w:rFonts w:ascii="Arial" w:eastAsia="Calibri" w:hAnsi="Arial" w:cs="Arial"/>
          <w:sz w:val="24"/>
          <w:szCs w:val="24"/>
        </w:rPr>
        <w:t>R</w:t>
      </w:r>
      <w:r w:rsidRPr="004F436C">
        <w:rPr>
          <w:rFonts w:ascii="Arial" w:eastAsia="Calibri" w:hAnsi="Arial" w:cs="Arial"/>
          <w:spacing w:val="-1"/>
          <w:sz w:val="24"/>
          <w:szCs w:val="24"/>
        </w:rPr>
        <w:t>o</w:t>
      </w:r>
      <w:r w:rsidRPr="004F436C">
        <w:rPr>
          <w:rFonts w:ascii="Arial" w:eastAsia="Calibri" w:hAnsi="Arial" w:cs="Arial"/>
          <w:spacing w:val="1"/>
          <w:sz w:val="24"/>
          <w:szCs w:val="24"/>
        </w:rPr>
        <w:t>m</w:t>
      </w:r>
      <w:r w:rsidRPr="004F436C">
        <w:rPr>
          <w:rFonts w:ascii="Arial" w:eastAsia="Calibri" w:hAnsi="Arial" w:cs="Arial"/>
          <w:sz w:val="24"/>
          <w:szCs w:val="24"/>
        </w:rPr>
        <w:t>â</w:t>
      </w:r>
      <w:r w:rsidRPr="004F436C">
        <w:rPr>
          <w:rFonts w:ascii="Arial" w:eastAsia="Calibri" w:hAnsi="Arial" w:cs="Arial"/>
          <w:spacing w:val="-1"/>
          <w:sz w:val="24"/>
          <w:szCs w:val="24"/>
        </w:rPr>
        <w:t>n</w:t>
      </w:r>
      <w:r w:rsidRPr="004F436C">
        <w:rPr>
          <w:rFonts w:ascii="Arial" w:eastAsia="Calibri" w:hAnsi="Arial" w:cs="Arial"/>
          <w:sz w:val="24"/>
          <w:szCs w:val="24"/>
        </w:rPr>
        <w:t>ia</w:t>
      </w:r>
      <w:r w:rsidRPr="004F436C">
        <w:rPr>
          <w:rFonts w:ascii="Arial" w:eastAsia="Calibri" w:hAnsi="Arial" w:cs="Arial"/>
          <w:spacing w:val="2"/>
          <w:sz w:val="24"/>
          <w:szCs w:val="24"/>
        </w:rPr>
        <w:t xml:space="preserve"> </w:t>
      </w:r>
      <w:r w:rsidRPr="004F436C">
        <w:rPr>
          <w:rFonts w:ascii="Arial" w:eastAsia="Calibri" w:hAnsi="Arial" w:cs="Arial"/>
          <w:sz w:val="24"/>
          <w:szCs w:val="24"/>
        </w:rPr>
        <w:t>i</w:t>
      </w:r>
      <w:r w:rsidRPr="004F436C">
        <w:rPr>
          <w:rFonts w:ascii="Arial" w:eastAsia="Calibri" w:hAnsi="Arial" w:cs="Arial"/>
          <w:spacing w:val="-1"/>
          <w:sz w:val="24"/>
          <w:szCs w:val="24"/>
        </w:rPr>
        <w:t>nund</w:t>
      </w:r>
      <w:r w:rsidRPr="004F436C">
        <w:rPr>
          <w:rFonts w:ascii="Arial" w:eastAsia="Calibri" w:hAnsi="Arial" w:cs="Arial"/>
          <w:sz w:val="24"/>
          <w:szCs w:val="24"/>
        </w:rPr>
        <w:t>aţii</w:t>
      </w:r>
      <w:r w:rsidRPr="004F436C">
        <w:rPr>
          <w:rFonts w:ascii="Arial" w:eastAsia="Calibri" w:hAnsi="Arial" w:cs="Arial"/>
          <w:spacing w:val="-1"/>
          <w:sz w:val="24"/>
          <w:szCs w:val="24"/>
        </w:rPr>
        <w:t>l</w:t>
      </w:r>
      <w:r w:rsidRPr="004F436C">
        <w:rPr>
          <w:rFonts w:ascii="Arial" w:eastAsia="Calibri" w:hAnsi="Arial" w:cs="Arial"/>
          <w:sz w:val="24"/>
          <w:szCs w:val="24"/>
        </w:rPr>
        <w:t>e</w:t>
      </w:r>
      <w:r w:rsidRPr="004F436C">
        <w:rPr>
          <w:rFonts w:ascii="Arial" w:eastAsia="Calibri" w:hAnsi="Arial" w:cs="Arial"/>
          <w:spacing w:val="6"/>
          <w:sz w:val="24"/>
          <w:szCs w:val="24"/>
        </w:rPr>
        <w:t xml:space="preserve"> </w:t>
      </w:r>
      <w:r w:rsidRPr="004F436C">
        <w:rPr>
          <w:rFonts w:ascii="Arial" w:eastAsia="Calibri" w:hAnsi="Arial" w:cs="Arial"/>
          <w:sz w:val="24"/>
          <w:szCs w:val="24"/>
        </w:rPr>
        <w:t>su</w:t>
      </w:r>
      <w:r w:rsidRPr="004F436C">
        <w:rPr>
          <w:rFonts w:ascii="Arial" w:eastAsia="Calibri" w:hAnsi="Arial" w:cs="Arial"/>
          <w:spacing w:val="-4"/>
          <w:sz w:val="24"/>
          <w:szCs w:val="24"/>
        </w:rPr>
        <w:t>n</w:t>
      </w:r>
      <w:r w:rsidRPr="004F436C">
        <w:rPr>
          <w:rFonts w:ascii="Arial" w:eastAsia="Calibri" w:hAnsi="Arial" w:cs="Arial"/>
          <w:sz w:val="24"/>
          <w:szCs w:val="24"/>
        </w:rPr>
        <w:t>t</w:t>
      </w:r>
      <w:r w:rsidRPr="004F436C">
        <w:rPr>
          <w:rFonts w:ascii="Arial" w:eastAsia="Calibri" w:hAnsi="Arial" w:cs="Arial"/>
          <w:spacing w:val="6"/>
          <w:sz w:val="24"/>
          <w:szCs w:val="24"/>
        </w:rPr>
        <w:t xml:space="preserve"> </w:t>
      </w:r>
      <w:r w:rsidRPr="004F436C">
        <w:rPr>
          <w:rFonts w:ascii="Arial" w:eastAsia="Calibri" w:hAnsi="Arial" w:cs="Arial"/>
          <w:spacing w:val="-1"/>
          <w:sz w:val="24"/>
          <w:szCs w:val="24"/>
        </w:rPr>
        <w:t>po</w:t>
      </w:r>
      <w:r w:rsidRPr="004F436C">
        <w:rPr>
          <w:rFonts w:ascii="Arial" w:eastAsia="Calibri" w:hAnsi="Arial" w:cs="Arial"/>
          <w:sz w:val="24"/>
          <w:szCs w:val="24"/>
        </w:rPr>
        <w:t>si</w:t>
      </w:r>
      <w:r w:rsidRPr="004F436C">
        <w:rPr>
          <w:rFonts w:ascii="Arial" w:eastAsia="Calibri" w:hAnsi="Arial" w:cs="Arial"/>
          <w:spacing w:val="-1"/>
          <w:sz w:val="24"/>
          <w:szCs w:val="24"/>
        </w:rPr>
        <w:t>b</w:t>
      </w:r>
      <w:r w:rsidRPr="004F436C">
        <w:rPr>
          <w:rFonts w:ascii="Arial" w:eastAsia="Calibri" w:hAnsi="Arial" w:cs="Arial"/>
          <w:sz w:val="24"/>
          <w:szCs w:val="24"/>
        </w:rPr>
        <w:t>i</w:t>
      </w:r>
      <w:r w:rsidRPr="004F436C">
        <w:rPr>
          <w:rFonts w:ascii="Arial" w:eastAsia="Calibri" w:hAnsi="Arial" w:cs="Arial"/>
          <w:spacing w:val="-1"/>
          <w:sz w:val="24"/>
          <w:szCs w:val="24"/>
        </w:rPr>
        <w:t>l</w:t>
      </w:r>
      <w:r w:rsidRPr="004F436C">
        <w:rPr>
          <w:rFonts w:ascii="Arial" w:eastAsia="Calibri" w:hAnsi="Arial" w:cs="Arial"/>
          <w:sz w:val="24"/>
          <w:szCs w:val="24"/>
        </w:rPr>
        <w:t>e</w:t>
      </w:r>
      <w:r w:rsidRPr="004F436C">
        <w:rPr>
          <w:rFonts w:ascii="Arial" w:eastAsia="Calibri" w:hAnsi="Arial" w:cs="Arial"/>
          <w:spacing w:val="6"/>
          <w:sz w:val="24"/>
          <w:szCs w:val="24"/>
        </w:rPr>
        <w:t xml:space="preserve"> </w:t>
      </w:r>
      <w:r w:rsidRPr="004F436C">
        <w:rPr>
          <w:rFonts w:ascii="Arial" w:eastAsia="Calibri" w:hAnsi="Arial" w:cs="Arial"/>
          <w:spacing w:val="-3"/>
          <w:sz w:val="24"/>
          <w:szCs w:val="24"/>
        </w:rPr>
        <w:t>p</w:t>
      </w:r>
      <w:r w:rsidRPr="004F436C">
        <w:rPr>
          <w:rFonts w:ascii="Arial" w:eastAsia="Calibri" w:hAnsi="Arial" w:cs="Arial"/>
          <w:sz w:val="24"/>
          <w:szCs w:val="24"/>
        </w:rPr>
        <w:t>e</w:t>
      </w:r>
      <w:r w:rsidRPr="004F436C">
        <w:rPr>
          <w:rFonts w:ascii="Arial" w:eastAsia="Calibri" w:hAnsi="Arial" w:cs="Arial"/>
          <w:spacing w:val="6"/>
          <w:sz w:val="24"/>
          <w:szCs w:val="24"/>
        </w:rPr>
        <w:t xml:space="preserve"> </w:t>
      </w:r>
      <w:r w:rsidRPr="004F436C">
        <w:rPr>
          <w:rFonts w:ascii="Arial" w:eastAsia="Calibri" w:hAnsi="Arial" w:cs="Arial"/>
          <w:spacing w:val="-2"/>
          <w:sz w:val="24"/>
          <w:szCs w:val="24"/>
        </w:rPr>
        <w:t>t</w:t>
      </w:r>
      <w:r w:rsidRPr="004F436C">
        <w:rPr>
          <w:rFonts w:ascii="Arial" w:eastAsia="Calibri" w:hAnsi="Arial" w:cs="Arial"/>
          <w:spacing w:val="1"/>
          <w:sz w:val="24"/>
          <w:szCs w:val="24"/>
        </w:rPr>
        <w:t>o</w:t>
      </w:r>
      <w:r w:rsidRPr="004F436C">
        <w:rPr>
          <w:rFonts w:ascii="Arial" w:eastAsia="Calibri" w:hAnsi="Arial" w:cs="Arial"/>
          <w:sz w:val="24"/>
          <w:szCs w:val="24"/>
        </w:rPr>
        <w:t>t</w:t>
      </w:r>
      <w:r w:rsidRPr="004F436C">
        <w:rPr>
          <w:rFonts w:ascii="Arial" w:eastAsia="Calibri" w:hAnsi="Arial" w:cs="Arial"/>
          <w:spacing w:val="3"/>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arc</w:t>
      </w:r>
      <w:r w:rsidRPr="004F436C">
        <w:rPr>
          <w:rFonts w:ascii="Arial" w:eastAsia="Calibri" w:hAnsi="Arial" w:cs="Arial"/>
          <w:spacing w:val="-1"/>
          <w:sz w:val="24"/>
          <w:szCs w:val="24"/>
        </w:rPr>
        <w:t>u</w:t>
      </w:r>
      <w:r w:rsidRPr="004F436C">
        <w:rPr>
          <w:rFonts w:ascii="Arial" w:eastAsia="Calibri" w:hAnsi="Arial" w:cs="Arial"/>
          <w:sz w:val="24"/>
          <w:szCs w:val="24"/>
        </w:rPr>
        <w:t>rs</w:t>
      </w:r>
      <w:r w:rsidRPr="004F436C">
        <w:rPr>
          <w:rFonts w:ascii="Arial" w:eastAsia="Calibri" w:hAnsi="Arial" w:cs="Arial"/>
          <w:spacing w:val="-1"/>
          <w:sz w:val="24"/>
          <w:szCs w:val="24"/>
        </w:rPr>
        <w:t>u</w:t>
      </w:r>
      <w:r w:rsidRPr="004F436C">
        <w:rPr>
          <w:rFonts w:ascii="Arial" w:eastAsia="Calibri" w:hAnsi="Arial" w:cs="Arial"/>
          <w:sz w:val="24"/>
          <w:szCs w:val="24"/>
        </w:rPr>
        <w:t>l a</w:t>
      </w:r>
      <w:r w:rsidRPr="004F436C">
        <w:rPr>
          <w:rFonts w:ascii="Arial" w:eastAsia="Calibri" w:hAnsi="Arial" w:cs="Arial"/>
          <w:spacing w:val="-1"/>
          <w:sz w:val="24"/>
          <w:szCs w:val="24"/>
        </w:rPr>
        <w:t>nu</w:t>
      </w:r>
      <w:r w:rsidRPr="004F436C">
        <w:rPr>
          <w:rFonts w:ascii="Arial" w:eastAsia="Calibri" w:hAnsi="Arial" w:cs="Arial"/>
          <w:sz w:val="24"/>
          <w:szCs w:val="24"/>
        </w:rPr>
        <w:t>l</w:t>
      </w:r>
      <w:r w:rsidRPr="004F436C">
        <w:rPr>
          <w:rFonts w:ascii="Arial" w:eastAsia="Calibri" w:hAnsi="Arial" w:cs="Arial"/>
          <w:spacing w:val="-1"/>
          <w:sz w:val="24"/>
          <w:szCs w:val="24"/>
        </w:rPr>
        <w:t>u</w:t>
      </w:r>
      <w:r w:rsidRPr="004F436C">
        <w:rPr>
          <w:rFonts w:ascii="Arial" w:eastAsia="Calibri" w:hAnsi="Arial" w:cs="Arial"/>
          <w:sz w:val="24"/>
          <w:szCs w:val="24"/>
        </w:rPr>
        <w:t>i,</w:t>
      </w:r>
      <w:r w:rsidRPr="004F436C">
        <w:rPr>
          <w:rFonts w:ascii="Arial" w:eastAsia="Calibri" w:hAnsi="Arial" w:cs="Arial"/>
          <w:spacing w:val="5"/>
          <w:sz w:val="24"/>
          <w:szCs w:val="24"/>
        </w:rPr>
        <w:t xml:space="preserve"> </w:t>
      </w:r>
      <w:r w:rsidRPr="004F436C">
        <w:rPr>
          <w:rFonts w:ascii="Arial" w:eastAsia="Calibri" w:hAnsi="Arial" w:cs="Arial"/>
          <w:sz w:val="24"/>
          <w:szCs w:val="24"/>
        </w:rPr>
        <w:t>ac</w:t>
      </w:r>
      <w:r w:rsidRPr="004F436C">
        <w:rPr>
          <w:rFonts w:ascii="Arial" w:eastAsia="Calibri" w:hAnsi="Arial" w:cs="Arial"/>
          <w:spacing w:val="9"/>
          <w:sz w:val="24"/>
          <w:szCs w:val="24"/>
        </w:rPr>
        <w:t>e</w:t>
      </w:r>
      <w:r w:rsidRPr="004F436C">
        <w:rPr>
          <w:rFonts w:ascii="Arial" w:eastAsia="Calibri" w:hAnsi="Arial" w:cs="Arial"/>
          <w:sz w:val="24"/>
          <w:szCs w:val="24"/>
        </w:rPr>
        <w:t>s</w:t>
      </w:r>
      <w:r w:rsidRPr="004F436C">
        <w:rPr>
          <w:rFonts w:ascii="Arial" w:eastAsia="Calibri" w:hAnsi="Arial" w:cs="Arial"/>
          <w:spacing w:val="-2"/>
          <w:sz w:val="24"/>
          <w:szCs w:val="24"/>
        </w:rPr>
        <w:t>t</w:t>
      </w:r>
      <w:r w:rsidRPr="004F436C">
        <w:rPr>
          <w:rFonts w:ascii="Arial" w:eastAsia="Calibri" w:hAnsi="Arial" w:cs="Arial"/>
          <w:sz w:val="24"/>
          <w:szCs w:val="24"/>
        </w:rPr>
        <w:t>ea</w:t>
      </w:r>
      <w:r w:rsidRPr="004F436C">
        <w:rPr>
          <w:rFonts w:ascii="Arial" w:eastAsia="Calibri" w:hAnsi="Arial" w:cs="Arial"/>
          <w:spacing w:val="3"/>
          <w:sz w:val="24"/>
          <w:szCs w:val="24"/>
        </w:rPr>
        <w:t xml:space="preserve"> </w:t>
      </w:r>
      <w:r w:rsidRPr="004F436C">
        <w:rPr>
          <w:rFonts w:ascii="Arial" w:eastAsia="Calibri" w:hAnsi="Arial" w:cs="Arial"/>
          <w:sz w:val="24"/>
          <w:szCs w:val="24"/>
        </w:rPr>
        <w:t>a</w:t>
      </w:r>
      <w:r w:rsidRPr="004F436C">
        <w:rPr>
          <w:rFonts w:ascii="Arial" w:eastAsia="Calibri" w:hAnsi="Arial" w:cs="Arial"/>
          <w:spacing w:val="1"/>
          <w:sz w:val="24"/>
          <w:szCs w:val="24"/>
        </w:rPr>
        <w:t>v</w:t>
      </w:r>
      <w:r w:rsidRPr="004F436C">
        <w:rPr>
          <w:rFonts w:ascii="Arial" w:eastAsia="Calibri" w:hAnsi="Arial" w:cs="Arial"/>
          <w:sz w:val="24"/>
          <w:szCs w:val="24"/>
        </w:rPr>
        <w:t>â</w:t>
      </w:r>
      <w:r w:rsidRPr="004F436C">
        <w:rPr>
          <w:rFonts w:ascii="Arial" w:eastAsia="Calibri" w:hAnsi="Arial" w:cs="Arial"/>
          <w:spacing w:val="-1"/>
          <w:sz w:val="24"/>
          <w:szCs w:val="24"/>
        </w:rPr>
        <w:t>n</w:t>
      </w:r>
      <w:r w:rsidRPr="004F436C">
        <w:rPr>
          <w:rFonts w:ascii="Arial" w:eastAsia="Calibri" w:hAnsi="Arial" w:cs="Arial"/>
          <w:sz w:val="24"/>
          <w:szCs w:val="24"/>
        </w:rPr>
        <w:t>d ca</w:t>
      </w:r>
      <w:r w:rsidRPr="004F436C">
        <w:rPr>
          <w:rFonts w:ascii="Arial" w:eastAsia="Calibri" w:hAnsi="Arial" w:cs="Arial"/>
          <w:spacing w:val="2"/>
          <w:sz w:val="24"/>
          <w:szCs w:val="24"/>
        </w:rPr>
        <w:t xml:space="preserve"> </w:t>
      </w:r>
      <w:r w:rsidRPr="004F436C">
        <w:rPr>
          <w:rFonts w:ascii="Arial" w:eastAsia="Calibri" w:hAnsi="Arial" w:cs="Arial"/>
          <w:sz w:val="24"/>
          <w:szCs w:val="24"/>
        </w:rPr>
        <w:t>su</w:t>
      </w:r>
      <w:r w:rsidRPr="004F436C">
        <w:rPr>
          <w:rFonts w:ascii="Arial" w:eastAsia="Calibri" w:hAnsi="Arial" w:cs="Arial"/>
          <w:spacing w:val="-1"/>
          <w:sz w:val="24"/>
          <w:szCs w:val="24"/>
        </w:rPr>
        <w:t>r</w:t>
      </w:r>
      <w:r w:rsidRPr="004F436C">
        <w:rPr>
          <w:rFonts w:ascii="Arial" w:eastAsia="Calibri" w:hAnsi="Arial" w:cs="Arial"/>
          <w:sz w:val="24"/>
          <w:szCs w:val="24"/>
        </w:rPr>
        <w:t>să</w:t>
      </w:r>
      <w:r w:rsidRPr="004F436C">
        <w:rPr>
          <w:rFonts w:ascii="Arial" w:eastAsia="Calibri" w:hAnsi="Arial" w:cs="Arial"/>
          <w:spacing w:val="3"/>
          <w:sz w:val="24"/>
          <w:szCs w:val="24"/>
        </w:rPr>
        <w:t xml:space="preserve"> </w:t>
      </w:r>
      <w:r w:rsidRPr="004F436C">
        <w:rPr>
          <w:rFonts w:ascii="Arial" w:eastAsia="Calibri" w:hAnsi="Arial" w:cs="Arial"/>
          <w:spacing w:val="-3"/>
          <w:sz w:val="24"/>
          <w:szCs w:val="24"/>
        </w:rPr>
        <w:t>r</w:t>
      </w:r>
      <w:r w:rsidRPr="004F436C">
        <w:rPr>
          <w:rFonts w:ascii="Arial" w:eastAsia="Calibri" w:hAnsi="Arial" w:cs="Arial"/>
          <w:sz w:val="24"/>
          <w:szCs w:val="24"/>
        </w:rPr>
        <w:t>e</w:t>
      </w:r>
      <w:r w:rsidRPr="004F436C">
        <w:rPr>
          <w:rFonts w:ascii="Arial" w:eastAsia="Calibri" w:hAnsi="Arial" w:cs="Arial"/>
          <w:spacing w:val="1"/>
          <w:sz w:val="24"/>
          <w:szCs w:val="24"/>
        </w:rPr>
        <w:t>v</w:t>
      </w:r>
      <w:r w:rsidRPr="004F436C">
        <w:rPr>
          <w:rFonts w:ascii="Arial" w:eastAsia="Calibri" w:hAnsi="Arial" w:cs="Arial"/>
          <w:sz w:val="24"/>
          <w:szCs w:val="24"/>
        </w:rPr>
        <w:t>ă</w:t>
      </w:r>
      <w:r w:rsidRPr="004F436C">
        <w:rPr>
          <w:rFonts w:ascii="Arial" w:eastAsia="Calibri" w:hAnsi="Arial" w:cs="Arial"/>
          <w:spacing w:val="-3"/>
          <w:sz w:val="24"/>
          <w:szCs w:val="24"/>
        </w:rPr>
        <w:t>r</w:t>
      </w:r>
      <w:r w:rsidRPr="004F436C">
        <w:rPr>
          <w:rFonts w:ascii="Arial" w:eastAsia="Calibri" w:hAnsi="Arial" w:cs="Arial"/>
          <w:sz w:val="24"/>
          <w:szCs w:val="24"/>
        </w:rPr>
        <w:t>sări</w:t>
      </w:r>
      <w:r w:rsidRPr="004F436C">
        <w:rPr>
          <w:rFonts w:ascii="Arial" w:eastAsia="Calibri" w:hAnsi="Arial" w:cs="Arial"/>
          <w:spacing w:val="1"/>
          <w:sz w:val="24"/>
          <w:szCs w:val="24"/>
        </w:rPr>
        <w:t xml:space="preserve"> </w:t>
      </w:r>
      <w:r w:rsidRPr="004F436C">
        <w:rPr>
          <w:rFonts w:ascii="Arial" w:eastAsia="Calibri" w:hAnsi="Arial" w:cs="Arial"/>
          <w:spacing w:val="-1"/>
          <w:sz w:val="24"/>
          <w:szCs w:val="24"/>
        </w:rPr>
        <w:t>n</w:t>
      </w:r>
      <w:r w:rsidRPr="004F436C">
        <w:rPr>
          <w:rFonts w:ascii="Arial" w:eastAsia="Calibri" w:hAnsi="Arial" w:cs="Arial"/>
          <w:sz w:val="24"/>
          <w:szCs w:val="24"/>
        </w:rPr>
        <w:t>atu</w:t>
      </w:r>
      <w:r w:rsidRPr="004F436C">
        <w:rPr>
          <w:rFonts w:ascii="Arial" w:eastAsia="Calibri" w:hAnsi="Arial" w:cs="Arial"/>
          <w:spacing w:val="-1"/>
          <w:sz w:val="24"/>
          <w:szCs w:val="24"/>
        </w:rPr>
        <w:t>r</w:t>
      </w:r>
      <w:r w:rsidRPr="004F436C">
        <w:rPr>
          <w:rFonts w:ascii="Arial" w:eastAsia="Calibri" w:hAnsi="Arial" w:cs="Arial"/>
          <w:sz w:val="24"/>
          <w:szCs w:val="24"/>
        </w:rPr>
        <w:t>a</w:t>
      </w:r>
      <w:r w:rsidRPr="004F436C">
        <w:rPr>
          <w:rFonts w:ascii="Arial" w:eastAsia="Calibri" w:hAnsi="Arial" w:cs="Arial"/>
          <w:spacing w:val="2"/>
          <w:sz w:val="24"/>
          <w:szCs w:val="24"/>
        </w:rPr>
        <w:t>l</w:t>
      </w:r>
      <w:r w:rsidRPr="004F436C">
        <w:rPr>
          <w:rFonts w:ascii="Arial" w:eastAsia="Calibri" w:hAnsi="Arial" w:cs="Arial"/>
          <w:sz w:val="24"/>
          <w:szCs w:val="24"/>
        </w:rPr>
        <w:t>e</w:t>
      </w:r>
      <w:r w:rsidRPr="004F436C">
        <w:rPr>
          <w:rFonts w:ascii="Arial" w:eastAsia="Calibri" w:hAnsi="Arial" w:cs="Arial"/>
          <w:spacing w:val="1"/>
          <w:sz w:val="24"/>
          <w:szCs w:val="24"/>
        </w:rPr>
        <w:t xml:space="preserve"> </w:t>
      </w:r>
      <w:r w:rsidRPr="004F436C">
        <w:rPr>
          <w:rFonts w:ascii="Arial" w:eastAsia="Calibri" w:hAnsi="Arial" w:cs="Arial"/>
          <w:sz w:val="24"/>
          <w:szCs w:val="24"/>
        </w:rPr>
        <w:t>ale</w:t>
      </w:r>
      <w:r w:rsidRPr="004F436C">
        <w:rPr>
          <w:rFonts w:ascii="Arial" w:eastAsia="Calibri" w:hAnsi="Arial" w:cs="Arial"/>
          <w:spacing w:val="2"/>
          <w:sz w:val="24"/>
          <w:szCs w:val="24"/>
        </w:rPr>
        <w:t xml:space="preserve"> </w:t>
      </w:r>
      <w:r w:rsidRPr="004F436C">
        <w:rPr>
          <w:rFonts w:ascii="Arial" w:eastAsia="Calibri" w:hAnsi="Arial" w:cs="Arial"/>
          <w:sz w:val="24"/>
          <w:szCs w:val="24"/>
        </w:rPr>
        <w:t>cu</w:t>
      </w:r>
      <w:r w:rsidRPr="004F436C">
        <w:rPr>
          <w:rFonts w:ascii="Arial" w:eastAsia="Calibri" w:hAnsi="Arial" w:cs="Arial"/>
          <w:spacing w:val="-1"/>
          <w:sz w:val="24"/>
          <w:szCs w:val="24"/>
        </w:rPr>
        <w:t>r</w:t>
      </w:r>
      <w:r w:rsidRPr="004F436C">
        <w:rPr>
          <w:rFonts w:ascii="Arial" w:eastAsia="Calibri" w:hAnsi="Arial" w:cs="Arial"/>
          <w:sz w:val="24"/>
          <w:szCs w:val="24"/>
        </w:rPr>
        <w:t>su</w:t>
      </w:r>
      <w:r w:rsidRPr="004F436C">
        <w:rPr>
          <w:rFonts w:ascii="Arial" w:eastAsia="Calibri" w:hAnsi="Arial" w:cs="Arial"/>
          <w:spacing w:val="-1"/>
          <w:sz w:val="24"/>
          <w:szCs w:val="24"/>
        </w:rPr>
        <w:t>r</w:t>
      </w:r>
      <w:r w:rsidRPr="004F436C">
        <w:rPr>
          <w:rFonts w:ascii="Arial" w:eastAsia="Calibri" w:hAnsi="Arial" w:cs="Arial"/>
          <w:sz w:val="24"/>
          <w:szCs w:val="24"/>
        </w:rPr>
        <w:t>i</w:t>
      </w:r>
      <w:r w:rsidRPr="004F436C">
        <w:rPr>
          <w:rFonts w:ascii="Arial" w:eastAsia="Calibri" w:hAnsi="Arial" w:cs="Arial"/>
          <w:spacing w:val="-3"/>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r</w:t>
      </w:r>
      <w:r w:rsidRPr="004F436C">
        <w:rPr>
          <w:rFonts w:ascii="Arial" w:eastAsia="Calibri" w:hAnsi="Arial" w:cs="Arial"/>
          <w:spacing w:val="2"/>
          <w:sz w:val="24"/>
          <w:szCs w:val="24"/>
        </w:rPr>
        <w:t xml:space="preserve"> </w:t>
      </w:r>
      <w:r w:rsidRPr="004F436C">
        <w:rPr>
          <w:rFonts w:ascii="Arial" w:eastAsia="Calibri" w:hAnsi="Arial" w:cs="Arial"/>
          <w:spacing w:val="-1"/>
          <w:sz w:val="24"/>
          <w:szCs w:val="24"/>
        </w:rPr>
        <w:t>d</w:t>
      </w:r>
      <w:r w:rsidRPr="004F436C">
        <w:rPr>
          <w:rFonts w:ascii="Arial" w:eastAsia="Calibri" w:hAnsi="Arial" w:cs="Arial"/>
          <w:sz w:val="24"/>
          <w:szCs w:val="24"/>
        </w:rPr>
        <w:t>e a</w:t>
      </w:r>
      <w:r w:rsidRPr="004F436C">
        <w:rPr>
          <w:rFonts w:ascii="Arial" w:eastAsia="Calibri" w:hAnsi="Arial" w:cs="Arial"/>
          <w:spacing w:val="-1"/>
          <w:sz w:val="24"/>
          <w:szCs w:val="24"/>
        </w:rPr>
        <w:t>p</w:t>
      </w:r>
      <w:r w:rsidRPr="004F436C">
        <w:rPr>
          <w:rFonts w:ascii="Arial" w:eastAsia="Calibri" w:hAnsi="Arial" w:cs="Arial"/>
          <w:sz w:val="24"/>
          <w:szCs w:val="24"/>
        </w:rPr>
        <w:t>ă,</w:t>
      </w:r>
      <w:r w:rsidRPr="004F436C">
        <w:rPr>
          <w:rFonts w:ascii="Arial" w:eastAsia="Calibri" w:hAnsi="Arial" w:cs="Arial"/>
          <w:spacing w:val="6"/>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r</w:t>
      </w:r>
      <w:r w:rsidRPr="004F436C">
        <w:rPr>
          <w:rFonts w:ascii="Arial" w:eastAsia="Calibri" w:hAnsi="Arial" w:cs="Arial"/>
          <w:spacing w:val="-2"/>
          <w:sz w:val="24"/>
          <w:szCs w:val="24"/>
        </w:rPr>
        <w:t>ec</w:t>
      </w:r>
      <w:r w:rsidRPr="004F436C">
        <w:rPr>
          <w:rFonts w:ascii="Arial" w:eastAsia="Calibri" w:hAnsi="Arial" w:cs="Arial"/>
          <w:sz w:val="24"/>
          <w:szCs w:val="24"/>
        </w:rPr>
        <w:t>i</w:t>
      </w:r>
      <w:r w:rsidRPr="004F436C">
        <w:rPr>
          <w:rFonts w:ascii="Arial" w:eastAsia="Calibri" w:hAnsi="Arial" w:cs="Arial"/>
          <w:spacing w:val="-1"/>
          <w:sz w:val="24"/>
          <w:szCs w:val="24"/>
        </w:rPr>
        <w:t>p</w:t>
      </w:r>
      <w:r w:rsidRPr="004F436C">
        <w:rPr>
          <w:rFonts w:ascii="Arial" w:eastAsia="Calibri" w:hAnsi="Arial" w:cs="Arial"/>
          <w:sz w:val="24"/>
          <w:szCs w:val="24"/>
        </w:rPr>
        <w:t>itaţii</w:t>
      </w:r>
      <w:r w:rsidRPr="004F436C">
        <w:rPr>
          <w:rFonts w:ascii="Arial" w:eastAsia="Calibri" w:hAnsi="Arial" w:cs="Arial"/>
          <w:spacing w:val="-1"/>
          <w:sz w:val="24"/>
          <w:szCs w:val="24"/>
        </w:rPr>
        <w:t>l</w:t>
      </w:r>
      <w:r w:rsidRPr="004F436C">
        <w:rPr>
          <w:rFonts w:ascii="Arial" w:eastAsia="Calibri" w:hAnsi="Arial" w:cs="Arial"/>
          <w:sz w:val="24"/>
          <w:szCs w:val="24"/>
        </w:rPr>
        <w:t>e</w:t>
      </w:r>
      <w:r w:rsidRPr="004F436C">
        <w:rPr>
          <w:rFonts w:ascii="Arial" w:eastAsia="Calibri" w:hAnsi="Arial" w:cs="Arial"/>
          <w:spacing w:val="3"/>
          <w:sz w:val="24"/>
          <w:szCs w:val="24"/>
        </w:rPr>
        <w:t xml:space="preserve"> </w:t>
      </w:r>
      <w:r w:rsidRPr="004F436C">
        <w:rPr>
          <w:rFonts w:ascii="Arial" w:eastAsia="Calibri" w:hAnsi="Arial" w:cs="Arial"/>
          <w:sz w:val="24"/>
          <w:szCs w:val="24"/>
        </w:rPr>
        <w:t>a</w:t>
      </w:r>
      <w:r w:rsidRPr="004F436C">
        <w:rPr>
          <w:rFonts w:ascii="Arial" w:eastAsia="Calibri" w:hAnsi="Arial" w:cs="Arial"/>
          <w:spacing w:val="-1"/>
          <w:sz w:val="24"/>
          <w:szCs w:val="24"/>
        </w:rPr>
        <w:t>bund</w:t>
      </w:r>
      <w:r w:rsidRPr="004F436C">
        <w:rPr>
          <w:rFonts w:ascii="Arial" w:eastAsia="Calibri" w:hAnsi="Arial" w:cs="Arial"/>
          <w:sz w:val="24"/>
          <w:szCs w:val="24"/>
        </w:rPr>
        <w:t>ent</w:t>
      </w:r>
      <w:r w:rsidRPr="004F436C">
        <w:rPr>
          <w:rFonts w:ascii="Arial" w:eastAsia="Calibri" w:hAnsi="Arial" w:cs="Arial"/>
          <w:spacing w:val="-2"/>
          <w:sz w:val="24"/>
          <w:szCs w:val="24"/>
        </w:rPr>
        <w:t>e</w:t>
      </w:r>
      <w:r w:rsidRPr="004F436C">
        <w:rPr>
          <w:rFonts w:ascii="Arial" w:eastAsia="Calibri" w:hAnsi="Arial" w:cs="Arial"/>
          <w:sz w:val="24"/>
          <w:szCs w:val="24"/>
        </w:rPr>
        <w:t>, t</w:t>
      </w:r>
      <w:r w:rsidRPr="004F436C">
        <w:rPr>
          <w:rFonts w:ascii="Arial" w:eastAsia="Calibri" w:hAnsi="Arial" w:cs="Arial"/>
          <w:spacing w:val="1"/>
          <w:sz w:val="24"/>
          <w:szCs w:val="24"/>
        </w:rPr>
        <w:t>o</w:t>
      </w:r>
      <w:r w:rsidRPr="004F436C">
        <w:rPr>
          <w:rFonts w:ascii="Arial" w:eastAsia="Calibri" w:hAnsi="Arial" w:cs="Arial"/>
          <w:spacing w:val="-1"/>
          <w:sz w:val="24"/>
          <w:szCs w:val="24"/>
        </w:rPr>
        <w:t>p</w:t>
      </w:r>
      <w:r w:rsidRPr="004F436C">
        <w:rPr>
          <w:rFonts w:ascii="Arial" w:eastAsia="Calibri" w:hAnsi="Arial" w:cs="Arial"/>
          <w:sz w:val="24"/>
          <w:szCs w:val="24"/>
        </w:rPr>
        <w:t>ir</w:t>
      </w:r>
      <w:r w:rsidRPr="004F436C">
        <w:rPr>
          <w:rFonts w:ascii="Arial" w:eastAsia="Calibri" w:hAnsi="Arial" w:cs="Arial"/>
          <w:spacing w:val="1"/>
          <w:sz w:val="24"/>
          <w:szCs w:val="24"/>
        </w:rPr>
        <w:t>e</w:t>
      </w:r>
      <w:r w:rsidRPr="004F436C">
        <w:rPr>
          <w:rFonts w:ascii="Arial" w:eastAsia="Calibri" w:hAnsi="Arial" w:cs="Arial"/>
          <w:sz w:val="24"/>
          <w:szCs w:val="24"/>
        </w:rPr>
        <w:t>a</w:t>
      </w:r>
      <w:r w:rsidRPr="004F436C">
        <w:rPr>
          <w:rFonts w:ascii="Arial" w:eastAsia="Calibri" w:hAnsi="Arial" w:cs="Arial"/>
          <w:spacing w:val="2"/>
          <w:sz w:val="24"/>
          <w:szCs w:val="24"/>
        </w:rPr>
        <w:t xml:space="preserve"> </w:t>
      </w:r>
      <w:r w:rsidRPr="004F436C">
        <w:rPr>
          <w:rFonts w:ascii="Arial" w:eastAsia="Calibri" w:hAnsi="Arial" w:cs="Arial"/>
          <w:spacing w:val="-1"/>
          <w:sz w:val="24"/>
          <w:szCs w:val="24"/>
        </w:rPr>
        <w:t>z</w:t>
      </w:r>
      <w:r w:rsidRPr="004F436C">
        <w:rPr>
          <w:rFonts w:ascii="Arial" w:eastAsia="Calibri" w:hAnsi="Arial" w:cs="Arial"/>
          <w:sz w:val="24"/>
          <w:szCs w:val="24"/>
        </w:rPr>
        <w:t>ă</w:t>
      </w:r>
      <w:r w:rsidRPr="004F436C">
        <w:rPr>
          <w:rFonts w:ascii="Arial" w:eastAsia="Calibri" w:hAnsi="Arial" w:cs="Arial"/>
          <w:spacing w:val="-3"/>
          <w:sz w:val="24"/>
          <w:szCs w:val="24"/>
        </w:rPr>
        <w:t>p</w:t>
      </w:r>
      <w:r w:rsidRPr="004F436C">
        <w:rPr>
          <w:rFonts w:ascii="Arial" w:eastAsia="Calibri" w:hAnsi="Arial" w:cs="Arial"/>
          <w:sz w:val="24"/>
          <w:szCs w:val="24"/>
        </w:rPr>
        <w:t>ez</w:t>
      </w:r>
      <w:r w:rsidRPr="004F436C">
        <w:rPr>
          <w:rFonts w:ascii="Arial" w:eastAsia="Calibri" w:hAnsi="Arial" w:cs="Arial"/>
          <w:spacing w:val="-1"/>
          <w:sz w:val="24"/>
          <w:szCs w:val="24"/>
        </w:rPr>
        <w:t>i</w:t>
      </w:r>
      <w:r w:rsidRPr="004F436C">
        <w:rPr>
          <w:rFonts w:ascii="Arial" w:eastAsia="Calibri" w:hAnsi="Arial" w:cs="Arial"/>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r,</w:t>
      </w:r>
      <w:r w:rsidRPr="004F436C">
        <w:rPr>
          <w:rFonts w:ascii="Arial" w:eastAsia="Calibri" w:hAnsi="Arial" w:cs="Arial"/>
          <w:spacing w:val="2"/>
          <w:sz w:val="24"/>
          <w:szCs w:val="24"/>
        </w:rPr>
        <w:t xml:space="preserve"> </w:t>
      </w:r>
      <w:r w:rsidRPr="004F436C">
        <w:rPr>
          <w:rFonts w:ascii="Arial" w:eastAsia="Calibri" w:hAnsi="Arial" w:cs="Arial"/>
          <w:spacing w:val="-1"/>
          <w:sz w:val="24"/>
          <w:szCs w:val="24"/>
        </w:rPr>
        <w:t>b</w:t>
      </w:r>
      <w:r w:rsidRPr="004F436C">
        <w:rPr>
          <w:rFonts w:ascii="Arial" w:eastAsia="Calibri" w:hAnsi="Arial" w:cs="Arial"/>
          <w:spacing w:val="-3"/>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caje</w:t>
      </w:r>
      <w:r w:rsidRPr="004F436C">
        <w:rPr>
          <w:rFonts w:ascii="Arial" w:eastAsia="Calibri" w:hAnsi="Arial" w:cs="Arial"/>
          <w:spacing w:val="-2"/>
          <w:sz w:val="24"/>
          <w:szCs w:val="24"/>
        </w:rPr>
        <w:t>l</w:t>
      </w:r>
      <w:r w:rsidRPr="004F436C">
        <w:rPr>
          <w:rFonts w:ascii="Arial" w:eastAsia="Calibri" w:hAnsi="Arial" w:cs="Arial"/>
          <w:sz w:val="24"/>
          <w:szCs w:val="24"/>
        </w:rPr>
        <w:t xml:space="preserve">e </w:t>
      </w:r>
      <w:r w:rsidRPr="004F436C">
        <w:rPr>
          <w:rFonts w:ascii="Arial" w:eastAsia="Calibri" w:hAnsi="Arial" w:cs="Arial"/>
          <w:spacing w:val="-1"/>
          <w:sz w:val="24"/>
          <w:szCs w:val="24"/>
        </w:rPr>
        <w:t>d</w:t>
      </w:r>
      <w:r w:rsidRPr="004F436C">
        <w:rPr>
          <w:rFonts w:ascii="Arial" w:eastAsia="Calibri" w:hAnsi="Arial" w:cs="Arial"/>
          <w:sz w:val="24"/>
          <w:szCs w:val="24"/>
        </w:rPr>
        <w:t>at</w:t>
      </w:r>
      <w:r w:rsidRPr="004F436C">
        <w:rPr>
          <w:rFonts w:ascii="Arial" w:eastAsia="Calibri" w:hAnsi="Arial" w:cs="Arial"/>
          <w:spacing w:val="1"/>
          <w:sz w:val="24"/>
          <w:szCs w:val="24"/>
        </w:rPr>
        <w:t>o</w:t>
      </w:r>
      <w:r w:rsidRPr="004F436C">
        <w:rPr>
          <w:rFonts w:ascii="Arial" w:eastAsia="Calibri" w:hAnsi="Arial" w:cs="Arial"/>
          <w:sz w:val="24"/>
          <w:szCs w:val="24"/>
        </w:rPr>
        <w:t>ra</w:t>
      </w:r>
      <w:r w:rsidRPr="004F436C">
        <w:rPr>
          <w:rFonts w:ascii="Arial" w:eastAsia="Calibri" w:hAnsi="Arial" w:cs="Arial"/>
          <w:spacing w:val="-2"/>
          <w:sz w:val="24"/>
          <w:szCs w:val="24"/>
        </w:rPr>
        <w:t>t</w:t>
      </w:r>
      <w:r w:rsidRPr="004F436C">
        <w:rPr>
          <w:rFonts w:ascii="Arial" w:eastAsia="Calibri" w:hAnsi="Arial" w:cs="Arial"/>
          <w:sz w:val="24"/>
          <w:szCs w:val="24"/>
        </w:rPr>
        <w:t>e</w:t>
      </w:r>
      <w:r w:rsidRPr="004F436C">
        <w:rPr>
          <w:rFonts w:ascii="Arial" w:eastAsia="Calibri" w:hAnsi="Arial" w:cs="Arial"/>
          <w:spacing w:val="3"/>
          <w:sz w:val="24"/>
          <w:szCs w:val="24"/>
        </w:rPr>
        <w:t xml:space="preserve"> </w:t>
      </w:r>
      <w:r w:rsidRPr="004F436C">
        <w:rPr>
          <w:rFonts w:ascii="Arial" w:eastAsia="Calibri" w:hAnsi="Arial" w:cs="Arial"/>
          <w:spacing w:val="-1"/>
          <w:sz w:val="24"/>
          <w:szCs w:val="24"/>
        </w:rPr>
        <w:t>p</w:t>
      </w:r>
      <w:r w:rsidRPr="004F436C">
        <w:rPr>
          <w:rFonts w:ascii="Arial" w:eastAsia="Calibri" w:hAnsi="Arial" w:cs="Arial"/>
          <w:spacing w:val="1"/>
          <w:sz w:val="24"/>
          <w:szCs w:val="24"/>
        </w:rPr>
        <w:t>o</w:t>
      </w:r>
      <w:r w:rsidRPr="004F436C">
        <w:rPr>
          <w:rFonts w:ascii="Arial" w:eastAsia="Calibri" w:hAnsi="Arial" w:cs="Arial"/>
          <w:spacing w:val="-1"/>
          <w:sz w:val="24"/>
          <w:szCs w:val="24"/>
        </w:rPr>
        <w:t>du</w:t>
      </w:r>
      <w:r w:rsidRPr="004F436C">
        <w:rPr>
          <w:rFonts w:ascii="Arial" w:eastAsia="Calibri" w:hAnsi="Arial" w:cs="Arial"/>
          <w:sz w:val="24"/>
          <w:szCs w:val="24"/>
        </w:rPr>
        <w:t>ri</w:t>
      </w:r>
      <w:r w:rsidRPr="004F436C">
        <w:rPr>
          <w:rFonts w:ascii="Arial" w:eastAsia="Calibri" w:hAnsi="Arial" w:cs="Arial"/>
          <w:spacing w:val="-4"/>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r</w:t>
      </w:r>
      <w:r w:rsidRPr="004F436C">
        <w:rPr>
          <w:rFonts w:ascii="Arial" w:eastAsia="Calibri" w:hAnsi="Arial" w:cs="Arial"/>
          <w:spacing w:val="2"/>
          <w:sz w:val="24"/>
          <w:szCs w:val="24"/>
        </w:rPr>
        <w:t xml:space="preserve"> </w:t>
      </w:r>
      <w:r w:rsidRPr="004F436C">
        <w:rPr>
          <w:rFonts w:ascii="Arial" w:eastAsia="Calibri" w:hAnsi="Arial" w:cs="Arial"/>
          <w:spacing w:val="-1"/>
          <w:sz w:val="24"/>
          <w:szCs w:val="24"/>
        </w:rPr>
        <w:t>d</w:t>
      </w:r>
      <w:r w:rsidRPr="004F436C">
        <w:rPr>
          <w:rFonts w:ascii="Arial" w:eastAsia="Calibri" w:hAnsi="Arial" w:cs="Arial"/>
          <w:sz w:val="24"/>
          <w:szCs w:val="24"/>
        </w:rPr>
        <w:t>e</w:t>
      </w:r>
      <w:r w:rsidRPr="004F436C">
        <w:rPr>
          <w:rFonts w:ascii="Arial" w:eastAsia="Calibri" w:hAnsi="Arial" w:cs="Arial"/>
          <w:spacing w:val="3"/>
          <w:sz w:val="24"/>
          <w:szCs w:val="24"/>
        </w:rPr>
        <w:t xml:space="preserve"> </w:t>
      </w:r>
      <w:r w:rsidRPr="004F436C">
        <w:rPr>
          <w:rFonts w:ascii="Arial" w:eastAsia="Calibri" w:hAnsi="Arial" w:cs="Arial"/>
          <w:spacing w:val="-1"/>
          <w:sz w:val="24"/>
          <w:szCs w:val="24"/>
        </w:rPr>
        <w:t>g</w:t>
      </w:r>
      <w:r w:rsidRPr="004F436C">
        <w:rPr>
          <w:rFonts w:ascii="Arial" w:eastAsia="Calibri" w:hAnsi="Arial" w:cs="Arial"/>
          <w:spacing w:val="-3"/>
          <w:sz w:val="24"/>
          <w:szCs w:val="24"/>
        </w:rPr>
        <w:t>h</w:t>
      </w:r>
      <w:r w:rsidRPr="004F436C">
        <w:rPr>
          <w:rFonts w:ascii="Arial" w:eastAsia="Calibri" w:hAnsi="Arial" w:cs="Arial"/>
          <w:sz w:val="24"/>
          <w:szCs w:val="24"/>
        </w:rPr>
        <w:t>eaţă</w:t>
      </w:r>
      <w:r w:rsidRPr="004F436C">
        <w:rPr>
          <w:rFonts w:ascii="Arial" w:eastAsia="Calibri" w:hAnsi="Arial" w:cs="Arial"/>
          <w:spacing w:val="9"/>
          <w:sz w:val="24"/>
          <w:szCs w:val="24"/>
        </w:rPr>
        <w:t xml:space="preserve"> </w:t>
      </w:r>
      <w:r w:rsidRPr="004F436C">
        <w:rPr>
          <w:rFonts w:ascii="Arial" w:eastAsia="Calibri" w:hAnsi="Arial" w:cs="Arial"/>
          <w:sz w:val="24"/>
          <w:szCs w:val="24"/>
        </w:rPr>
        <w:t>sau</w:t>
      </w:r>
      <w:r w:rsidRPr="004F436C">
        <w:rPr>
          <w:rFonts w:ascii="Arial" w:eastAsia="Calibri" w:hAnsi="Arial" w:cs="Arial"/>
          <w:spacing w:val="1"/>
          <w:sz w:val="24"/>
          <w:szCs w:val="24"/>
        </w:rPr>
        <w:t xml:space="preserve"> </w:t>
      </w:r>
      <w:r w:rsidRPr="004F436C">
        <w:rPr>
          <w:rFonts w:ascii="Arial" w:eastAsia="Calibri" w:hAnsi="Arial" w:cs="Arial"/>
          <w:spacing w:val="-1"/>
          <w:sz w:val="24"/>
          <w:szCs w:val="24"/>
        </w:rPr>
        <w:t>p</w:t>
      </w:r>
      <w:r w:rsidRPr="004F436C">
        <w:rPr>
          <w:rFonts w:ascii="Arial" w:eastAsia="Calibri" w:hAnsi="Arial" w:cs="Arial"/>
          <w:sz w:val="24"/>
          <w:szCs w:val="24"/>
        </w:rPr>
        <w:t>l</w:t>
      </w:r>
      <w:r w:rsidRPr="004F436C">
        <w:rPr>
          <w:rFonts w:ascii="Arial" w:eastAsia="Calibri" w:hAnsi="Arial" w:cs="Arial"/>
          <w:spacing w:val="-1"/>
          <w:sz w:val="24"/>
          <w:szCs w:val="24"/>
        </w:rPr>
        <w:t>u</w:t>
      </w:r>
      <w:r w:rsidRPr="004F436C">
        <w:rPr>
          <w:rFonts w:ascii="Arial" w:eastAsia="Calibri" w:hAnsi="Arial" w:cs="Arial"/>
          <w:sz w:val="24"/>
          <w:szCs w:val="24"/>
        </w:rPr>
        <w:t>ti</w:t>
      </w:r>
      <w:r w:rsidRPr="004F436C">
        <w:rPr>
          <w:rFonts w:ascii="Arial" w:eastAsia="Calibri" w:hAnsi="Arial" w:cs="Arial"/>
          <w:spacing w:val="-2"/>
          <w:sz w:val="24"/>
          <w:szCs w:val="24"/>
        </w:rPr>
        <w:t>t</w:t>
      </w:r>
      <w:r w:rsidRPr="004F436C">
        <w:rPr>
          <w:rFonts w:ascii="Arial" w:eastAsia="Calibri" w:hAnsi="Arial" w:cs="Arial"/>
          <w:spacing w:val="1"/>
          <w:sz w:val="24"/>
          <w:szCs w:val="24"/>
        </w:rPr>
        <w:t>o</w:t>
      </w:r>
      <w:r w:rsidRPr="004F436C">
        <w:rPr>
          <w:rFonts w:ascii="Arial" w:eastAsia="Calibri" w:hAnsi="Arial" w:cs="Arial"/>
          <w:sz w:val="24"/>
          <w:szCs w:val="24"/>
        </w:rPr>
        <w:t>r</w:t>
      </w:r>
      <w:r w:rsidRPr="004F436C">
        <w:rPr>
          <w:rFonts w:ascii="Arial" w:eastAsia="Calibri" w:hAnsi="Arial" w:cs="Arial"/>
          <w:spacing w:val="1"/>
          <w:sz w:val="24"/>
          <w:szCs w:val="24"/>
        </w:rPr>
        <w:t>i</w:t>
      </w:r>
      <w:r w:rsidRPr="004F436C">
        <w:rPr>
          <w:rFonts w:ascii="Arial" w:eastAsia="Calibri" w:hAnsi="Arial" w:cs="Arial"/>
          <w:spacing w:val="-3"/>
          <w:sz w:val="24"/>
          <w:szCs w:val="24"/>
        </w:rPr>
        <w:t>l</w:t>
      </w:r>
      <w:r w:rsidRPr="004F436C">
        <w:rPr>
          <w:rFonts w:ascii="Arial" w:eastAsia="Calibri" w:hAnsi="Arial" w:cs="Arial"/>
          <w:spacing w:val="1"/>
          <w:sz w:val="24"/>
          <w:szCs w:val="24"/>
        </w:rPr>
        <w:t>o</w:t>
      </w:r>
      <w:r w:rsidRPr="004F436C">
        <w:rPr>
          <w:rFonts w:ascii="Arial" w:eastAsia="Calibri" w:hAnsi="Arial" w:cs="Arial"/>
          <w:sz w:val="24"/>
          <w:szCs w:val="24"/>
        </w:rPr>
        <w:t>r, et</w:t>
      </w:r>
      <w:r>
        <w:rPr>
          <w:rFonts w:ascii="Calibri" w:eastAsia="Calibri" w:hAnsi="Calibri" w:cs="Calibri"/>
          <w:spacing w:val="1"/>
        </w:rPr>
        <w:t>c</w:t>
      </w:r>
      <w:r>
        <w:rPr>
          <w:rFonts w:ascii="Calibri" w:eastAsia="Calibri" w:hAnsi="Calibri" w:cs="Calibri"/>
        </w:rPr>
        <w:t>.</w:t>
      </w:r>
    </w:p>
    <w:p w:rsidR="007551D0" w:rsidRDefault="007551D0" w:rsidP="00EA6509">
      <w:pPr>
        <w:spacing w:after="0" w:line="240" w:lineRule="auto"/>
        <w:ind w:firstLine="709"/>
        <w:jc w:val="both"/>
        <w:rPr>
          <w:rFonts w:ascii="Arial" w:eastAsia="Calibri" w:hAnsi="Arial" w:cs="Arial"/>
          <w:sz w:val="24"/>
          <w:szCs w:val="24"/>
        </w:rPr>
      </w:pPr>
      <w:r>
        <w:rPr>
          <w:rFonts w:ascii="Arial" w:eastAsia="Calibri" w:hAnsi="Arial" w:cs="Arial"/>
          <w:sz w:val="24"/>
          <w:szCs w:val="24"/>
        </w:rPr>
        <w:t>Î</w:t>
      </w:r>
      <w:r w:rsidRPr="00723BFF">
        <w:rPr>
          <w:rFonts w:ascii="Arial" w:eastAsia="Calibri" w:hAnsi="Arial" w:cs="Arial"/>
          <w:sz w:val="24"/>
          <w:szCs w:val="24"/>
        </w:rPr>
        <w:t>n urma anal</w:t>
      </w:r>
      <w:r w:rsidRPr="00723BFF">
        <w:rPr>
          <w:rFonts w:ascii="Arial" w:eastAsia="Calibri" w:hAnsi="Arial" w:cs="Arial"/>
          <w:spacing w:val="-1"/>
          <w:sz w:val="24"/>
          <w:szCs w:val="24"/>
        </w:rPr>
        <w:t>iz</w:t>
      </w:r>
      <w:r w:rsidRPr="00723BFF">
        <w:rPr>
          <w:rFonts w:ascii="Arial" w:eastAsia="Calibri" w:hAnsi="Arial" w:cs="Arial"/>
          <w:sz w:val="24"/>
          <w:szCs w:val="24"/>
        </w:rPr>
        <w:t>ăr</w:t>
      </w:r>
      <w:r w:rsidRPr="00723BFF">
        <w:rPr>
          <w:rFonts w:ascii="Arial" w:eastAsia="Calibri" w:hAnsi="Arial" w:cs="Arial"/>
          <w:spacing w:val="-1"/>
          <w:sz w:val="24"/>
          <w:szCs w:val="24"/>
        </w:rPr>
        <w:t>i</w:t>
      </w:r>
      <w:r w:rsidRPr="00723BFF">
        <w:rPr>
          <w:rFonts w:ascii="Arial" w:eastAsia="Calibri" w:hAnsi="Arial" w:cs="Arial"/>
          <w:sz w:val="24"/>
          <w:szCs w:val="24"/>
        </w:rPr>
        <w:t>i</w:t>
      </w:r>
      <w:r w:rsidRPr="00723BFF">
        <w:rPr>
          <w:rFonts w:ascii="Arial" w:eastAsia="Calibri" w:hAnsi="Arial" w:cs="Arial"/>
          <w:spacing w:val="2"/>
          <w:sz w:val="24"/>
          <w:szCs w:val="24"/>
        </w:rPr>
        <w:t xml:space="preserve"> </w:t>
      </w:r>
      <w:r w:rsidRPr="00723BFF">
        <w:rPr>
          <w:rFonts w:ascii="Arial" w:eastAsia="Calibri" w:hAnsi="Arial" w:cs="Arial"/>
          <w:sz w:val="24"/>
          <w:szCs w:val="24"/>
        </w:rPr>
        <w:t>și</w:t>
      </w:r>
      <w:r w:rsidRPr="00723BFF">
        <w:rPr>
          <w:rFonts w:ascii="Arial" w:eastAsia="Calibri" w:hAnsi="Arial" w:cs="Arial"/>
          <w:spacing w:val="1"/>
          <w:sz w:val="24"/>
          <w:szCs w:val="24"/>
        </w:rPr>
        <w:t xml:space="preserve"> </w:t>
      </w:r>
      <w:r w:rsidRPr="00723BFF">
        <w:rPr>
          <w:rFonts w:ascii="Arial" w:eastAsia="Calibri" w:hAnsi="Arial" w:cs="Arial"/>
          <w:spacing w:val="-1"/>
          <w:sz w:val="24"/>
          <w:szCs w:val="24"/>
        </w:rPr>
        <w:t>p</w:t>
      </w:r>
      <w:r w:rsidRPr="00723BFF">
        <w:rPr>
          <w:rFonts w:ascii="Arial" w:eastAsia="Calibri" w:hAnsi="Arial" w:cs="Arial"/>
          <w:sz w:val="24"/>
          <w:szCs w:val="24"/>
        </w:rPr>
        <w:t>rel</w:t>
      </w:r>
      <w:r w:rsidRPr="00723BFF">
        <w:rPr>
          <w:rFonts w:ascii="Arial" w:eastAsia="Calibri" w:hAnsi="Arial" w:cs="Arial"/>
          <w:spacing w:val="-1"/>
          <w:sz w:val="24"/>
          <w:szCs w:val="24"/>
        </w:rPr>
        <w:t>u</w:t>
      </w:r>
      <w:r w:rsidRPr="00723BFF">
        <w:rPr>
          <w:rFonts w:ascii="Arial" w:eastAsia="Calibri" w:hAnsi="Arial" w:cs="Arial"/>
          <w:sz w:val="24"/>
          <w:szCs w:val="24"/>
        </w:rPr>
        <w:t>crăr</w:t>
      </w:r>
      <w:r w:rsidRPr="00723BFF">
        <w:rPr>
          <w:rFonts w:ascii="Arial" w:eastAsia="Calibri" w:hAnsi="Arial" w:cs="Arial"/>
          <w:spacing w:val="-1"/>
          <w:sz w:val="24"/>
          <w:szCs w:val="24"/>
        </w:rPr>
        <w:t>i</w:t>
      </w:r>
      <w:r w:rsidRPr="00723BFF">
        <w:rPr>
          <w:rFonts w:ascii="Arial" w:eastAsia="Calibri" w:hAnsi="Arial" w:cs="Arial"/>
          <w:sz w:val="24"/>
          <w:szCs w:val="24"/>
        </w:rPr>
        <w:t>i</w:t>
      </w:r>
      <w:r w:rsidRPr="00723BFF">
        <w:rPr>
          <w:rFonts w:ascii="Arial" w:eastAsia="Calibri" w:hAnsi="Arial" w:cs="Arial"/>
          <w:spacing w:val="3"/>
          <w:sz w:val="24"/>
          <w:szCs w:val="24"/>
        </w:rPr>
        <w:t xml:space="preserve"> </w:t>
      </w:r>
      <w:r w:rsidRPr="00723BFF">
        <w:rPr>
          <w:rFonts w:ascii="Arial" w:eastAsia="Calibri" w:hAnsi="Arial" w:cs="Arial"/>
          <w:spacing w:val="-1"/>
          <w:sz w:val="24"/>
          <w:szCs w:val="24"/>
        </w:rPr>
        <w:t>h</w:t>
      </w:r>
      <w:r w:rsidRPr="00723BFF">
        <w:rPr>
          <w:rFonts w:ascii="Arial" w:eastAsia="Calibri" w:hAnsi="Arial" w:cs="Arial"/>
          <w:sz w:val="24"/>
          <w:szCs w:val="24"/>
        </w:rPr>
        <w:t>ărți</w:t>
      </w:r>
      <w:r w:rsidRPr="00723BFF">
        <w:rPr>
          <w:rFonts w:ascii="Arial" w:eastAsia="Calibri" w:hAnsi="Arial" w:cs="Arial"/>
          <w:spacing w:val="-1"/>
          <w:sz w:val="24"/>
          <w:szCs w:val="24"/>
        </w:rPr>
        <w:t>l</w:t>
      </w:r>
      <w:r w:rsidRPr="00723BFF">
        <w:rPr>
          <w:rFonts w:ascii="Arial" w:eastAsia="Calibri" w:hAnsi="Arial" w:cs="Arial"/>
          <w:spacing w:val="1"/>
          <w:sz w:val="24"/>
          <w:szCs w:val="24"/>
        </w:rPr>
        <w:t>o</w:t>
      </w:r>
      <w:r w:rsidRPr="00723BFF">
        <w:rPr>
          <w:rFonts w:ascii="Arial" w:eastAsia="Calibri" w:hAnsi="Arial" w:cs="Arial"/>
          <w:sz w:val="24"/>
          <w:szCs w:val="24"/>
        </w:rPr>
        <w:t>r</w:t>
      </w:r>
      <w:r w:rsidRPr="00723BFF">
        <w:rPr>
          <w:rFonts w:ascii="Arial" w:eastAsia="Calibri" w:hAnsi="Arial" w:cs="Arial"/>
          <w:spacing w:val="1"/>
          <w:sz w:val="24"/>
          <w:szCs w:val="24"/>
        </w:rPr>
        <w:t xml:space="preserve"> </w:t>
      </w:r>
      <w:r w:rsidRPr="00723BFF">
        <w:rPr>
          <w:rFonts w:ascii="Arial" w:eastAsia="Calibri" w:hAnsi="Arial" w:cs="Arial"/>
          <w:spacing w:val="-1"/>
          <w:sz w:val="24"/>
          <w:szCs w:val="24"/>
        </w:rPr>
        <w:t>d</w:t>
      </w:r>
      <w:r w:rsidRPr="00723BFF">
        <w:rPr>
          <w:rFonts w:ascii="Arial" w:eastAsia="Calibri" w:hAnsi="Arial" w:cs="Arial"/>
          <w:sz w:val="24"/>
          <w:szCs w:val="24"/>
        </w:rPr>
        <w:t>e</w:t>
      </w:r>
      <w:r w:rsidRPr="00723BFF">
        <w:rPr>
          <w:rFonts w:ascii="Arial" w:eastAsia="Calibri" w:hAnsi="Arial" w:cs="Arial"/>
          <w:spacing w:val="2"/>
          <w:sz w:val="24"/>
          <w:szCs w:val="24"/>
        </w:rPr>
        <w:t xml:space="preserve"> </w:t>
      </w:r>
      <w:r w:rsidRPr="00723BFF">
        <w:rPr>
          <w:rFonts w:ascii="Arial" w:eastAsia="Calibri" w:hAnsi="Arial" w:cs="Arial"/>
          <w:spacing w:val="-1"/>
          <w:sz w:val="24"/>
          <w:szCs w:val="24"/>
        </w:rPr>
        <w:t>h</w:t>
      </w:r>
      <w:r w:rsidRPr="00723BFF">
        <w:rPr>
          <w:rFonts w:ascii="Arial" w:eastAsia="Calibri" w:hAnsi="Arial" w:cs="Arial"/>
          <w:sz w:val="24"/>
          <w:szCs w:val="24"/>
        </w:rPr>
        <w:t>a</w:t>
      </w:r>
      <w:r w:rsidRPr="00723BFF">
        <w:rPr>
          <w:rFonts w:ascii="Arial" w:eastAsia="Calibri" w:hAnsi="Arial" w:cs="Arial"/>
          <w:spacing w:val="-1"/>
          <w:sz w:val="24"/>
          <w:szCs w:val="24"/>
        </w:rPr>
        <w:t>z</w:t>
      </w:r>
      <w:r w:rsidRPr="00723BFF">
        <w:rPr>
          <w:rFonts w:ascii="Arial" w:eastAsia="Calibri" w:hAnsi="Arial" w:cs="Arial"/>
          <w:sz w:val="24"/>
          <w:szCs w:val="24"/>
        </w:rPr>
        <w:t>ard și</w:t>
      </w:r>
      <w:r w:rsidRPr="00723BFF">
        <w:rPr>
          <w:rFonts w:ascii="Arial" w:eastAsia="Calibri" w:hAnsi="Arial" w:cs="Arial"/>
          <w:spacing w:val="1"/>
          <w:sz w:val="24"/>
          <w:szCs w:val="24"/>
        </w:rPr>
        <w:t xml:space="preserve"> </w:t>
      </w:r>
      <w:r w:rsidRPr="00723BFF">
        <w:rPr>
          <w:rFonts w:ascii="Arial" w:eastAsia="Calibri" w:hAnsi="Arial" w:cs="Arial"/>
          <w:spacing w:val="-1"/>
          <w:sz w:val="24"/>
          <w:szCs w:val="24"/>
        </w:rPr>
        <w:t>d</w:t>
      </w:r>
      <w:r w:rsidRPr="00723BFF">
        <w:rPr>
          <w:rFonts w:ascii="Arial" w:eastAsia="Calibri" w:hAnsi="Arial" w:cs="Arial"/>
          <w:sz w:val="24"/>
          <w:szCs w:val="24"/>
        </w:rPr>
        <w:t>e</w:t>
      </w:r>
      <w:r w:rsidRPr="00723BFF">
        <w:rPr>
          <w:rFonts w:ascii="Arial" w:eastAsia="Calibri" w:hAnsi="Arial" w:cs="Arial"/>
          <w:spacing w:val="2"/>
          <w:sz w:val="24"/>
          <w:szCs w:val="24"/>
        </w:rPr>
        <w:t xml:space="preserve"> </w:t>
      </w:r>
      <w:r w:rsidRPr="00723BFF">
        <w:rPr>
          <w:rFonts w:ascii="Arial" w:eastAsia="Calibri" w:hAnsi="Arial" w:cs="Arial"/>
          <w:sz w:val="24"/>
          <w:szCs w:val="24"/>
        </w:rPr>
        <w:t>risc</w:t>
      </w:r>
      <w:r w:rsidRPr="00723BFF">
        <w:rPr>
          <w:rFonts w:ascii="Arial" w:eastAsia="Calibri" w:hAnsi="Arial" w:cs="Arial"/>
          <w:spacing w:val="1"/>
          <w:sz w:val="24"/>
          <w:szCs w:val="24"/>
        </w:rPr>
        <w:t xml:space="preserve"> </w:t>
      </w:r>
      <w:r w:rsidRPr="00723BFF">
        <w:rPr>
          <w:rFonts w:ascii="Arial" w:eastAsia="Calibri" w:hAnsi="Arial" w:cs="Arial"/>
          <w:sz w:val="24"/>
          <w:szCs w:val="24"/>
        </w:rPr>
        <w:t>la</w:t>
      </w:r>
      <w:r w:rsidRPr="00723BFF">
        <w:rPr>
          <w:rFonts w:ascii="Arial" w:eastAsia="Calibri" w:hAnsi="Arial" w:cs="Arial"/>
          <w:spacing w:val="1"/>
          <w:sz w:val="24"/>
          <w:szCs w:val="24"/>
        </w:rPr>
        <w:t xml:space="preserve"> </w:t>
      </w:r>
      <w:r w:rsidRPr="00723BFF">
        <w:rPr>
          <w:rFonts w:ascii="Arial" w:eastAsia="Calibri" w:hAnsi="Arial" w:cs="Arial"/>
          <w:sz w:val="24"/>
          <w:szCs w:val="24"/>
        </w:rPr>
        <w:t>i</w:t>
      </w:r>
      <w:r w:rsidRPr="00723BFF">
        <w:rPr>
          <w:rFonts w:ascii="Arial" w:eastAsia="Calibri" w:hAnsi="Arial" w:cs="Arial"/>
          <w:spacing w:val="-1"/>
          <w:sz w:val="24"/>
          <w:szCs w:val="24"/>
        </w:rPr>
        <w:t>nund</w:t>
      </w:r>
      <w:r w:rsidRPr="00723BFF">
        <w:rPr>
          <w:rFonts w:ascii="Arial" w:eastAsia="Calibri" w:hAnsi="Arial" w:cs="Arial"/>
          <w:sz w:val="24"/>
          <w:szCs w:val="24"/>
        </w:rPr>
        <w:t>ații</w:t>
      </w:r>
      <w:r w:rsidRPr="00723BFF">
        <w:rPr>
          <w:rFonts w:ascii="Arial" w:eastAsia="Calibri" w:hAnsi="Arial" w:cs="Arial"/>
          <w:spacing w:val="1"/>
          <w:sz w:val="24"/>
          <w:szCs w:val="24"/>
        </w:rPr>
        <w:t xml:space="preserve"> elaborate la</w:t>
      </w:r>
      <w:r>
        <w:rPr>
          <w:rFonts w:ascii="Arial" w:eastAsia="Calibri" w:hAnsi="Arial" w:cs="Arial"/>
          <w:spacing w:val="1"/>
          <w:sz w:val="24"/>
          <w:szCs w:val="24"/>
        </w:rPr>
        <w:t xml:space="preserve"> </w:t>
      </w:r>
      <w:r w:rsidRPr="00723BFF">
        <w:rPr>
          <w:rFonts w:ascii="Arial" w:eastAsia="Calibri" w:hAnsi="Arial" w:cs="Arial"/>
          <w:spacing w:val="1"/>
          <w:sz w:val="24"/>
          <w:szCs w:val="24"/>
        </w:rPr>
        <w:t>nivelul fiec</w:t>
      </w:r>
      <w:r>
        <w:rPr>
          <w:rFonts w:ascii="Arial" w:eastAsia="Calibri" w:hAnsi="Arial" w:cs="Arial"/>
          <w:spacing w:val="1"/>
          <w:sz w:val="24"/>
          <w:szCs w:val="24"/>
        </w:rPr>
        <w:t>ă</w:t>
      </w:r>
      <w:r w:rsidRPr="00723BFF">
        <w:rPr>
          <w:rFonts w:ascii="Arial" w:eastAsia="Calibri" w:hAnsi="Arial" w:cs="Arial"/>
          <w:spacing w:val="1"/>
          <w:sz w:val="24"/>
          <w:szCs w:val="24"/>
        </w:rPr>
        <w:t>rui bazin/spa</w:t>
      </w:r>
      <w:r>
        <w:rPr>
          <w:rFonts w:ascii="Arial" w:eastAsia="Calibri" w:hAnsi="Arial" w:cs="Arial"/>
          <w:spacing w:val="1"/>
          <w:sz w:val="24"/>
          <w:szCs w:val="24"/>
        </w:rPr>
        <w:t>ţ</w:t>
      </w:r>
      <w:r w:rsidRPr="00723BFF">
        <w:rPr>
          <w:rFonts w:ascii="Arial" w:eastAsia="Calibri" w:hAnsi="Arial" w:cs="Arial"/>
          <w:spacing w:val="1"/>
          <w:sz w:val="24"/>
          <w:szCs w:val="24"/>
        </w:rPr>
        <w:t>iu hidrorafic din Ro</w:t>
      </w:r>
      <w:r>
        <w:rPr>
          <w:rFonts w:ascii="Arial" w:eastAsia="Calibri" w:hAnsi="Arial" w:cs="Arial"/>
          <w:spacing w:val="1"/>
          <w:sz w:val="24"/>
          <w:szCs w:val="24"/>
        </w:rPr>
        <w:t>mâni</w:t>
      </w:r>
      <w:r w:rsidRPr="00723BFF">
        <w:rPr>
          <w:rFonts w:ascii="Arial" w:eastAsia="Calibri" w:hAnsi="Arial" w:cs="Arial"/>
          <w:sz w:val="24"/>
          <w:szCs w:val="24"/>
        </w:rPr>
        <w:t>a</w:t>
      </w:r>
      <w:r>
        <w:rPr>
          <w:rFonts w:ascii="Arial" w:eastAsia="Calibri" w:hAnsi="Arial" w:cs="Arial"/>
          <w:sz w:val="24"/>
          <w:szCs w:val="24"/>
        </w:rPr>
        <w:t xml:space="preserve">, aferente </w:t>
      </w:r>
      <w:r w:rsidRPr="00723BFF">
        <w:rPr>
          <w:rFonts w:ascii="Arial" w:eastAsia="Calibri" w:hAnsi="Arial" w:cs="Arial"/>
          <w:sz w:val="24"/>
          <w:szCs w:val="24"/>
        </w:rPr>
        <w:t xml:space="preserve"> sc</w:t>
      </w:r>
      <w:r w:rsidRPr="00723BFF">
        <w:rPr>
          <w:rFonts w:ascii="Arial" w:eastAsia="Calibri" w:hAnsi="Arial" w:cs="Arial"/>
          <w:spacing w:val="1"/>
          <w:sz w:val="24"/>
          <w:szCs w:val="24"/>
        </w:rPr>
        <w:t>e</w:t>
      </w:r>
      <w:r w:rsidRPr="00723BFF">
        <w:rPr>
          <w:rFonts w:ascii="Arial" w:eastAsia="Calibri" w:hAnsi="Arial" w:cs="Arial"/>
          <w:spacing w:val="-1"/>
          <w:sz w:val="24"/>
          <w:szCs w:val="24"/>
        </w:rPr>
        <w:t>n</w:t>
      </w:r>
      <w:r w:rsidRPr="00723BFF">
        <w:rPr>
          <w:rFonts w:ascii="Arial" w:eastAsia="Calibri" w:hAnsi="Arial" w:cs="Arial"/>
          <w:sz w:val="24"/>
          <w:szCs w:val="24"/>
        </w:rPr>
        <w:t>ar</w:t>
      </w:r>
      <w:r w:rsidRPr="00723BFF">
        <w:rPr>
          <w:rFonts w:ascii="Arial" w:eastAsia="Calibri" w:hAnsi="Arial" w:cs="Arial"/>
          <w:spacing w:val="-1"/>
          <w:sz w:val="24"/>
          <w:szCs w:val="24"/>
        </w:rPr>
        <w:t>iu</w:t>
      </w:r>
      <w:r w:rsidRPr="00723BFF">
        <w:rPr>
          <w:rFonts w:ascii="Arial" w:eastAsia="Calibri" w:hAnsi="Arial" w:cs="Arial"/>
          <w:sz w:val="24"/>
          <w:szCs w:val="24"/>
        </w:rPr>
        <w:t>l</w:t>
      </w:r>
      <w:r w:rsidRPr="00723BFF">
        <w:rPr>
          <w:rFonts w:ascii="Arial" w:eastAsia="Calibri" w:hAnsi="Arial" w:cs="Arial"/>
          <w:spacing w:val="-1"/>
          <w:sz w:val="24"/>
          <w:szCs w:val="24"/>
        </w:rPr>
        <w:t>u</w:t>
      </w:r>
      <w:r w:rsidRPr="00723BFF">
        <w:rPr>
          <w:rFonts w:ascii="Arial" w:eastAsia="Calibri" w:hAnsi="Arial" w:cs="Arial"/>
          <w:sz w:val="24"/>
          <w:szCs w:val="24"/>
        </w:rPr>
        <w:t>i</w:t>
      </w:r>
      <w:r w:rsidRPr="00723BFF">
        <w:rPr>
          <w:rFonts w:ascii="Arial" w:eastAsia="Calibri" w:hAnsi="Arial" w:cs="Arial"/>
          <w:spacing w:val="1"/>
          <w:sz w:val="24"/>
          <w:szCs w:val="24"/>
        </w:rPr>
        <w:t xml:space="preserve"> m</w:t>
      </w:r>
      <w:r w:rsidRPr="00723BFF">
        <w:rPr>
          <w:rFonts w:ascii="Arial" w:eastAsia="Calibri" w:hAnsi="Arial" w:cs="Arial"/>
          <w:sz w:val="24"/>
          <w:szCs w:val="24"/>
        </w:rPr>
        <w:t>ed</w:t>
      </w:r>
      <w:r w:rsidRPr="00723BFF">
        <w:rPr>
          <w:rFonts w:ascii="Arial" w:eastAsia="Calibri" w:hAnsi="Arial" w:cs="Arial"/>
          <w:spacing w:val="-1"/>
          <w:sz w:val="24"/>
          <w:szCs w:val="24"/>
        </w:rPr>
        <w:t>i</w:t>
      </w:r>
      <w:r w:rsidRPr="00723BFF">
        <w:rPr>
          <w:rFonts w:ascii="Arial" w:eastAsia="Calibri" w:hAnsi="Arial" w:cs="Arial"/>
          <w:spacing w:val="1"/>
          <w:sz w:val="24"/>
          <w:szCs w:val="24"/>
        </w:rPr>
        <w:t>u</w:t>
      </w:r>
      <w:r w:rsidRPr="00723BFF">
        <w:rPr>
          <w:rFonts w:ascii="Arial" w:eastAsia="Calibri" w:hAnsi="Arial" w:cs="Arial"/>
          <w:sz w:val="24"/>
          <w:szCs w:val="24"/>
        </w:rPr>
        <w:t>,</w:t>
      </w:r>
      <w:r w:rsidRPr="00723BFF">
        <w:rPr>
          <w:rFonts w:ascii="Arial" w:eastAsia="Calibri" w:hAnsi="Arial" w:cs="Arial"/>
          <w:spacing w:val="2"/>
          <w:sz w:val="24"/>
          <w:szCs w:val="24"/>
        </w:rPr>
        <w:t xml:space="preserve"> </w:t>
      </w:r>
      <w:r w:rsidRPr="00723BFF">
        <w:rPr>
          <w:rFonts w:ascii="Arial" w:eastAsia="Calibri" w:hAnsi="Arial" w:cs="Arial"/>
          <w:spacing w:val="-2"/>
          <w:sz w:val="24"/>
          <w:szCs w:val="24"/>
        </w:rPr>
        <w:t>c</w:t>
      </w:r>
      <w:r w:rsidRPr="00723BFF">
        <w:rPr>
          <w:rFonts w:ascii="Arial" w:eastAsia="Calibri" w:hAnsi="Arial" w:cs="Arial"/>
          <w:spacing w:val="1"/>
          <w:sz w:val="24"/>
          <w:szCs w:val="24"/>
        </w:rPr>
        <w:t>o</w:t>
      </w:r>
      <w:r w:rsidRPr="00723BFF">
        <w:rPr>
          <w:rFonts w:ascii="Arial" w:eastAsia="Calibri" w:hAnsi="Arial" w:cs="Arial"/>
          <w:sz w:val="24"/>
          <w:szCs w:val="24"/>
        </w:rPr>
        <w:t>r</w:t>
      </w:r>
      <w:r w:rsidRPr="00723BFF">
        <w:rPr>
          <w:rFonts w:ascii="Arial" w:eastAsia="Calibri" w:hAnsi="Arial" w:cs="Arial"/>
          <w:spacing w:val="-2"/>
          <w:sz w:val="24"/>
          <w:szCs w:val="24"/>
        </w:rPr>
        <w:t>e</w:t>
      </w:r>
      <w:r w:rsidRPr="00723BFF">
        <w:rPr>
          <w:rFonts w:ascii="Arial" w:eastAsia="Calibri" w:hAnsi="Arial" w:cs="Arial"/>
          <w:sz w:val="24"/>
          <w:szCs w:val="24"/>
        </w:rPr>
        <w:t>sp</w:t>
      </w:r>
      <w:r w:rsidRPr="00723BFF">
        <w:rPr>
          <w:rFonts w:ascii="Arial" w:eastAsia="Calibri" w:hAnsi="Arial" w:cs="Arial"/>
          <w:spacing w:val="-1"/>
          <w:sz w:val="24"/>
          <w:szCs w:val="24"/>
        </w:rPr>
        <w:t>unz</w:t>
      </w:r>
      <w:r w:rsidRPr="00723BFF">
        <w:rPr>
          <w:rFonts w:ascii="Arial" w:eastAsia="Calibri" w:hAnsi="Arial" w:cs="Arial"/>
          <w:sz w:val="24"/>
          <w:szCs w:val="24"/>
        </w:rPr>
        <w:t>ăt</w:t>
      </w:r>
      <w:r w:rsidRPr="00723BFF">
        <w:rPr>
          <w:rFonts w:ascii="Arial" w:eastAsia="Calibri" w:hAnsi="Arial" w:cs="Arial"/>
          <w:spacing w:val="1"/>
          <w:sz w:val="24"/>
          <w:szCs w:val="24"/>
        </w:rPr>
        <w:t>o</w:t>
      </w:r>
      <w:r w:rsidRPr="00723BFF">
        <w:rPr>
          <w:rFonts w:ascii="Arial" w:eastAsia="Calibri" w:hAnsi="Arial" w:cs="Arial"/>
          <w:sz w:val="24"/>
          <w:szCs w:val="24"/>
        </w:rPr>
        <w:t>r</w:t>
      </w:r>
      <w:r w:rsidRPr="00723BFF">
        <w:rPr>
          <w:rFonts w:ascii="Arial" w:eastAsia="Calibri" w:hAnsi="Arial" w:cs="Arial"/>
          <w:spacing w:val="5"/>
          <w:sz w:val="24"/>
          <w:szCs w:val="24"/>
        </w:rPr>
        <w:t xml:space="preserve"> </w:t>
      </w:r>
      <w:r w:rsidRPr="00723BFF">
        <w:rPr>
          <w:rFonts w:ascii="Arial" w:eastAsia="Calibri" w:hAnsi="Arial" w:cs="Arial"/>
          <w:spacing w:val="-1"/>
          <w:sz w:val="24"/>
          <w:szCs w:val="24"/>
        </w:rPr>
        <w:t>d</w:t>
      </w:r>
      <w:r w:rsidRPr="00723BFF">
        <w:rPr>
          <w:rFonts w:ascii="Arial" w:eastAsia="Calibri" w:hAnsi="Arial" w:cs="Arial"/>
          <w:sz w:val="24"/>
          <w:szCs w:val="24"/>
        </w:rPr>
        <w:t>eb</w:t>
      </w:r>
      <w:r w:rsidRPr="00723BFF">
        <w:rPr>
          <w:rFonts w:ascii="Arial" w:eastAsia="Calibri" w:hAnsi="Arial" w:cs="Arial"/>
          <w:spacing w:val="-1"/>
          <w:sz w:val="24"/>
          <w:szCs w:val="24"/>
        </w:rPr>
        <w:t>i</w:t>
      </w:r>
      <w:r w:rsidRPr="00723BFF">
        <w:rPr>
          <w:rFonts w:ascii="Arial" w:eastAsia="Calibri" w:hAnsi="Arial" w:cs="Arial"/>
          <w:spacing w:val="1"/>
          <w:sz w:val="24"/>
          <w:szCs w:val="24"/>
        </w:rPr>
        <w:t>t</w:t>
      </w:r>
      <w:r w:rsidRPr="00723BFF">
        <w:rPr>
          <w:rFonts w:ascii="Arial" w:eastAsia="Calibri" w:hAnsi="Arial" w:cs="Arial"/>
          <w:spacing w:val="-1"/>
          <w:sz w:val="24"/>
          <w:szCs w:val="24"/>
        </w:rPr>
        <w:t>u</w:t>
      </w:r>
      <w:r w:rsidRPr="00723BFF">
        <w:rPr>
          <w:rFonts w:ascii="Arial" w:eastAsia="Calibri" w:hAnsi="Arial" w:cs="Arial"/>
          <w:sz w:val="24"/>
          <w:szCs w:val="24"/>
        </w:rPr>
        <w:t>l</w:t>
      </w:r>
      <w:r w:rsidRPr="00723BFF">
        <w:rPr>
          <w:rFonts w:ascii="Arial" w:eastAsia="Calibri" w:hAnsi="Arial" w:cs="Arial"/>
          <w:spacing w:val="-1"/>
          <w:sz w:val="24"/>
          <w:szCs w:val="24"/>
        </w:rPr>
        <w:t>u</w:t>
      </w:r>
      <w:r w:rsidRPr="00723BFF">
        <w:rPr>
          <w:rFonts w:ascii="Arial" w:eastAsia="Calibri" w:hAnsi="Arial" w:cs="Arial"/>
          <w:sz w:val="24"/>
          <w:szCs w:val="24"/>
        </w:rPr>
        <w:t xml:space="preserve">i </w:t>
      </w:r>
      <w:r w:rsidRPr="00723BFF">
        <w:rPr>
          <w:rFonts w:ascii="Arial" w:eastAsia="Calibri" w:hAnsi="Arial" w:cs="Arial"/>
          <w:spacing w:val="1"/>
          <w:sz w:val="24"/>
          <w:szCs w:val="24"/>
        </w:rPr>
        <w:t>m</w:t>
      </w:r>
      <w:r w:rsidRPr="00723BFF">
        <w:rPr>
          <w:rFonts w:ascii="Arial" w:eastAsia="Calibri" w:hAnsi="Arial" w:cs="Arial"/>
          <w:spacing w:val="-3"/>
          <w:sz w:val="24"/>
          <w:szCs w:val="24"/>
        </w:rPr>
        <w:t>a</w:t>
      </w:r>
      <w:r w:rsidRPr="00723BFF">
        <w:rPr>
          <w:rFonts w:ascii="Arial" w:eastAsia="Calibri" w:hAnsi="Arial" w:cs="Arial"/>
          <w:sz w:val="24"/>
          <w:szCs w:val="24"/>
        </w:rPr>
        <w:t>xim</w:t>
      </w:r>
      <w:r w:rsidRPr="00723BFF">
        <w:rPr>
          <w:rFonts w:ascii="Arial" w:eastAsia="Calibri" w:hAnsi="Arial" w:cs="Arial"/>
          <w:spacing w:val="1"/>
          <w:sz w:val="24"/>
          <w:szCs w:val="24"/>
        </w:rPr>
        <w:t xml:space="preserve"> </w:t>
      </w:r>
      <w:r w:rsidRPr="00723BFF">
        <w:rPr>
          <w:rFonts w:ascii="Arial" w:eastAsia="Calibri" w:hAnsi="Arial" w:cs="Arial"/>
          <w:sz w:val="24"/>
          <w:szCs w:val="24"/>
        </w:rPr>
        <w:t>cu</w:t>
      </w:r>
      <w:r w:rsidRPr="00723BFF">
        <w:rPr>
          <w:rFonts w:ascii="Arial" w:eastAsia="Calibri" w:hAnsi="Arial" w:cs="Arial"/>
          <w:spacing w:val="2"/>
          <w:sz w:val="24"/>
          <w:szCs w:val="24"/>
        </w:rPr>
        <w:t xml:space="preserve"> </w:t>
      </w:r>
      <w:r w:rsidRPr="00723BFF">
        <w:rPr>
          <w:rFonts w:ascii="Arial" w:eastAsia="Calibri" w:hAnsi="Arial" w:cs="Arial"/>
          <w:spacing w:val="-1"/>
          <w:sz w:val="24"/>
          <w:szCs w:val="24"/>
        </w:rPr>
        <w:t>p</w:t>
      </w:r>
      <w:r w:rsidRPr="00723BFF">
        <w:rPr>
          <w:rFonts w:ascii="Arial" w:eastAsia="Calibri" w:hAnsi="Arial" w:cs="Arial"/>
          <w:sz w:val="24"/>
          <w:szCs w:val="24"/>
        </w:rPr>
        <w:t>r</w:t>
      </w:r>
      <w:r w:rsidRPr="00723BFF">
        <w:rPr>
          <w:rFonts w:ascii="Arial" w:eastAsia="Calibri" w:hAnsi="Arial" w:cs="Arial"/>
          <w:spacing w:val="1"/>
          <w:sz w:val="24"/>
          <w:szCs w:val="24"/>
        </w:rPr>
        <w:t>o</w:t>
      </w:r>
      <w:r w:rsidRPr="00723BFF">
        <w:rPr>
          <w:rFonts w:ascii="Arial" w:eastAsia="Calibri" w:hAnsi="Arial" w:cs="Arial"/>
          <w:spacing w:val="-1"/>
          <w:sz w:val="24"/>
          <w:szCs w:val="24"/>
        </w:rPr>
        <w:t>b</w:t>
      </w:r>
      <w:r w:rsidRPr="00723BFF">
        <w:rPr>
          <w:rFonts w:ascii="Arial" w:eastAsia="Calibri" w:hAnsi="Arial" w:cs="Arial"/>
          <w:sz w:val="24"/>
          <w:szCs w:val="24"/>
        </w:rPr>
        <w:t>a</w:t>
      </w:r>
      <w:r w:rsidRPr="00723BFF">
        <w:rPr>
          <w:rFonts w:ascii="Arial" w:eastAsia="Calibri" w:hAnsi="Arial" w:cs="Arial"/>
          <w:spacing w:val="-1"/>
          <w:sz w:val="24"/>
          <w:szCs w:val="24"/>
        </w:rPr>
        <w:t>b</w:t>
      </w:r>
      <w:r w:rsidRPr="00723BFF">
        <w:rPr>
          <w:rFonts w:ascii="Arial" w:eastAsia="Calibri" w:hAnsi="Arial" w:cs="Arial"/>
          <w:sz w:val="24"/>
          <w:szCs w:val="24"/>
        </w:rPr>
        <w:t>ilita</w:t>
      </w:r>
      <w:r w:rsidRPr="00723BFF">
        <w:rPr>
          <w:rFonts w:ascii="Arial" w:eastAsia="Calibri" w:hAnsi="Arial" w:cs="Arial"/>
          <w:spacing w:val="-2"/>
          <w:sz w:val="24"/>
          <w:szCs w:val="24"/>
        </w:rPr>
        <w:t>t</w:t>
      </w:r>
      <w:r w:rsidRPr="00723BFF">
        <w:rPr>
          <w:rFonts w:ascii="Arial" w:eastAsia="Calibri" w:hAnsi="Arial" w:cs="Arial"/>
          <w:sz w:val="24"/>
          <w:szCs w:val="24"/>
        </w:rPr>
        <w:t>ea</w:t>
      </w:r>
      <w:r w:rsidRPr="00723BFF">
        <w:rPr>
          <w:rFonts w:ascii="Arial" w:eastAsia="Calibri" w:hAnsi="Arial" w:cs="Arial"/>
          <w:spacing w:val="3"/>
          <w:sz w:val="24"/>
          <w:szCs w:val="24"/>
        </w:rPr>
        <w:t xml:space="preserve"> </w:t>
      </w:r>
      <w:r w:rsidRPr="00723BFF">
        <w:rPr>
          <w:rFonts w:ascii="Arial" w:eastAsia="Calibri" w:hAnsi="Arial" w:cs="Arial"/>
          <w:spacing w:val="-3"/>
          <w:sz w:val="24"/>
          <w:szCs w:val="24"/>
        </w:rPr>
        <w:t>d</w:t>
      </w:r>
      <w:r w:rsidRPr="00723BFF">
        <w:rPr>
          <w:rFonts w:ascii="Arial" w:eastAsia="Calibri" w:hAnsi="Arial" w:cs="Arial"/>
          <w:sz w:val="24"/>
          <w:szCs w:val="24"/>
        </w:rPr>
        <w:t xml:space="preserve">e </w:t>
      </w:r>
      <w:r w:rsidRPr="00723BFF">
        <w:rPr>
          <w:rFonts w:ascii="Arial" w:eastAsia="Calibri" w:hAnsi="Arial" w:cs="Arial"/>
          <w:spacing w:val="-1"/>
          <w:sz w:val="24"/>
          <w:szCs w:val="24"/>
        </w:rPr>
        <w:t>d</w:t>
      </w:r>
      <w:r w:rsidRPr="00723BFF">
        <w:rPr>
          <w:rFonts w:ascii="Arial" w:eastAsia="Calibri" w:hAnsi="Arial" w:cs="Arial"/>
          <w:sz w:val="24"/>
          <w:szCs w:val="24"/>
        </w:rPr>
        <w:t>epăș</w:t>
      </w:r>
      <w:r w:rsidRPr="00723BFF">
        <w:rPr>
          <w:rFonts w:ascii="Arial" w:eastAsia="Calibri" w:hAnsi="Arial" w:cs="Arial"/>
          <w:spacing w:val="-1"/>
          <w:sz w:val="24"/>
          <w:szCs w:val="24"/>
        </w:rPr>
        <w:t>i</w:t>
      </w:r>
      <w:r w:rsidRPr="00723BFF">
        <w:rPr>
          <w:rFonts w:ascii="Arial" w:eastAsia="Calibri" w:hAnsi="Arial" w:cs="Arial"/>
          <w:sz w:val="24"/>
          <w:szCs w:val="24"/>
        </w:rPr>
        <w:t>re</w:t>
      </w:r>
      <w:r w:rsidRPr="00723BFF">
        <w:rPr>
          <w:rFonts w:ascii="Arial" w:eastAsia="Calibri" w:hAnsi="Arial" w:cs="Arial"/>
          <w:spacing w:val="-3"/>
          <w:sz w:val="24"/>
          <w:szCs w:val="24"/>
        </w:rPr>
        <w:t xml:space="preserve"> </w:t>
      </w:r>
      <w:r w:rsidRPr="00723BFF">
        <w:rPr>
          <w:rFonts w:ascii="Arial" w:eastAsia="Calibri" w:hAnsi="Arial" w:cs="Arial"/>
          <w:spacing w:val="1"/>
          <w:sz w:val="24"/>
          <w:szCs w:val="24"/>
        </w:rPr>
        <w:t>1</w:t>
      </w:r>
      <w:r w:rsidRPr="00723BFF">
        <w:rPr>
          <w:rFonts w:ascii="Arial" w:eastAsia="Calibri" w:hAnsi="Arial" w:cs="Arial"/>
          <w:sz w:val="24"/>
          <w:szCs w:val="24"/>
        </w:rPr>
        <w:t>%,</w:t>
      </w:r>
      <w:r w:rsidRPr="00723BFF">
        <w:rPr>
          <w:rFonts w:ascii="Arial" w:eastAsia="Calibri" w:hAnsi="Arial" w:cs="Arial"/>
          <w:spacing w:val="-3"/>
          <w:sz w:val="24"/>
          <w:szCs w:val="24"/>
        </w:rPr>
        <w:t xml:space="preserve"> </w:t>
      </w:r>
      <w:r w:rsidRPr="00723BFF">
        <w:rPr>
          <w:rFonts w:ascii="Arial" w:eastAsia="Calibri" w:hAnsi="Arial" w:cs="Arial"/>
          <w:sz w:val="24"/>
          <w:szCs w:val="24"/>
        </w:rPr>
        <w:t>res</w:t>
      </w:r>
      <w:r w:rsidRPr="00723BFF">
        <w:rPr>
          <w:rFonts w:ascii="Arial" w:eastAsia="Calibri" w:hAnsi="Arial" w:cs="Arial"/>
          <w:spacing w:val="-3"/>
          <w:sz w:val="24"/>
          <w:szCs w:val="24"/>
        </w:rPr>
        <w:t>p</w:t>
      </w:r>
      <w:r w:rsidRPr="00723BFF">
        <w:rPr>
          <w:rFonts w:ascii="Arial" w:eastAsia="Calibri" w:hAnsi="Arial" w:cs="Arial"/>
          <w:sz w:val="24"/>
          <w:szCs w:val="24"/>
        </w:rPr>
        <w:t>ec</w:t>
      </w:r>
      <w:r w:rsidRPr="00723BFF">
        <w:rPr>
          <w:rFonts w:ascii="Arial" w:eastAsia="Calibri" w:hAnsi="Arial" w:cs="Arial"/>
          <w:spacing w:val="1"/>
          <w:sz w:val="24"/>
          <w:szCs w:val="24"/>
        </w:rPr>
        <w:t>t</w:t>
      </w:r>
      <w:r w:rsidRPr="00723BFF">
        <w:rPr>
          <w:rFonts w:ascii="Arial" w:eastAsia="Calibri" w:hAnsi="Arial" w:cs="Arial"/>
          <w:spacing w:val="-3"/>
          <w:sz w:val="24"/>
          <w:szCs w:val="24"/>
        </w:rPr>
        <w:t>i</w:t>
      </w:r>
      <w:r w:rsidRPr="00723BFF">
        <w:rPr>
          <w:rFonts w:ascii="Arial" w:eastAsia="Calibri" w:hAnsi="Arial" w:cs="Arial"/>
          <w:sz w:val="24"/>
          <w:szCs w:val="24"/>
        </w:rPr>
        <w:t>v</w:t>
      </w:r>
      <w:r w:rsidRPr="00723BFF">
        <w:rPr>
          <w:rFonts w:ascii="Arial" w:eastAsia="Calibri" w:hAnsi="Arial" w:cs="Arial"/>
          <w:spacing w:val="1"/>
          <w:sz w:val="24"/>
          <w:szCs w:val="24"/>
        </w:rPr>
        <w:t xml:space="preserve"> </w:t>
      </w:r>
      <w:r w:rsidRPr="00723BFF">
        <w:rPr>
          <w:rFonts w:ascii="Arial" w:eastAsia="Calibri" w:hAnsi="Arial" w:cs="Arial"/>
          <w:sz w:val="24"/>
          <w:szCs w:val="24"/>
        </w:rPr>
        <w:t>i</w:t>
      </w:r>
      <w:r w:rsidRPr="00723BFF">
        <w:rPr>
          <w:rFonts w:ascii="Arial" w:eastAsia="Calibri" w:hAnsi="Arial" w:cs="Arial"/>
          <w:spacing w:val="-1"/>
          <w:sz w:val="24"/>
          <w:szCs w:val="24"/>
        </w:rPr>
        <w:t>nu</w:t>
      </w:r>
      <w:r w:rsidRPr="00723BFF">
        <w:rPr>
          <w:rFonts w:ascii="Arial" w:eastAsia="Calibri" w:hAnsi="Arial" w:cs="Arial"/>
          <w:spacing w:val="-3"/>
          <w:sz w:val="24"/>
          <w:szCs w:val="24"/>
        </w:rPr>
        <w:t>n</w:t>
      </w:r>
      <w:r w:rsidRPr="00723BFF">
        <w:rPr>
          <w:rFonts w:ascii="Arial" w:eastAsia="Calibri" w:hAnsi="Arial" w:cs="Arial"/>
          <w:spacing w:val="-1"/>
          <w:sz w:val="24"/>
          <w:szCs w:val="24"/>
        </w:rPr>
        <w:t>d</w:t>
      </w:r>
      <w:r w:rsidRPr="00723BFF">
        <w:rPr>
          <w:rFonts w:ascii="Arial" w:eastAsia="Calibri" w:hAnsi="Arial" w:cs="Arial"/>
          <w:sz w:val="24"/>
          <w:szCs w:val="24"/>
        </w:rPr>
        <w:t>ații</w:t>
      </w:r>
      <w:r w:rsidRPr="00723BFF">
        <w:rPr>
          <w:rFonts w:ascii="Arial" w:eastAsia="Calibri" w:hAnsi="Arial" w:cs="Arial"/>
          <w:spacing w:val="-2"/>
          <w:sz w:val="24"/>
          <w:szCs w:val="24"/>
        </w:rPr>
        <w:t xml:space="preserve"> </w:t>
      </w:r>
      <w:r w:rsidRPr="00723BFF">
        <w:rPr>
          <w:rFonts w:ascii="Arial" w:eastAsia="Calibri" w:hAnsi="Arial" w:cs="Arial"/>
          <w:sz w:val="24"/>
          <w:szCs w:val="24"/>
        </w:rPr>
        <w:t>care</w:t>
      </w:r>
      <w:r w:rsidRPr="00723BFF">
        <w:rPr>
          <w:rFonts w:ascii="Arial" w:eastAsia="Calibri" w:hAnsi="Arial" w:cs="Arial"/>
          <w:spacing w:val="-4"/>
          <w:sz w:val="24"/>
          <w:szCs w:val="24"/>
        </w:rPr>
        <w:t xml:space="preserve"> </w:t>
      </w:r>
      <w:r w:rsidRPr="00723BFF">
        <w:rPr>
          <w:rFonts w:ascii="Arial" w:eastAsia="Calibri" w:hAnsi="Arial" w:cs="Arial"/>
          <w:sz w:val="24"/>
          <w:szCs w:val="24"/>
        </w:rPr>
        <w:t>se</w:t>
      </w:r>
      <w:r w:rsidRPr="00723BFF">
        <w:rPr>
          <w:rFonts w:ascii="Arial" w:eastAsia="Calibri" w:hAnsi="Arial" w:cs="Arial"/>
          <w:spacing w:val="-4"/>
          <w:sz w:val="24"/>
          <w:szCs w:val="24"/>
        </w:rPr>
        <w:t xml:space="preserve"> </w:t>
      </w:r>
      <w:r w:rsidRPr="00723BFF">
        <w:rPr>
          <w:rFonts w:ascii="Arial" w:eastAsia="Calibri" w:hAnsi="Arial" w:cs="Arial"/>
          <w:spacing w:val="-1"/>
          <w:sz w:val="24"/>
          <w:szCs w:val="24"/>
        </w:rPr>
        <w:t>po</w:t>
      </w:r>
      <w:r w:rsidRPr="00723BFF">
        <w:rPr>
          <w:rFonts w:ascii="Arial" w:eastAsia="Calibri" w:hAnsi="Arial" w:cs="Arial"/>
          <w:sz w:val="24"/>
          <w:szCs w:val="24"/>
        </w:rPr>
        <w:t>t</w:t>
      </w:r>
      <w:r w:rsidRPr="00723BFF">
        <w:rPr>
          <w:rFonts w:ascii="Arial" w:eastAsia="Calibri" w:hAnsi="Arial" w:cs="Arial"/>
          <w:spacing w:val="-1"/>
          <w:sz w:val="24"/>
          <w:szCs w:val="24"/>
        </w:rPr>
        <w:t xml:space="preserve"> p</w:t>
      </w:r>
      <w:r w:rsidRPr="00723BFF">
        <w:rPr>
          <w:rFonts w:ascii="Arial" w:eastAsia="Calibri" w:hAnsi="Arial" w:cs="Arial"/>
          <w:spacing w:val="-3"/>
          <w:sz w:val="24"/>
          <w:szCs w:val="24"/>
        </w:rPr>
        <w:t>r</w:t>
      </w:r>
      <w:r w:rsidRPr="00723BFF">
        <w:rPr>
          <w:rFonts w:ascii="Arial" w:eastAsia="Calibri" w:hAnsi="Arial" w:cs="Arial"/>
          <w:spacing w:val="1"/>
          <w:sz w:val="24"/>
          <w:szCs w:val="24"/>
        </w:rPr>
        <w:t>o</w:t>
      </w:r>
      <w:r w:rsidRPr="00723BFF">
        <w:rPr>
          <w:rFonts w:ascii="Arial" w:eastAsia="Calibri" w:hAnsi="Arial" w:cs="Arial"/>
          <w:spacing w:val="-1"/>
          <w:sz w:val="24"/>
          <w:szCs w:val="24"/>
        </w:rPr>
        <w:t>du</w:t>
      </w:r>
      <w:r w:rsidRPr="00723BFF">
        <w:rPr>
          <w:rFonts w:ascii="Arial" w:eastAsia="Calibri" w:hAnsi="Arial" w:cs="Arial"/>
          <w:sz w:val="24"/>
          <w:szCs w:val="24"/>
        </w:rPr>
        <w:t>ce</w:t>
      </w:r>
      <w:r w:rsidRPr="00723BFF">
        <w:rPr>
          <w:rFonts w:ascii="Arial" w:eastAsia="Calibri" w:hAnsi="Arial" w:cs="Arial"/>
          <w:spacing w:val="2"/>
          <w:sz w:val="24"/>
          <w:szCs w:val="24"/>
        </w:rPr>
        <w:t xml:space="preserve"> </w:t>
      </w:r>
      <w:r w:rsidRPr="00723BFF">
        <w:rPr>
          <w:rFonts w:ascii="Arial" w:eastAsia="Calibri" w:hAnsi="Arial" w:cs="Arial"/>
          <w:sz w:val="24"/>
          <w:szCs w:val="24"/>
        </w:rPr>
        <w:t>în</w:t>
      </w:r>
      <w:r w:rsidRPr="00723BFF">
        <w:rPr>
          <w:rFonts w:ascii="Arial" w:eastAsia="Calibri" w:hAnsi="Arial" w:cs="Arial"/>
          <w:spacing w:val="-5"/>
          <w:sz w:val="24"/>
          <w:szCs w:val="24"/>
        </w:rPr>
        <w:t xml:space="preserve"> </w:t>
      </w:r>
      <w:r w:rsidRPr="00723BFF">
        <w:rPr>
          <w:rFonts w:ascii="Arial" w:eastAsia="Calibri" w:hAnsi="Arial" w:cs="Arial"/>
          <w:spacing w:val="-1"/>
          <w:sz w:val="24"/>
          <w:szCs w:val="24"/>
        </w:rPr>
        <w:t>m</w:t>
      </w:r>
      <w:r w:rsidRPr="00723BFF">
        <w:rPr>
          <w:rFonts w:ascii="Arial" w:eastAsia="Calibri" w:hAnsi="Arial" w:cs="Arial"/>
          <w:sz w:val="24"/>
          <w:szCs w:val="24"/>
        </w:rPr>
        <w:t>ed</w:t>
      </w:r>
      <w:r w:rsidRPr="00723BFF">
        <w:rPr>
          <w:rFonts w:ascii="Arial" w:eastAsia="Calibri" w:hAnsi="Arial" w:cs="Arial"/>
          <w:spacing w:val="-1"/>
          <w:sz w:val="24"/>
          <w:szCs w:val="24"/>
        </w:rPr>
        <w:t>i</w:t>
      </w:r>
      <w:r w:rsidRPr="00723BFF">
        <w:rPr>
          <w:rFonts w:ascii="Arial" w:eastAsia="Calibri" w:hAnsi="Arial" w:cs="Arial"/>
          <w:sz w:val="24"/>
          <w:szCs w:val="24"/>
        </w:rPr>
        <w:t xml:space="preserve">e </w:t>
      </w:r>
      <w:r w:rsidRPr="00723BFF">
        <w:rPr>
          <w:rFonts w:ascii="Arial" w:eastAsia="Calibri" w:hAnsi="Arial" w:cs="Arial"/>
          <w:b/>
          <w:sz w:val="24"/>
          <w:szCs w:val="24"/>
        </w:rPr>
        <w:t>o</w:t>
      </w:r>
      <w:r w:rsidRPr="00723BFF">
        <w:rPr>
          <w:rFonts w:ascii="Arial" w:eastAsia="Calibri" w:hAnsi="Arial" w:cs="Arial"/>
          <w:b/>
          <w:spacing w:val="-5"/>
          <w:sz w:val="24"/>
          <w:szCs w:val="24"/>
        </w:rPr>
        <w:t xml:space="preserve"> </w:t>
      </w:r>
      <w:r w:rsidRPr="00723BFF">
        <w:rPr>
          <w:rFonts w:ascii="Arial" w:eastAsia="Calibri" w:hAnsi="Arial" w:cs="Arial"/>
          <w:b/>
          <w:spacing w:val="-1"/>
          <w:sz w:val="24"/>
          <w:szCs w:val="24"/>
        </w:rPr>
        <w:t>da</w:t>
      </w:r>
      <w:r w:rsidRPr="00723BFF">
        <w:rPr>
          <w:rFonts w:ascii="Arial" w:eastAsia="Calibri" w:hAnsi="Arial" w:cs="Arial"/>
          <w:b/>
          <w:sz w:val="24"/>
          <w:szCs w:val="24"/>
        </w:rPr>
        <w:t>ta</w:t>
      </w:r>
      <w:r w:rsidRPr="00723BFF">
        <w:rPr>
          <w:rFonts w:ascii="Arial" w:eastAsia="Calibri" w:hAnsi="Arial" w:cs="Arial"/>
          <w:b/>
          <w:spacing w:val="-3"/>
          <w:sz w:val="24"/>
          <w:szCs w:val="24"/>
        </w:rPr>
        <w:t xml:space="preserve"> </w:t>
      </w:r>
      <w:r w:rsidRPr="00723BFF">
        <w:rPr>
          <w:rFonts w:ascii="Arial" w:eastAsia="Calibri" w:hAnsi="Arial" w:cs="Arial"/>
          <w:b/>
          <w:spacing w:val="1"/>
          <w:sz w:val="24"/>
          <w:szCs w:val="24"/>
        </w:rPr>
        <w:t>l</w:t>
      </w:r>
      <w:r w:rsidRPr="00723BFF">
        <w:rPr>
          <w:rFonts w:ascii="Arial" w:eastAsia="Calibri" w:hAnsi="Arial" w:cs="Arial"/>
          <w:b/>
          <w:sz w:val="24"/>
          <w:szCs w:val="24"/>
        </w:rPr>
        <w:t>a</w:t>
      </w:r>
      <w:r w:rsidRPr="00723BFF">
        <w:rPr>
          <w:rFonts w:ascii="Arial" w:eastAsia="Calibri" w:hAnsi="Arial" w:cs="Arial"/>
          <w:b/>
          <w:spacing w:val="-5"/>
          <w:sz w:val="24"/>
          <w:szCs w:val="24"/>
        </w:rPr>
        <w:t xml:space="preserve"> </w:t>
      </w:r>
      <w:r w:rsidRPr="00723BFF">
        <w:rPr>
          <w:rFonts w:ascii="Arial" w:eastAsia="Calibri" w:hAnsi="Arial" w:cs="Arial"/>
          <w:b/>
          <w:spacing w:val="1"/>
          <w:sz w:val="24"/>
          <w:szCs w:val="24"/>
        </w:rPr>
        <w:t>1</w:t>
      </w:r>
      <w:r w:rsidRPr="00723BFF">
        <w:rPr>
          <w:rFonts w:ascii="Arial" w:eastAsia="Calibri" w:hAnsi="Arial" w:cs="Arial"/>
          <w:b/>
          <w:spacing w:val="-2"/>
          <w:sz w:val="24"/>
          <w:szCs w:val="24"/>
        </w:rPr>
        <w:t>0</w:t>
      </w:r>
      <w:r w:rsidRPr="00723BFF">
        <w:rPr>
          <w:rFonts w:ascii="Arial" w:eastAsia="Calibri" w:hAnsi="Arial" w:cs="Arial"/>
          <w:b/>
          <w:sz w:val="24"/>
          <w:szCs w:val="24"/>
        </w:rPr>
        <w:t xml:space="preserve">0 </w:t>
      </w:r>
      <w:r w:rsidRPr="00723BFF">
        <w:rPr>
          <w:rFonts w:ascii="Arial" w:eastAsia="Calibri" w:hAnsi="Arial" w:cs="Arial"/>
          <w:b/>
          <w:spacing w:val="-1"/>
          <w:sz w:val="24"/>
          <w:szCs w:val="24"/>
        </w:rPr>
        <w:t>d</w:t>
      </w:r>
      <w:r w:rsidRPr="00723BFF">
        <w:rPr>
          <w:rFonts w:ascii="Arial" w:eastAsia="Calibri" w:hAnsi="Arial" w:cs="Arial"/>
          <w:b/>
          <w:sz w:val="24"/>
          <w:szCs w:val="24"/>
        </w:rPr>
        <w:t>e</w:t>
      </w:r>
      <w:r w:rsidRPr="00723BFF">
        <w:rPr>
          <w:rFonts w:ascii="Arial" w:eastAsia="Calibri" w:hAnsi="Arial" w:cs="Arial"/>
          <w:b/>
          <w:spacing w:val="-1"/>
          <w:sz w:val="24"/>
          <w:szCs w:val="24"/>
        </w:rPr>
        <w:t xml:space="preserve"> </w:t>
      </w:r>
      <w:r w:rsidRPr="00723BFF">
        <w:rPr>
          <w:rFonts w:ascii="Arial" w:eastAsia="Calibri" w:hAnsi="Arial" w:cs="Arial"/>
          <w:b/>
          <w:sz w:val="24"/>
          <w:szCs w:val="24"/>
        </w:rPr>
        <w:t>a</w:t>
      </w:r>
      <w:r w:rsidRPr="00723BFF">
        <w:rPr>
          <w:rFonts w:ascii="Arial" w:eastAsia="Calibri" w:hAnsi="Arial" w:cs="Arial"/>
          <w:b/>
          <w:spacing w:val="-1"/>
          <w:sz w:val="24"/>
          <w:szCs w:val="24"/>
        </w:rPr>
        <w:t>n</w:t>
      </w:r>
      <w:r w:rsidRPr="00723BFF">
        <w:rPr>
          <w:rFonts w:ascii="Arial" w:eastAsia="Calibri" w:hAnsi="Arial" w:cs="Arial"/>
          <w:b/>
          <w:spacing w:val="1"/>
          <w:sz w:val="24"/>
          <w:szCs w:val="24"/>
        </w:rPr>
        <w:t>i</w:t>
      </w:r>
      <w:r>
        <w:rPr>
          <w:rFonts w:ascii="Arial" w:eastAsia="Calibri" w:hAnsi="Arial" w:cs="Arial"/>
          <w:sz w:val="24"/>
          <w:szCs w:val="24"/>
        </w:rPr>
        <w:t xml:space="preserve"> a rezultat, pentru teritoriul ţării, o serie de date şi informaţii care constituie o serie  indicatori care descriu consecinţele pe care inundaţiile le pot avea asupra populaţiei şi mediului înconjurător:</w:t>
      </w:r>
    </w:p>
    <w:p w:rsidR="007551D0" w:rsidRPr="00C95A7F" w:rsidRDefault="007551D0" w:rsidP="00EA6509">
      <w:pPr>
        <w:widowControl w:val="0"/>
        <w:numPr>
          <w:ilvl w:val="0"/>
          <w:numId w:val="83"/>
        </w:numPr>
        <w:tabs>
          <w:tab w:val="left" w:pos="1021"/>
        </w:tabs>
        <w:spacing w:after="0" w:line="240" w:lineRule="auto"/>
        <w:ind w:left="1021" w:hanging="284"/>
        <w:jc w:val="both"/>
        <w:rPr>
          <w:rFonts w:ascii="Arial" w:hAnsi="Arial" w:cs="Arial"/>
          <w:sz w:val="24"/>
          <w:szCs w:val="24"/>
        </w:rPr>
      </w:pPr>
      <w:r w:rsidRPr="00C95A7F">
        <w:rPr>
          <w:rFonts w:ascii="Arial" w:hAnsi="Arial" w:cs="Arial"/>
          <w:sz w:val="24"/>
          <w:szCs w:val="24"/>
        </w:rPr>
        <w:t xml:space="preserve">Populaţia potențial afectată în acest scenariu se regăsește repartizată în aproximativ 3.547 de localități răspândite pe întreg teritoriul țării noastre si reprezintă cca. 4% (aproximativ 830.000 loc. din totalul populaţiei României); cele  mai  afectate  județe  din  punct  de  vedere  al  populației  situate  în interiorul zonelor inundabile sunt: Bihor, Mureș, </w:t>
      </w:r>
      <w:r w:rsidR="007C1699">
        <w:rPr>
          <w:rFonts w:ascii="Arial" w:hAnsi="Arial" w:cs="Arial"/>
          <w:sz w:val="24"/>
          <w:szCs w:val="24"/>
        </w:rPr>
        <w:t>BR</w:t>
      </w:r>
      <w:r w:rsidRPr="00C95A7F">
        <w:rPr>
          <w:rFonts w:ascii="Arial" w:hAnsi="Arial" w:cs="Arial"/>
          <w:sz w:val="24"/>
          <w:szCs w:val="24"/>
        </w:rPr>
        <w:t>așov și Cluj;</w:t>
      </w:r>
    </w:p>
    <w:p w:rsidR="007551D0" w:rsidRPr="00C95A7F" w:rsidRDefault="007551D0" w:rsidP="00EA6509">
      <w:pPr>
        <w:widowControl w:val="0"/>
        <w:numPr>
          <w:ilvl w:val="0"/>
          <w:numId w:val="83"/>
        </w:numPr>
        <w:tabs>
          <w:tab w:val="left" w:pos="1021"/>
        </w:tabs>
        <w:spacing w:after="0" w:line="240" w:lineRule="auto"/>
        <w:ind w:left="1021" w:hanging="284"/>
        <w:jc w:val="both"/>
        <w:rPr>
          <w:rFonts w:ascii="Arial" w:hAnsi="Arial" w:cs="Arial"/>
          <w:sz w:val="24"/>
          <w:szCs w:val="24"/>
        </w:rPr>
      </w:pPr>
      <w:r w:rsidRPr="00C95A7F">
        <w:rPr>
          <w:rFonts w:ascii="Arial" w:hAnsi="Arial" w:cs="Arial"/>
          <w:sz w:val="24"/>
          <w:szCs w:val="24"/>
        </w:rPr>
        <w:t>32 de instalaţii I.E.D (instalaţii privind emisiile industriale – desemnate prin Directiva „Industrial Emissions Directive”) sunt supuse riscului de a fi inundate pe teritoriul României;</w:t>
      </w:r>
    </w:p>
    <w:p w:rsidR="007551D0" w:rsidRPr="00C95A7F" w:rsidRDefault="007551D0" w:rsidP="00EA6509">
      <w:pPr>
        <w:widowControl w:val="0"/>
        <w:numPr>
          <w:ilvl w:val="0"/>
          <w:numId w:val="83"/>
        </w:numPr>
        <w:tabs>
          <w:tab w:val="left" w:pos="1021"/>
        </w:tabs>
        <w:spacing w:after="0" w:line="240" w:lineRule="auto"/>
        <w:ind w:left="1021" w:hanging="284"/>
        <w:jc w:val="both"/>
        <w:rPr>
          <w:rFonts w:ascii="Arial" w:hAnsi="Arial" w:cs="Arial"/>
          <w:sz w:val="24"/>
          <w:szCs w:val="24"/>
        </w:rPr>
      </w:pPr>
      <w:r w:rsidRPr="00C95A7F">
        <w:rPr>
          <w:rFonts w:ascii="Arial" w:hAnsi="Arial" w:cs="Arial"/>
          <w:sz w:val="24"/>
          <w:szCs w:val="24"/>
        </w:rPr>
        <w:t>Siturile de importanţă comunitară SCI, ariile de protecţie specială avifaunistică SPA, habitate, zone vulnerabile; la nivelul ţării  469  de zone protejate se regăsesc în zone inundabile, detaliate astfel: 204 zone protejate pentru captarea apei  în scopul consumului uman; 79 de arii de protecţie specială avifaunistică (SPA), 86 de situri de importanta comunitară (SCI), şi 100 de arii naturale protejate  de interes national;</w:t>
      </w:r>
    </w:p>
    <w:p w:rsidR="007551D0" w:rsidRPr="00C95A7F" w:rsidRDefault="007551D0" w:rsidP="00EA6509">
      <w:pPr>
        <w:widowControl w:val="0"/>
        <w:numPr>
          <w:ilvl w:val="0"/>
          <w:numId w:val="83"/>
        </w:numPr>
        <w:tabs>
          <w:tab w:val="left" w:pos="1021"/>
        </w:tabs>
        <w:spacing w:after="0" w:line="240" w:lineRule="auto"/>
        <w:ind w:left="1021" w:hanging="284"/>
        <w:jc w:val="both"/>
        <w:rPr>
          <w:rFonts w:ascii="Arial" w:hAnsi="Arial" w:cs="Arial"/>
          <w:sz w:val="24"/>
          <w:szCs w:val="24"/>
        </w:rPr>
      </w:pPr>
      <w:r w:rsidRPr="00C95A7F">
        <w:rPr>
          <w:rFonts w:ascii="Arial" w:hAnsi="Arial" w:cs="Arial"/>
          <w:sz w:val="24"/>
          <w:szCs w:val="24"/>
        </w:rPr>
        <w:t>Infrastructura afectată: aproximativ 700 km de cale ferată ar putea fi  afectată de inundaţii, 700 km de drum national/european; 1300 km de drum judeţean şi 1000 km de drum comunal;</w:t>
      </w:r>
    </w:p>
    <w:p w:rsidR="007551D0" w:rsidRPr="00942368" w:rsidRDefault="007551D0" w:rsidP="00EA6509">
      <w:pPr>
        <w:widowControl w:val="0"/>
        <w:numPr>
          <w:ilvl w:val="0"/>
          <w:numId w:val="83"/>
        </w:numPr>
        <w:tabs>
          <w:tab w:val="left" w:pos="1021"/>
        </w:tabs>
        <w:spacing w:after="0" w:line="240" w:lineRule="auto"/>
        <w:ind w:left="1021" w:hanging="284"/>
        <w:jc w:val="both"/>
        <w:rPr>
          <w:rFonts w:ascii="Arial" w:hAnsi="Arial" w:cs="Arial"/>
          <w:sz w:val="24"/>
          <w:szCs w:val="24"/>
        </w:rPr>
      </w:pPr>
      <w:r w:rsidRPr="00C95A7F">
        <w:rPr>
          <w:rFonts w:ascii="Arial" w:hAnsi="Arial" w:cs="Arial"/>
          <w:sz w:val="24"/>
          <w:szCs w:val="24"/>
        </w:rPr>
        <w:t xml:space="preserve">Patrimoniului cultural poate fi afectat de efectele negative ale inundaţiilor. În acest </w:t>
      </w:r>
      <w:r w:rsidRPr="00C95A7F">
        <w:rPr>
          <w:rFonts w:ascii="Arial" w:hAnsi="Arial" w:cs="Arial"/>
          <w:sz w:val="24"/>
          <w:szCs w:val="24"/>
        </w:rPr>
        <w:lastRenderedPageBreak/>
        <w:t>sens pentru România au fost luate în considerare bisericile, monumentele şi muzeele aflate în interiorul zonelor inundabile, rezultând astfel cca. 293 de biserici, 13 muzee şi 15 monumente culturale.</w:t>
      </w:r>
    </w:p>
    <w:p w:rsidR="007551D0" w:rsidRDefault="007551D0" w:rsidP="00EA6509">
      <w:pPr>
        <w:pStyle w:val="BodyTextIndent"/>
        <w:spacing w:line="240" w:lineRule="auto"/>
        <w:ind w:left="720"/>
        <w:rPr>
          <w:rFonts w:ascii="Arial" w:hAnsi="Arial" w:cs="Arial"/>
          <w:b/>
          <w:bCs/>
          <w:sz w:val="24"/>
          <w:szCs w:val="24"/>
        </w:rPr>
      </w:pPr>
    </w:p>
    <w:p w:rsidR="007551D0" w:rsidRPr="00E92120" w:rsidRDefault="007551D0" w:rsidP="007551D0">
      <w:pPr>
        <w:pStyle w:val="BodyTextIndent"/>
        <w:ind w:left="720"/>
        <w:rPr>
          <w:rFonts w:ascii="Arial" w:hAnsi="Arial" w:cs="Arial"/>
          <w:sz w:val="24"/>
          <w:szCs w:val="24"/>
        </w:rPr>
      </w:pPr>
      <w:r w:rsidRPr="00EA6509">
        <w:rPr>
          <w:rFonts w:ascii="Arial" w:hAnsi="Arial" w:cs="Arial"/>
          <w:bCs/>
          <w:sz w:val="24"/>
          <w:szCs w:val="24"/>
        </w:rPr>
        <w:t>Tabelul nr. II.1.2.2. – 1</w:t>
      </w:r>
      <w:r w:rsidRPr="00E92120">
        <w:rPr>
          <w:rFonts w:ascii="Arial" w:hAnsi="Arial" w:cs="Arial"/>
          <w:b/>
          <w:bCs/>
          <w:sz w:val="24"/>
          <w:szCs w:val="24"/>
        </w:rPr>
        <w:t xml:space="preserve"> </w:t>
      </w:r>
      <w:r w:rsidRPr="00E92120">
        <w:rPr>
          <w:rFonts w:ascii="Arial" w:hAnsi="Arial" w:cs="Arial"/>
          <w:sz w:val="24"/>
          <w:szCs w:val="24"/>
        </w:rPr>
        <w:t xml:space="preserve"> Expunerea populaţiei la riscul de inundaţii la nivelul judeţului </w:t>
      </w:r>
      <w:r w:rsidR="00217620">
        <w:rPr>
          <w:rFonts w:ascii="Arial" w:hAnsi="Arial" w:cs="Arial"/>
          <w:sz w:val="24"/>
          <w:szCs w:val="24"/>
        </w:rPr>
        <w:t>Brăila</w:t>
      </w: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992"/>
        <w:gridCol w:w="851"/>
        <w:gridCol w:w="992"/>
        <w:gridCol w:w="992"/>
        <w:gridCol w:w="992"/>
      </w:tblGrid>
      <w:tr w:rsidR="007551D0" w:rsidRPr="0090130C" w:rsidTr="00A54188">
        <w:trPr>
          <w:jc w:val="center"/>
        </w:trPr>
        <w:tc>
          <w:tcPr>
            <w:tcW w:w="3258" w:type="dxa"/>
            <w:shd w:val="clear" w:color="auto" w:fill="B6DDE8"/>
          </w:tcPr>
          <w:p w:rsidR="007551D0" w:rsidRPr="00594535" w:rsidRDefault="007551D0" w:rsidP="00A54188">
            <w:pPr>
              <w:pStyle w:val="BodyTextIndent"/>
              <w:spacing w:after="0"/>
              <w:ind w:left="0"/>
              <w:jc w:val="both"/>
              <w:rPr>
                <w:rFonts w:ascii="Arial" w:hAnsi="Arial" w:cs="Arial"/>
                <w:sz w:val="24"/>
                <w:szCs w:val="24"/>
              </w:rPr>
            </w:pPr>
          </w:p>
        </w:tc>
        <w:tc>
          <w:tcPr>
            <w:tcW w:w="992" w:type="dxa"/>
            <w:shd w:val="clear" w:color="auto" w:fill="B6DDE8"/>
            <w:vAlign w:val="center"/>
          </w:tcPr>
          <w:p w:rsidR="007551D0" w:rsidRPr="00594535" w:rsidRDefault="007551D0" w:rsidP="00A54188">
            <w:pPr>
              <w:pStyle w:val="BodyTextIndent"/>
              <w:spacing w:after="0" w:line="240" w:lineRule="auto"/>
              <w:ind w:left="0"/>
              <w:jc w:val="both"/>
              <w:rPr>
                <w:rFonts w:ascii="Arial" w:hAnsi="Arial" w:cs="Arial"/>
                <w:b/>
                <w:sz w:val="24"/>
                <w:szCs w:val="24"/>
              </w:rPr>
            </w:pPr>
            <w:r w:rsidRPr="00594535">
              <w:rPr>
                <w:rFonts w:ascii="Arial" w:hAnsi="Arial" w:cs="Arial"/>
                <w:b/>
                <w:sz w:val="24"/>
                <w:szCs w:val="24"/>
              </w:rPr>
              <w:t>2012</w:t>
            </w:r>
          </w:p>
        </w:tc>
        <w:tc>
          <w:tcPr>
            <w:tcW w:w="851" w:type="dxa"/>
            <w:shd w:val="clear" w:color="auto" w:fill="B6DDE8"/>
            <w:vAlign w:val="center"/>
          </w:tcPr>
          <w:p w:rsidR="007551D0" w:rsidRPr="00594535" w:rsidRDefault="007551D0" w:rsidP="00A54188">
            <w:pPr>
              <w:pStyle w:val="BodyTextIndent"/>
              <w:spacing w:after="0" w:line="240" w:lineRule="auto"/>
              <w:ind w:left="0"/>
              <w:jc w:val="both"/>
              <w:rPr>
                <w:rFonts w:ascii="Arial" w:hAnsi="Arial" w:cs="Arial"/>
                <w:b/>
                <w:sz w:val="24"/>
                <w:szCs w:val="24"/>
              </w:rPr>
            </w:pPr>
            <w:r w:rsidRPr="00594535">
              <w:rPr>
                <w:rFonts w:ascii="Arial" w:hAnsi="Arial" w:cs="Arial"/>
                <w:b/>
                <w:sz w:val="24"/>
                <w:szCs w:val="24"/>
              </w:rPr>
              <w:t>2013</w:t>
            </w:r>
          </w:p>
        </w:tc>
        <w:tc>
          <w:tcPr>
            <w:tcW w:w="992" w:type="dxa"/>
            <w:shd w:val="clear" w:color="auto" w:fill="B6DDE8"/>
            <w:vAlign w:val="center"/>
          </w:tcPr>
          <w:p w:rsidR="007551D0" w:rsidRPr="00594535" w:rsidRDefault="007551D0" w:rsidP="00A54188">
            <w:pPr>
              <w:pStyle w:val="BodyTextIndent"/>
              <w:spacing w:after="0" w:line="240" w:lineRule="auto"/>
              <w:ind w:left="0"/>
              <w:jc w:val="both"/>
              <w:rPr>
                <w:rFonts w:ascii="Arial" w:hAnsi="Arial" w:cs="Arial"/>
                <w:b/>
                <w:sz w:val="24"/>
                <w:szCs w:val="24"/>
              </w:rPr>
            </w:pPr>
            <w:r w:rsidRPr="00594535">
              <w:rPr>
                <w:rFonts w:ascii="Arial" w:hAnsi="Arial" w:cs="Arial"/>
                <w:b/>
                <w:sz w:val="24"/>
                <w:szCs w:val="24"/>
              </w:rPr>
              <w:t>2014</w:t>
            </w:r>
          </w:p>
        </w:tc>
        <w:tc>
          <w:tcPr>
            <w:tcW w:w="992" w:type="dxa"/>
            <w:shd w:val="clear" w:color="auto" w:fill="B6DDE8"/>
          </w:tcPr>
          <w:p w:rsidR="007551D0" w:rsidRPr="00594535" w:rsidRDefault="007551D0" w:rsidP="00A54188">
            <w:pPr>
              <w:pStyle w:val="BodyTextIndent"/>
              <w:spacing w:after="0" w:line="240" w:lineRule="auto"/>
              <w:ind w:left="0"/>
              <w:jc w:val="both"/>
              <w:rPr>
                <w:rFonts w:ascii="Arial" w:hAnsi="Arial" w:cs="Arial"/>
                <w:b/>
                <w:sz w:val="24"/>
                <w:szCs w:val="24"/>
              </w:rPr>
            </w:pPr>
            <w:r w:rsidRPr="00594535">
              <w:rPr>
                <w:rFonts w:ascii="Arial" w:hAnsi="Arial" w:cs="Arial"/>
                <w:b/>
                <w:sz w:val="24"/>
                <w:szCs w:val="24"/>
              </w:rPr>
              <w:t>2015</w:t>
            </w:r>
          </w:p>
        </w:tc>
        <w:tc>
          <w:tcPr>
            <w:tcW w:w="992" w:type="dxa"/>
            <w:shd w:val="clear" w:color="auto" w:fill="B6DDE8"/>
          </w:tcPr>
          <w:p w:rsidR="007551D0" w:rsidRPr="00594535" w:rsidRDefault="007551D0" w:rsidP="00A54188">
            <w:pPr>
              <w:pStyle w:val="BodyTextIndent"/>
              <w:spacing w:after="0" w:line="240" w:lineRule="auto"/>
              <w:ind w:left="0"/>
              <w:jc w:val="both"/>
              <w:rPr>
                <w:rFonts w:ascii="Arial" w:hAnsi="Arial" w:cs="Arial"/>
                <w:b/>
                <w:sz w:val="24"/>
                <w:szCs w:val="24"/>
              </w:rPr>
            </w:pPr>
            <w:r>
              <w:rPr>
                <w:rFonts w:ascii="Arial" w:hAnsi="Arial" w:cs="Arial"/>
                <w:b/>
                <w:sz w:val="24"/>
                <w:szCs w:val="24"/>
              </w:rPr>
              <w:t>2016</w:t>
            </w:r>
          </w:p>
        </w:tc>
      </w:tr>
      <w:tr w:rsidR="007551D0" w:rsidRPr="0090130C" w:rsidTr="00A54188">
        <w:trPr>
          <w:jc w:val="center"/>
        </w:trPr>
        <w:tc>
          <w:tcPr>
            <w:tcW w:w="3258" w:type="dxa"/>
            <w:shd w:val="clear" w:color="auto" w:fill="DAEEF3"/>
          </w:tcPr>
          <w:p w:rsidR="007551D0" w:rsidRPr="00594535" w:rsidRDefault="007551D0" w:rsidP="00A54188">
            <w:pPr>
              <w:pStyle w:val="BodyTextIndent"/>
              <w:spacing w:after="0" w:line="240" w:lineRule="auto"/>
              <w:ind w:left="0"/>
              <w:rPr>
                <w:rFonts w:ascii="Arial" w:hAnsi="Arial" w:cs="Arial"/>
                <w:sz w:val="24"/>
                <w:szCs w:val="24"/>
              </w:rPr>
            </w:pPr>
            <w:r w:rsidRPr="00594535">
              <w:rPr>
                <w:rFonts w:ascii="Arial" w:hAnsi="Arial" w:cs="Arial"/>
                <w:sz w:val="24"/>
                <w:szCs w:val="24"/>
              </w:rPr>
              <w:t xml:space="preserve">Număr de evenimente identificate la nivelul judeţului </w:t>
            </w:r>
            <w:r w:rsidR="00217620">
              <w:rPr>
                <w:rFonts w:ascii="Arial" w:hAnsi="Arial" w:cs="Arial"/>
                <w:sz w:val="24"/>
                <w:szCs w:val="24"/>
              </w:rPr>
              <w:t>Brăila</w:t>
            </w:r>
          </w:p>
        </w:tc>
        <w:tc>
          <w:tcPr>
            <w:tcW w:w="992" w:type="dxa"/>
            <w:shd w:val="clear" w:color="auto" w:fill="DAEEF3"/>
            <w:vAlign w:val="center"/>
          </w:tcPr>
          <w:p w:rsidR="007551D0" w:rsidRPr="00594535" w:rsidRDefault="007551D0" w:rsidP="00A54188">
            <w:pPr>
              <w:pStyle w:val="BodyTextIndent"/>
              <w:spacing w:after="0" w:line="240" w:lineRule="auto"/>
              <w:ind w:left="0"/>
              <w:jc w:val="center"/>
              <w:rPr>
                <w:rFonts w:ascii="Arial" w:hAnsi="Arial" w:cs="Arial"/>
                <w:sz w:val="24"/>
                <w:szCs w:val="24"/>
              </w:rPr>
            </w:pPr>
            <w:r w:rsidRPr="00594535">
              <w:rPr>
                <w:rFonts w:ascii="Arial" w:hAnsi="Arial" w:cs="Arial"/>
                <w:sz w:val="24"/>
                <w:szCs w:val="24"/>
              </w:rPr>
              <w:t>31</w:t>
            </w:r>
          </w:p>
        </w:tc>
        <w:tc>
          <w:tcPr>
            <w:tcW w:w="851" w:type="dxa"/>
            <w:shd w:val="clear" w:color="auto" w:fill="DAEEF3"/>
            <w:vAlign w:val="center"/>
          </w:tcPr>
          <w:p w:rsidR="007551D0" w:rsidRPr="00594535" w:rsidRDefault="007551D0" w:rsidP="00A54188">
            <w:pPr>
              <w:pStyle w:val="BodyTextIndent"/>
              <w:spacing w:after="0" w:line="240" w:lineRule="auto"/>
              <w:ind w:left="0"/>
              <w:jc w:val="center"/>
              <w:rPr>
                <w:rFonts w:ascii="Arial" w:hAnsi="Arial" w:cs="Arial"/>
                <w:sz w:val="24"/>
                <w:szCs w:val="24"/>
              </w:rPr>
            </w:pPr>
            <w:r w:rsidRPr="00594535">
              <w:rPr>
                <w:rFonts w:ascii="Arial" w:hAnsi="Arial" w:cs="Arial"/>
                <w:sz w:val="24"/>
                <w:szCs w:val="24"/>
              </w:rPr>
              <w:t>18</w:t>
            </w:r>
          </w:p>
        </w:tc>
        <w:tc>
          <w:tcPr>
            <w:tcW w:w="992" w:type="dxa"/>
            <w:shd w:val="clear" w:color="auto" w:fill="DAEEF3"/>
            <w:vAlign w:val="center"/>
          </w:tcPr>
          <w:p w:rsidR="007551D0" w:rsidRPr="00594535" w:rsidRDefault="007551D0" w:rsidP="00A54188">
            <w:pPr>
              <w:pStyle w:val="BodyTextIndent"/>
              <w:spacing w:after="0" w:line="240" w:lineRule="auto"/>
              <w:ind w:left="0"/>
              <w:jc w:val="center"/>
              <w:rPr>
                <w:rFonts w:ascii="Arial" w:hAnsi="Arial" w:cs="Arial"/>
                <w:sz w:val="24"/>
                <w:szCs w:val="24"/>
              </w:rPr>
            </w:pPr>
            <w:r w:rsidRPr="00594535">
              <w:rPr>
                <w:rFonts w:ascii="Arial" w:hAnsi="Arial" w:cs="Arial"/>
                <w:sz w:val="24"/>
                <w:szCs w:val="24"/>
              </w:rPr>
              <w:t>21</w:t>
            </w:r>
          </w:p>
        </w:tc>
        <w:tc>
          <w:tcPr>
            <w:tcW w:w="992" w:type="dxa"/>
            <w:shd w:val="clear" w:color="auto" w:fill="DAEEF3"/>
            <w:vAlign w:val="center"/>
          </w:tcPr>
          <w:p w:rsidR="007551D0" w:rsidRPr="00594535" w:rsidRDefault="007551D0" w:rsidP="00A54188">
            <w:pPr>
              <w:pStyle w:val="BodyTextIndent"/>
              <w:spacing w:after="0" w:line="240" w:lineRule="auto"/>
              <w:ind w:left="0"/>
              <w:jc w:val="center"/>
              <w:rPr>
                <w:rFonts w:ascii="Arial" w:hAnsi="Arial" w:cs="Arial"/>
                <w:sz w:val="24"/>
                <w:szCs w:val="24"/>
              </w:rPr>
            </w:pPr>
            <w:r w:rsidRPr="00594535">
              <w:rPr>
                <w:rFonts w:ascii="Arial" w:hAnsi="Arial" w:cs="Arial"/>
                <w:sz w:val="24"/>
                <w:szCs w:val="24"/>
              </w:rPr>
              <w:t>36</w:t>
            </w:r>
          </w:p>
        </w:tc>
        <w:tc>
          <w:tcPr>
            <w:tcW w:w="992" w:type="dxa"/>
            <w:shd w:val="clear" w:color="auto" w:fill="DAEEF3"/>
            <w:vAlign w:val="center"/>
          </w:tcPr>
          <w:p w:rsidR="007551D0" w:rsidRPr="00594535" w:rsidRDefault="007551D0" w:rsidP="00A54188">
            <w:pPr>
              <w:pStyle w:val="BodyTextIndent"/>
              <w:spacing w:after="0" w:line="240" w:lineRule="auto"/>
              <w:ind w:left="0"/>
              <w:jc w:val="center"/>
              <w:rPr>
                <w:rFonts w:ascii="Arial" w:hAnsi="Arial" w:cs="Arial"/>
                <w:sz w:val="24"/>
                <w:szCs w:val="24"/>
              </w:rPr>
            </w:pPr>
            <w:r>
              <w:rPr>
                <w:rFonts w:ascii="Arial" w:hAnsi="Arial" w:cs="Arial"/>
                <w:sz w:val="24"/>
                <w:szCs w:val="24"/>
              </w:rPr>
              <w:t>26</w:t>
            </w:r>
          </w:p>
        </w:tc>
      </w:tr>
      <w:tr w:rsidR="007551D0" w:rsidRPr="0090130C" w:rsidTr="00A54188">
        <w:trPr>
          <w:jc w:val="center"/>
        </w:trPr>
        <w:tc>
          <w:tcPr>
            <w:tcW w:w="3258" w:type="dxa"/>
            <w:shd w:val="clear" w:color="auto" w:fill="DAEEF3"/>
          </w:tcPr>
          <w:p w:rsidR="007551D0" w:rsidRPr="00594535" w:rsidRDefault="007551D0" w:rsidP="00A54188">
            <w:pPr>
              <w:pStyle w:val="BodyTextIndent"/>
              <w:spacing w:after="0" w:line="240" w:lineRule="auto"/>
              <w:ind w:left="0"/>
              <w:rPr>
                <w:rFonts w:ascii="Arial" w:hAnsi="Arial" w:cs="Arial"/>
                <w:sz w:val="24"/>
                <w:szCs w:val="24"/>
              </w:rPr>
            </w:pPr>
            <w:r w:rsidRPr="00594535">
              <w:rPr>
                <w:rFonts w:ascii="Arial" w:hAnsi="Arial" w:cs="Arial"/>
                <w:sz w:val="24"/>
                <w:szCs w:val="24"/>
              </w:rPr>
              <w:t>Număr de victime</w:t>
            </w:r>
          </w:p>
          <w:p w:rsidR="007551D0" w:rsidRPr="00594535" w:rsidRDefault="007551D0" w:rsidP="00A54188">
            <w:pPr>
              <w:pStyle w:val="BodyTextIndent"/>
              <w:spacing w:after="0" w:line="240" w:lineRule="auto"/>
              <w:ind w:left="0"/>
              <w:rPr>
                <w:rFonts w:ascii="Arial" w:hAnsi="Arial" w:cs="Arial"/>
                <w:sz w:val="24"/>
                <w:szCs w:val="24"/>
              </w:rPr>
            </w:pPr>
            <w:r w:rsidRPr="00594535">
              <w:rPr>
                <w:rFonts w:ascii="Arial" w:hAnsi="Arial" w:cs="Arial"/>
                <w:sz w:val="24"/>
                <w:szCs w:val="24"/>
              </w:rPr>
              <w:t>Total din care:</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551D0" w:rsidRPr="00594535" w:rsidRDefault="007551D0" w:rsidP="00A54188">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7551D0" w:rsidRPr="0090130C" w:rsidTr="00A54188">
        <w:trPr>
          <w:jc w:val="center"/>
        </w:trPr>
        <w:tc>
          <w:tcPr>
            <w:tcW w:w="3258" w:type="dxa"/>
            <w:shd w:val="clear" w:color="auto" w:fill="DAEEF3"/>
          </w:tcPr>
          <w:p w:rsidR="007551D0" w:rsidRPr="00594535" w:rsidRDefault="007551D0" w:rsidP="00A54188">
            <w:pPr>
              <w:pStyle w:val="BodyTextIndent"/>
              <w:spacing w:after="0" w:line="240" w:lineRule="auto"/>
              <w:ind w:left="0"/>
              <w:rPr>
                <w:rFonts w:ascii="Arial" w:hAnsi="Arial" w:cs="Arial"/>
                <w:sz w:val="24"/>
                <w:szCs w:val="24"/>
              </w:rPr>
            </w:pPr>
            <w:r w:rsidRPr="00594535">
              <w:rPr>
                <w:rFonts w:ascii="Arial" w:hAnsi="Arial" w:cs="Arial"/>
                <w:sz w:val="24"/>
                <w:szCs w:val="24"/>
              </w:rPr>
              <w:t>Număr persoane decedate</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551D0" w:rsidRPr="00594535" w:rsidRDefault="007551D0" w:rsidP="00A54188">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7551D0" w:rsidRPr="0090130C" w:rsidTr="00A54188">
        <w:trPr>
          <w:jc w:val="center"/>
        </w:trPr>
        <w:tc>
          <w:tcPr>
            <w:tcW w:w="3258" w:type="dxa"/>
            <w:shd w:val="clear" w:color="auto" w:fill="DAEEF3"/>
          </w:tcPr>
          <w:p w:rsidR="007551D0" w:rsidRPr="00594535" w:rsidRDefault="007551D0" w:rsidP="00A54188">
            <w:pPr>
              <w:pStyle w:val="BodyTextIndent"/>
              <w:spacing w:after="0" w:line="240" w:lineRule="auto"/>
              <w:ind w:left="0"/>
              <w:rPr>
                <w:rFonts w:ascii="Arial" w:hAnsi="Arial" w:cs="Arial"/>
                <w:sz w:val="24"/>
                <w:szCs w:val="24"/>
              </w:rPr>
            </w:pPr>
            <w:r w:rsidRPr="00594535">
              <w:rPr>
                <w:rFonts w:ascii="Arial" w:hAnsi="Arial" w:cs="Arial"/>
                <w:sz w:val="24"/>
                <w:szCs w:val="24"/>
              </w:rPr>
              <w:t>Număr persoane rănite</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551D0" w:rsidRPr="00594535" w:rsidRDefault="007551D0" w:rsidP="00A54188">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7551D0" w:rsidRPr="0090130C" w:rsidTr="00A54188">
        <w:trPr>
          <w:jc w:val="center"/>
        </w:trPr>
        <w:tc>
          <w:tcPr>
            <w:tcW w:w="3258" w:type="dxa"/>
            <w:shd w:val="clear" w:color="auto" w:fill="DAEEF3"/>
          </w:tcPr>
          <w:p w:rsidR="007551D0" w:rsidRPr="00594535" w:rsidRDefault="007551D0" w:rsidP="00A54188">
            <w:pPr>
              <w:pStyle w:val="BodyTextIndent"/>
              <w:spacing w:after="0" w:line="240" w:lineRule="auto"/>
              <w:ind w:left="0"/>
              <w:rPr>
                <w:rFonts w:ascii="Arial" w:hAnsi="Arial" w:cs="Arial"/>
                <w:sz w:val="24"/>
                <w:szCs w:val="24"/>
              </w:rPr>
            </w:pPr>
            <w:r w:rsidRPr="00594535">
              <w:rPr>
                <w:rFonts w:ascii="Arial" w:hAnsi="Arial" w:cs="Arial"/>
                <w:sz w:val="24"/>
                <w:szCs w:val="24"/>
              </w:rPr>
              <w:t>Număr persoane evacuate</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551D0" w:rsidRPr="00594535" w:rsidRDefault="007551D0" w:rsidP="00A54188">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7551D0" w:rsidRPr="0090130C" w:rsidTr="00A54188">
        <w:trPr>
          <w:jc w:val="center"/>
        </w:trPr>
        <w:tc>
          <w:tcPr>
            <w:tcW w:w="3258" w:type="dxa"/>
            <w:shd w:val="clear" w:color="auto" w:fill="DAEEF3"/>
          </w:tcPr>
          <w:p w:rsidR="007551D0" w:rsidRPr="00594535" w:rsidRDefault="007551D0" w:rsidP="00A54188">
            <w:pPr>
              <w:pStyle w:val="BodyTextIndent"/>
              <w:spacing w:after="0" w:line="240" w:lineRule="auto"/>
              <w:ind w:left="0"/>
              <w:rPr>
                <w:rFonts w:ascii="Arial" w:hAnsi="Arial" w:cs="Arial"/>
                <w:sz w:val="24"/>
                <w:szCs w:val="24"/>
              </w:rPr>
            </w:pPr>
            <w:r w:rsidRPr="00594535">
              <w:rPr>
                <w:rFonts w:ascii="Arial" w:hAnsi="Arial" w:cs="Arial"/>
                <w:sz w:val="24"/>
                <w:szCs w:val="24"/>
              </w:rPr>
              <w:t>Număr persoane cu locuinţe distruse</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551D0" w:rsidRPr="00594535" w:rsidRDefault="007551D0" w:rsidP="00A54188">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7551D0" w:rsidRPr="0090130C" w:rsidTr="00A54188">
        <w:trPr>
          <w:jc w:val="center"/>
        </w:trPr>
        <w:tc>
          <w:tcPr>
            <w:tcW w:w="3258" w:type="dxa"/>
            <w:shd w:val="clear" w:color="auto" w:fill="DAEEF3"/>
          </w:tcPr>
          <w:p w:rsidR="007551D0" w:rsidRPr="00594535" w:rsidRDefault="007551D0" w:rsidP="00A54188">
            <w:pPr>
              <w:pStyle w:val="BodyTextIndent"/>
              <w:spacing w:after="0" w:line="240" w:lineRule="auto"/>
              <w:ind w:left="0"/>
              <w:rPr>
                <w:rFonts w:ascii="Arial" w:hAnsi="Arial" w:cs="Arial"/>
                <w:sz w:val="24"/>
                <w:szCs w:val="24"/>
              </w:rPr>
            </w:pPr>
            <w:r w:rsidRPr="00594535">
              <w:rPr>
                <w:rFonts w:ascii="Arial" w:hAnsi="Arial" w:cs="Arial"/>
                <w:sz w:val="24"/>
                <w:szCs w:val="24"/>
              </w:rPr>
              <w:t>Număr cazuri îmbolnăviri datorită consumului de apă contaminată</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7551D0" w:rsidRPr="00594535" w:rsidRDefault="007551D0" w:rsidP="00A54188">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7551D0" w:rsidRPr="00594535" w:rsidRDefault="007551D0" w:rsidP="00A54188">
            <w:pPr>
              <w:pStyle w:val="BodyTextIndent"/>
              <w:spacing w:after="0" w:line="240" w:lineRule="auto"/>
              <w:ind w:left="0"/>
              <w:jc w:val="center"/>
              <w:rPr>
                <w:rFonts w:ascii="Arial" w:hAnsi="Arial" w:cs="Arial"/>
                <w:sz w:val="24"/>
                <w:szCs w:val="24"/>
              </w:rPr>
            </w:pPr>
            <w:r>
              <w:rPr>
                <w:rFonts w:ascii="Arial" w:hAnsi="Arial" w:cs="Arial"/>
                <w:sz w:val="24"/>
                <w:szCs w:val="24"/>
              </w:rPr>
              <w:t>-</w:t>
            </w:r>
          </w:p>
        </w:tc>
      </w:tr>
    </w:tbl>
    <w:p w:rsidR="007551D0" w:rsidRDefault="007551D0" w:rsidP="007551D0">
      <w:pPr>
        <w:pStyle w:val="Footer"/>
        <w:ind w:left="720"/>
        <w:rPr>
          <w:rFonts w:ascii="Arial" w:hAnsi="Arial" w:cs="Arial"/>
          <w:b/>
          <w:bCs/>
        </w:rPr>
      </w:pPr>
      <w:r w:rsidRPr="007C7C70">
        <w:rPr>
          <w:rFonts w:ascii="Arial" w:hAnsi="Arial" w:cs="Arial"/>
          <w:b/>
          <w:bCs/>
        </w:rPr>
        <w:t xml:space="preserve">Sursa date – Inspectoratul pentru situații de urgență </w:t>
      </w:r>
      <w:r w:rsidRPr="007C7C70">
        <w:rPr>
          <w:rFonts w:ascii="Arial" w:hAnsi="Arial" w:cs="Arial"/>
          <w:b/>
          <w:bCs/>
          <w:i/>
        </w:rPr>
        <w:t xml:space="preserve">Dunărea </w:t>
      </w:r>
      <w:r w:rsidR="00217620">
        <w:rPr>
          <w:rFonts w:ascii="Arial" w:hAnsi="Arial" w:cs="Arial"/>
          <w:b/>
          <w:bCs/>
        </w:rPr>
        <w:t>Brăila</w:t>
      </w:r>
    </w:p>
    <w:p w:rsidR="007551D0" w:rsidRPr="007C7C70" w:rsidRDefault="007551D0" w:rsidP="007551D0">
      <w:pPr>
        <w:pStyle w:val="Footer"/>
        <w:ind w:left="720"/>
        <w:rPr>
          <w:rFonts w:ascii="Arial" w:hAnsi="Arial" w:cs="Arial"/>
          <w:b/>
          <w:bCs/>
        </w:rPr>
      </w:pPr>
    </w:p>
    <w:p w:rsidR="00A54188" w:rsidRDefault="00A54188" w:rsidP="007551D0">
      <w:pPr>
        <w:pStyle w:val="Footer"/>
        <w:ind w:left="720"/>
        <w:rPr>
          <w:rFonts w:ascii="Arial" w:hAnsi="Arial" w:cs="Arial"/>
          <w:bCs/>
          <w:sz w:val="24"/>
          <w:szCs w:val="24"/>
        </w:rPr>
      </w:pPr>
    </w:p>
    <w:p w:rsidR="00A54188" w:rsidRDefault="00A54188" w:rsidP="007551D0">
      <w:pPr>
        <w:pStyle w:val="Footer"/>
        <w:ind w:left="720"/>
        <w:rPr>
          <w:rFonts w:ascii="Arial" w:hAnsi="Arial" w:cs="Arial"/>
          <w:bCs/>
          <w:sz w:val="24"/>
          <w:szCs w:val="24"/>
        </w:rPr>
      </w:pPr>
    </w:p>
    <w:p w:rsidR="007551D0" w:rsidRPr="00EA6509" w:rsidRDefault="007551D0" w:rsidP="007551D0">
      <w:pPr>
        <w:pStyle w:val="Footer"/>
        <w:ind w:left="720"/>
        <w:rPr>
          <w:rFonts w:ascii="Arial" w:hAnsi="Arial" w:cs="Arial"/>
          <w:sz w:val="24"/>
          <w:szCs w:val="24"/>
        </w:rPr>
      </w:pPr>
      <w:r w:rsidRPr="00EA6509">
        <w:rPr>
          <w:rFonts w:ascii="Arial" w:hAnsi="Arial" w:cs="Arial"/>
          <w:bCs/>
          <w:sz w:val="24"/>
          <w:szCs w:val="24"/>
        </w:rPr>
        <w:t>Tabelul nr. II.1.2.2. – 2</w:t>
      </w:r>
      <w:r w:rsidRPr="00EA6509">
        <w:rPr>
          <w:rStyle w:val="FontStyle22"/>
          <w:rFonts w:ascii="Arial" w:hAnsi="Arial" w:cs="Arial"/>
          <w:spacing w:val="-4"/>
          <w:lang w:eastAsia="ro-RO"/>
        </w:rPr>
        <w:t xml:space="preserve"> Nr. Localităţi afectate de inundaţii </w:t>
      </w:r>
      <w:r w:rsidRPr="00EA6509">
        <w:rPr>
          <w:rFonts w:ascii="Arial" w:hAnsi="Arial" w:cs="Arial"/>
          <w:sz w:val="24"/>
          <w:szCs w:val="24"/>
        </w:rPr>
        <w:t>din mediul urban/rural</w:t>
      </w:r>
    </w:p>
    <w:p w:rsidR="007551D0" w:rsidRPr="00EA6509" w:rsidRDefault="007551D0" w:rsidP="007551D0">
      <w:pPr>
        <w:pStyle w:val="Footer"/>
        <w:ind w:left="720"/>
        <w:rPr>
          <w:rFonts w:ascii="Arial" w:hAnsi="Arial" w:cs="Arial"/>
          <w:sz w:val="24"/>
          <w:szCs w:val="24"/>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tblPr>
      <w:tblGrid>
        <w:gridCol w:w="1094"/>
        <w:gridCol w:w="890"/>
        <w:gridCol w:w="1134"/>
        <w:gridCol w:w="992"/>
        <w:gridCol w:w="993"/>
        <w:gridCol w:w="992"/>
      </w:tblGrid>
      <w:tr w:rsidR="007551D0" w:rsidRPr="0090130C" w:rsidTr="00DB2B5E">
        <w:trPr>
          <w:jc w:val="center"/>
        </w:trPr>
        <w:tc>
          <w:tcPr>
            <w:tcW w:w="1094" w:type="dxa"/>
            <w:shd w:val="clear" w:color="auto" w:fill="DAEEF3"/>
          </w:tcPr>
          <w:p w:rsidR="007551D0" w:rsidRPr="00594535" w:rsidRDefault="007551D0" w:rsidP="00DB2B5E">
            <w:pPr>
              <w:pStyle w:val="BodyTextIndent"/>
              <w:spacing w:after="0"/>
              <w:ind w:left="0"/>
              <w:jc w:val="both"/>
              <w:rPr>
                <w:rFonts w:ascii="Arial" w:hAnsi="Arial" w:cs="Arial"/>
                <w:sz w:val="24"/>
                <w:szCs w:val="24"/>
              </w:rPr>
            </w:pPr>
            <w:r>
              <w:rPr>
                <w:rFonts w:ascii="Arial" w:hAnsi="Arial" w:cs="Arial"/>
                <w:sz w:val="24"/>
                <w:szCs w:val="24"/>
              </w:rPr>
              <w:t xml:space="preserve">Județul </w:t>
            </w:r>
            <w:r w:rsidR="00217620">
              <w:rPr>
                <w:rFonts w:ascii="Arial" w:hAnsi="Arial" w:cs="Arial"/>
                <w:sz w:val="24"/>
                <w:szCs w:val="24"/>
              </w:rPr>
              <w:t>Brăila</w:t>
            </w:r>
          </w:p>
        </w:tc>
        <w:tc>
          <w:tcPr>
            <w:tcW w:w="890" w:type="dxa"/>
            <w:shd w:val="clear" w:color="auto" w:fill="DAEEF3"/>
            <w:vAlign w:val="center"/>
          </w:tcPr>
          <w:p w:rsidR="007551D0" w:rsidRPr="00594535" w:rsidRDefault="007551D0" w:rsidP="00A54188">
            <w:pPr>
              <w:pStyle w:val="BodyTextIndent"/>
              <w:spacing w:after="0"/>
              <w:ind w:left="0"/>
              <w:jc w:val="center"/>
              <w:rPr>
                <w:rFonts w:ascii="Arial" w:hAnsi="Arial" w:cs="Arial"/>
                <w:b/>
                <w:sz w:val="24"/>
                <w:szCs w:val="24"/>
              </w:rPr>
            </w:pPr>
            <w:r w:rsidRPr="00594535">
              <w:rPr>
                <w:rFonts w:ascii="Arial" w:hAnsi="Arial" w:cs="Arial"/>
                <w:b/>
                <w:sz w:val="24"/>
                <w:szCs w:val="24"/>
              </w:rPr>
              <w:t>2012</w:t>
            </w:r>
          </w:p>
        </w:tc>
        <w:tc>
          <w:tcPr>
            <w:tcW w:w="1134" w:type="dxa"/>
            <w:shd w:val="clear" w:color="auto" w:fill="DAEEF3"/>
            <w:vAlign w:val="center"/>
          </w:tcPr>
          <w:p w:rsidR="007551D0" w:rsidRPr="00594535" w:rsidRDefault="007551D0" w:rsidP="00A54188">
            <w:pPr>
              <w:pStyle w:val="BodyTextIndent"/>
              <w:spacing w:after="0"/>
              <w:ind w:left="0"/>
              <w:jc w:val="center"/>
              <w:rPr>
                <w:rFonts w:ascii="Arial" w:hAnsi="Arial" w:cs="Arial"/>
                <w:b/>
                <w:sz w:val="24"/>
                <w:szCs w:val="24"/>
              </w:rPr>
            </w:pPr>
            <w:r w:rsidRPr="00594535">
              <w:rPr>
                <w:rFonts w:ascii="Arial" w:hAnsi="Arial" w:cs="Arial"/>
                <w:b/>
                <w:sz w:val="24"/>
                <w:szCs w:val="24"/>
              </w:rPr>
              <w:t>2013</w:t>
            </w:r>
          </w:p>
        </w:tc>
        <w:tc>
          <w:tcPr>
            <w:tcW w:w="992" w:type="dxa"/>
            <w:shd w:val="clear" w:color="auto" w:fill="DAEEF3"/>
            <w:vAlign w:val="center"/>
          </w:tcPr>
          <w:p w:rsidR="007551D0" w:rsidRPr="00594535" w:rsidRDefault="007551D0" w:rsidP="00A54188">
            <w:pPr>
              <w:pStyle w:val="BodyTextIndent"/>
              <w:spacing w:after="0"/>
              <w:ind w:left="0"/>
              <w:jc w:val="center"/>
              <w:rPr>
                <w:rFonts w:ascii="Arial" w:hAnsi="Arial" w:cs="Arial"/>
                <w:b/>
                <w:sz w:val="24"/>
                <w:szCs w:val="24"/>
              </w:rPr>
            </w:pPr>
            <w:r w:rsidRPr="00594535">
              <w:rPr>
                <w:rFonts w:ascii="Arial" w:hAnsi="Arial" w:cs="Arial"/>
                <w:b/>
                <w:sz w:val="24"/>
                <w:szCs w:val="24"/>
              </w:rPr>
              <w:t>2014</w:t>
            </w:r>
          </w:p>
        </w:tc>
        <w:tc>
          <w:tcPr>
            <w:tcW w:w="993" w:type="dxa"/>
            <w:shd w:val="clear" w:color="auto" w:fill="DAEEF3"/>
            <w:vAlign w:val="center"/>
          </w:tcPr>
          <w:p w:rsidR="007551D0" w:rsidRPr="00594535" w:rsidRDefault="007551D0" w:rsidP="00A54188">
            <w:pPr>
              <w:pStyle w:val="BodyTextIndent"/>
              <w:spacing w:after="0"/>
              <w:ind w:left="0"/>
              <w:jc w:val="center"/>
              <w:rPr>
                <w:rFonts w:ascii="Arial" w:hAnsi="Arial" w:cs="Arial"/>
                <w:b/>
                <w:sz w:val="24"/>
                <w:szCs w:val="24"/>
              </w:rPr>
            </w:pPr>
            <w:r w:rsidRPr="00594535">
              <w:rPr>
                <w:rFonts w:ascii="Arial" w:hAnsi="Arial" w:cs="Arial"/>
                <w:b/>
                <w:sz w:val="24"/>
                <w:szCs w:val="24"/>
              </w:rPr>
              <w:t>2015</w:t>
            </w:r>
          </w:p>
        </w:tc>
        <w:tc>
          <w:tcPr>
            <w:tcW w:w="992" w:type="dxa"/>
            <w:shd w:val="clear" w:color="auto" w:fill="DAEEF3"/>
            <w:vAlign w:val="center"/>
          </w:tcPr>
          <w:p w:rsidR="007551D0" w:rsidRPr="00594535" w:rsidRDefault="007551D0" w:rsidP="00A54188">
            <w:pPr>
              <w:pStyle w:val="BodyTextIndent"/>
              <w:spacing w:after="0"/>
              <w:ind w:left="0"/>
              <w:jc w:val="center"/>
              <w:rPr>
                <w:rFonts w:ascii="Arial" w:hAnsi="Arial" w:cs="Arial"/>
                <w:b/>
                <w:sz w:val="24"/>
                <w:szCs w:val="24"/>
              </w:rPr>
            </w:pPr>
            <w:r>
              <w:rPr>
                <w:rFonts w:ascii="Arial" w:hAnsi="Arial" w:cs="Arial"/>
                <w:b/>
                <w:sz w:val="24"/>
                <w:szCs w:val="24"/>
              </w:rPr>
              <w:t>2016</w:t>
            </w:r>
          </w:p>
        </w:tc>
      </w:tr>
      <w:tr w:rsidR="007551D0" w:rsidRPr="0090130C" w:rsidTr="00DB2B5E">
        <w:trPr>
          <w:jc w:val="center"/>
        </w:trPr>
        <w:tc>
          <w:tcPr>
            <w:tcW w:w="1094" w:type="dxa"/>
            <w:shd w:val="clear" w:color="auto" w:fill="DAEEF3"/>
          </w:tcPr>
          <w:p w:rsidR="007551D0" w:rsidRPr="00594535" w:rsidRDefault="007551D0" w:rsidP="00DB2B5E">
            <w:pPr>
              <w:pStyle w:val="Style8"/>
              <w:widowControl/>
              <w:spacing w:line="240" w:lineRule="auto"/>
              <w:ind w:firstLine="0"/>
              <w:rPr>
                <w:rStyle w:val="FontStyle22"/>
                <w:rFonts w:ascii="Arial" w:eastAsia="Calibri" w:hAnsi="Arial" w:cs="Arial"/>
                <w:spacing w:val="-4"/>
              </w:rPr>
            </w:pPr>
            <w:r w:rsidRPr="00594535">
              <w:rPr>
                <w:rStyle w:val="FontStyle22"/>
                <w:rFonts w:ascii="Arial" w:eastAsia="Calibri" w:hAnsi="Arial" w:cs="Arial"/>
                <w:spacing w:val="-4"/>
              </w:rPr>
              <w:t>Număr</w:t>
            </w:r>
          </w:p>
        </w:tc>
        <w:tc>
          <w:tcPr>
            <w:tcW w:w="890" w:type="dxa"/>
            <w:shd w:val="clear" w:color="auto" w:fill="DAEEF3"/>
          </w:tcPr>
          <w:p w:rsidR="007551D0" w:rsidRPr="00594535" w:rsidRDefault="007551D0" w:rsidP="00A54188">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6</w:t>
            </w:r>
          </w:p>
        </w:tc>
        <w:tc>
          <w:tcPr>
            <w:tcW w:w="1134" w:type="dxa"/>
            <w:shd w:val="clear" w:color="auto" w:fill="DAEEF3"/>
          </w:tcPr>
          <w:p w:rsidR="007551D0" w:rsidRPr="00594535" w:rsidRDefault="007551D0" w:rsidP="00A54188">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14</w:t>
            </w:r>
          </w:p>
        </w:tc>
        <w:tc>
          <w:tcPr>
            <w:tcW w:w="992" w:type="dxa"/>
            <w:shd w:val="clear" w:color="auto" w:fill="DAEEF3"/>
          </w:tcPr>
          <w:p w:rsidR="007551D0" w:rsidRPr="00594535" w:rsidRDefault="007551D0" w:rsidP="00A54188">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10</w:t>
            </w:r>
          </w:p>
        </w:tc>
        <w:tc>
          <w:tcPr>
            <w:tcW w:w="993" w:type="dxa"/>
            <w:shd w:val="clear" w:color="auto" w:fill="DAEEF3"/>
          </w:tcPr>
          <w:p w:rsidR="007551D0" w:rsidRPr="00594535" w:rsidRDefault="007551D0" w:rsidP="00A54188">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10</w:t>
            </w:r>
          </w:p>
        </w:tc>
        <w:tc>
          <w:tcPr>
            <w:tcW w:w="992" w:type="dxa"/>
            <w:shd w:val="clear" w:color="auto" w:fill="DAEEF3"/>
          </w:tcPr>
          <w:p w:rsidR="007551D0" w:rsidRPr="00594535" w:rsidRDefault="007551D0" w:rsidP="00A54188">
            <w:pPr>
              <w:pStyle w:val="Style8"/>
              <w:widowControl/>
              <w:spacing w:line="240" w:lineRule="auto"/>
              <w:ind w:firstLine="0"/>
              <w:jc w:val="center"/>
              <w:rPr>
                <w:rStyle w:val="FontStyle22"/>
                <w:rFonts w:ascii="Arial" w:eastAsia="Calibri" w:hAnsi="Arial" w:cs="Arial"/>
                <w:spacing w:val="-4"/>
              </w:rPr>
            </w:pPr>
            <w:r>
              <w:rPr>
                <w:rStyle w:val="FontStyle22"/>
                <w:rFonts w:ascii="Arial" w:eastAsia="Calibri" w:hAnsi="Arial" w:cs="Arial"/>
                <w:spacing w:val="-4"/>
              </w:rPr>
              <w:t>10</w:t>
            </w:r>
          </w:p>
        </w:tc>
      </w:tr>
    </w:tbl>
    <w:p w:rsidR="007551D0" w:rsidRPr="00E92120" w:rsidRDefault="007551D0" w:rsidP="007551D0">
      <w:pPr>
        <w:pStyle w:val="Footer"/>
        <w:ind w:left="720"/>
        <w:rPr>
          <w:rFonts w:ascii="Arial" w:hAnsi="Arial" w:cs="Arial"/>
          <w:sz w:val="24"/>
          <w:szCs w:val="24"/>
        </w:rPr>
      </w:pPr>
    </w:p>
    <w:p w:rsidR="007551D0" w:rsidRPr="00EA6509" w:rsidRDefault="007551D0" w:rsidP="007551D0">
      <w:pPr>
        <w:pStyle w:val="Footer"/>
        <w:ind w:left="720"/>
        <w:rPr>
          <w:rFonts w:ascii="Arial" w:hAnsi="Arial" w:cs="Arial"/>
          <w:b/>
          <w:sz w:val="24"/>
          <w:szCs w:val="24"/>
        </w:rPr>
      </w:pPr>
      <w:r w:rsidRPr="00EA6509">
        <w:rPr>
          <w:rFonts w:ascii="Arial" w:hAnsi="Arial" w:cs="Arial"/>
          <w:b/>
          <w:sz w:val="24"/>
          <w:szCs w:val="24"/>
        </w:rPr>
        <w:t>Managementul integrat al riscului de expunere  la inundaţii</w:t>
      </w:r>
    </w:p>
    <w:p w:rsidR="007551D0" w:rsidRPr="00EA6509" w:rsidRDefault="007551D0" w:rsidP="007551D0">
      <w:pPr>
        <w:pStyle w:val="Footer"/>
        <w:ind w:left="720"/>
        <w:rPr>
          <w:rFonts w:ascii="Arial" w:hAnsi="Arial" w:cs="Arial"/>
          <w:b/>
          <w:sz w:val="24"/>
          <w:szCs w:val="24"/>
        </w:rPr>
      </w:pPr>
    </w:p>
    <w:p w:rsidR="007551D0" w:rsidRPr="00EA6509" w:rsidRDefault="007551D0" w:rsidP="00EA6509">
      <w:pPr>
        <w:spacing w:line="240" w:lineRule="auto"/>
        <w:ind w:firstLine="708"/>
        <w:jc w:val="both"/>
        <w:rPr>
          <w:rFonts w:ascii="Arial" w:hAnsi="Arial" w:cs="Arial"/>
          <w:b/>
          <w:sz w:val="24"/>
          <w:szCs w:val="24"/>
        </w:rPr>
      </w:pPr>
      <w:r w:rsidRPr="00EA6509">
        <w:rPr>
          <w:rFonts w:ascii="Arial" w:hAnsi="Arial" w:cs="Arial"/>
          <w:sz w:val="24"/>
          <w:szCs w:val="24"/>
        </w:rPr>
        <w:t>Managementul situaţiilor de urgenţă generate de inundaţii, fenomene meteorologice periculoase, accidente la construcţii hidrotehnice şi poluări accidentale s-a realizat prin măsuri preventive, operative de intervenţie şi de reabilitare, care au constat în identificarea, înregistrarea şi evaluarea tipurilor de risc şi a factorilor determinanţi ai acestora, înştiinţarea factorilor interesaţi, avertizarea, alarmarea, evacuarea şi adăpostirea populaţiei şi animalelor, limitarea, înlăturarea sau contracararea efectelor negative produse ca urmare a manifestării factorilor de risc.</w:t>
      </w:r>
      <w:r w:rsidR="00AB4C01">
        <w:rPr>
          <w:rFonts w:ascii="Arial" w:hAnsi="Arial" w:cs="Arial"/>
          <w:sz w:val="24"/>
          <w:szCs w:val="24"/>
        </w:rPr>
        <w:t xml:space="preserve"> </w:t>
      </w:r>
      <w:r w:rsidRPr="00EA6509">
        <w:rPr>
          <w:rFonts w:ascii="Arial" w:hAnsi="Arial" w:cs="Arial"/>
          <w:spacing w:val="-4"/>
          <w:sz w:val="24"/>
          <w:szCs w:val="24"/>
        </w:rPr>
        <w:t>Măsurile întreprinse la nivel local, precum şi coordonarea eficientă a intervenţiilor au făcut posibilă reducerea consecinţelor situaţiilor de urgenţă înregistrate, iar acolo unde situaţia a permis, reluarea parţială sau totală a activităţii sociale în zonele afectate.</w:t>
      </w:r>
    </w:p>
    <w:p w:rsidR="007551D0" w:rsidRDefault="007551D0" w:rsidP="007551D0">
      <w:pPr>
        <w:pStyle w:val="Default"/>
        <w:jc w:val="both"/>
        <w:rPr>
          <w:rFonts w:ascii="Arial" w:hAnsi="Arial" w:cs="Arial"/>
          <w:b/>
          <w:bCs/>
          <w:i/>
          <w:iCs/>
          <w:color w:val="auto"/>
        </w:rPr>
      </w:pPr>
      <w:r w:rsidRPr="00E92120">
        <w:rPr>
          <w:rFonts w:ascii="Arial" w:hAnsi="Arial" w:cs="Arial"/>
          <w:b/>
          <w:bCs/>
          <w:i/>
          <w:iCs/>
          <w:color w:val="auto"/>
        </w:rPr>
        <w:t xml:space="preserve">II.1.3. Utilizarea şi gestionarea eficientă a resurselor de apă </w:t>
      </w:r>
    </w:p>
    <w:p w:rsidR="007551D0" w:rsidRPr="00E92120" w:rsidRDefault="007551D0" w:rsidP="007551D0">
      <w:pPr>
        <w:pStyle w:val="Default"/>
        <w:jc w:val="both"/>
        <w:rPr>
          <w:rFonts w:ascii="Arial" w:hAnsi="Arial" w:cs="Arial"/>
        </w:rPr>
      </w:pPr>
    </w:p>
    <w:p w:rsidR="007551D0" w:rsidRPr="00E92120" w:rsidRDefault="007551D0" w:rsidP="00921973">
      <w:pPr>
        <w:pStyle w:val="NormalWeb"/>
        <w:spacing w:before="0" w:beforeAutospacing="0"/>
        <w:rPr>
          <w:rFonts w:ascii="Arial" w:hAnsi="Arial" w:cs="Arial"/>
          <w:b/>
        </w:rPr>
      </w:pPr>
      <w:r w:rsidRPr="00E92120">
        <w:rPr>
          <w:rFonts w:ascii="Arial" w:hAnsi="Arial" w:cs="Arial"/>
          <w:bCs/>
          <w:iCs/>
        </w:rPr>
        <w:t xml:space="preserve"> </w:t>
      </w:r>
      <w:r>
        <w:rPr>
          <w:rFonts w:ascii="Arial" w:hAnsi="Arial" w:cs="Arial"/>
          <w:bCs/>
          <w:iCs/>
        </w:rPr>
        <w:tab/>
      </w:r>
      <w:r w:rsidRPr="00E92120">
        <w:rPr>
          <w:rFonts w:ascii="Arial" w:hAnsi="Arial" w:cs="Arial"/>
          <w:bCs/>
          <w:iCs/>
        </w:rPr>
        <w:t xml:space="preserve">În vederea utilizării şi gestionării eficiente și durabile a resurselor de apă în județul </w:t>
      </w:r>
      <w:r w:rsidR="00217620">
        <w:rPr>
          <w:rFonts w:ascii="Arial" w:hAnsi="Arial" w:cs="Arial"/>
          <w:bCs/>
          <w:iCs/>
        </w:rPr>
        <w:t>Brăila</w:t>
      </w:r>
      <w:r w:rsidRPr="00E92120">
        <w:rPr>
          <w:rFonts w:ascii="Arial" w:hAnsi="Arial" w:cs="Arial"/>
          <w:bCs/>
          <w:iCs/>
        </w:rPr>
        <w:t xml:space="preserve"> se află în implementare </w:t>
      </w:r>
      <w:r w:rsidRPr="00E92120">
        <w:rPr>
          <w:rFonts w:ascii="Arial" w:hAnsi="Arial" w:cs="Arial"/>
        </w:rPr>
        <w:t xml:space="preserve">Proiectul: </w:t>
      </w:r>
      <w:r w:rsidRPr="00E92120">
        <w:rPr>
          <w:rFonts w:ascii="Arial" w:hAnsi="Arial" w:cs="Arial"/>
          <w:b/>
        </w:rPr>
        <w:t xml:space="preserve">"Reabilitarea și modernizarea sistemelor de apă și apă uzată în judetul </w:t>
      </w:r>
      <w:r w:rsidR="007C1699">
        <w:rPr>
          <w:rFonts w:ascii="Arial" w:hAnsi="Arial" w:cs="Arial"/>
          <w:b/>
        </w:rPr>
        <w:t>B</w:t>
      </w:r>
      <w:r w:rsidR="00921973">
        <w:rPr>
          <w:rFonts w:ascii="Arial" w:hAnsi="Arial" w:cs="Arial"/>
          <w:b/>
        </w:rPr>
        <w:t>ră</w:t>
      </w:r>
      <w:r w:rsidRPr="00E92120">
        <w:rPr>
          <w:rFonts w:ascii="Arial" w:hAnsi="Arial" w:cs="Arial"/>
          <w:b/>
        </w:rPr>
        <w:t>ila".</w:t>
      </w:r>
    </w:p>
    <w:p w:rsidR="007551D0" w:rsidRPr="00E92120" w:rsidRDefault="007551D0" w:rsidP="00921973">
      <w:pPr>
        <w:pStyle w:val="NormalWeb"/>
        <w:spacing w:before="0" w:beforeAutospacing="0"/>
        <w:rPr>
          <w:rFonts w:ascii="Arial" w:hAnsi="Arial" w:cs="Arial"/>
        </w:rPr>
      </w:pPr>
      <w:r w:rsidRPr="00E92120">
        <w:rPr>
          <w:rFonts w:ascii="Arial" w:hAnsi="Arial" w:cs="Arial"/>
        </w:rPr>
        <w:t xml:space="preserve">       Beneficiarul Proiectului: S.C.Compania de Utilitați Publice Dunarea </w:t>
      </w:r>
      <w:r w:rsidR="00217620">
        <w:rPr>
          <w:rFonts w:ascii="Arial" w:hAnsi="Arial" w:cs="Arial"/>
        </w:rPr>
        <w:t>Brăila</w:t>
      </w:r>
      <w:r w:rsidRPr="00E92120">
        <w:rPr>
          <w:rFonts w:ascii="Arial" w:hAnsi="Arial" w:cs="Arial"/>
        </w:rPr>
        <w:t xml:space="preserve"> S.A.</w:t>
      </w:r>
    </w:p>
    <w:p w:rsidR="007551D0" w:rsidRPr="00E92120" w:rsidRDefault="007551D0" w:rsidP="00921973">
      <w:pPr>
        <w:pStyle w:val="NormalWeb"/>
        <w:spacing w:before="0" w:beforeAutospacing="0"/>
        <w:rPr>
          <w:rFonts w:ascii="Arial" w:hAnsi="Arial" w:cs="Arial"/>
        </w:rPr>
      </w:pPr>
      <w:r w:rsidRPr="00E92120">
        <w:rPr>
          <w:rFonts w:ascii="Arial" w:hAnsi="Arial" w:cs="Arial"/>
        </w:rPr>
        <w:t>       Valoarea totală a Proiectului (fără TVA): 408.828.226 lei</w:t>
      </w:r>
    </w:p>
    <w:p w:rsidR="007551D0" w:rsidRPr="00E92120" w:rsidRDefault="007551D0" w:rsidP="00921973">
      <w:pPr>
        <w:pStyle w:val="NormalWeb"/>
        <w:spacing w:before="0" w:beforeAutospacing="0"/>
        <w:rPr>
          <w:rFonts w:ascii="Arial" w:hAnsi="Arial" w:cs="Arial"/>
        </w:rPr>
      </w:pPr>
      <w:r w:rsidRPr="00E92120">
        <w:rPr>
          <w:rFonts w:ascii="Arial" w:hAnsi="Arial" w:cs="Arial"/>
        </w:rPr>
        <w:t xml:space="preserve">       Aria deservită de Proiect: Județul </w:t>
      </w:r>
      <w:r w:rsidR="007C1699">
        <w:rPr>
          <w:rFonts w:ascii="Arial" w:hAnsi="Arial" w:cs="Arial"/>
        </w:rPr>
        <w:t>B</w:t>
      </w:r>
      <w:r w:rsidR="00921973">
        <w:rPr>
          <w:rFonts w:ascii="Arial" w:hAnsi="Arial" w:cs="Arial"/>
        </w:rPr>
        <w:t>ră</w:t>
      </w:r>
      <w:r w:rsidRPr="00E92120">
        <w:rPr>
          <w:rFonts w:ascii="Arial" w:hAnsi="Arial" w:cs="Arial"/>
        </w:rPr>
        <w:t>ila</w:t>
      </w:r>
    </w:p>
    <w:p w:rsidR="007551D0" w:rsidRPr="00E92120" w:rsidRDefault="007551D0" w:rsidP="00921973">
      <w:pPr>
        <w:pStyle w:val="NormalWeb"/>
        <w:spacing w:before="0" w:beforeAutospacing="0"/>
        <w:rPr>
          <w:rFonts w:ascii="Arial" w:hAnsi="Arial" w:cs="Arial"/>
        </w:rPr>
      </w:pPr>
    </w:p>
    <w:p w:rsidR="007551D0" w:rsidRPr="00E92120" w:rsidRDefault="007551D0" w:rsidP="00921973">
      <w:pPr>
        <w:pStyle w:val="NormalWeb"/>
        <w:spacing w:before="0" w:beforeAutospacing="0"/>
        <w:ind w:firstLine="708"/>
        <w:rPr>
          <w:rFonts w:ascii="Arial" w:hAnsi="Arial" w:cs="Arial"/>
        </w:rPr>
      </w:pPr>
      <w:r w:rsidRPr="00E92120">
        <w:rPr>
          <w:rFonts w:ascii="Arial" w:hAnsi="Arial" w:cs="Arial"/>
          <w:b/>
        </w:rPr>
        <w:lastRenderedPageBreak/>
        <w:t>Obiectivul general al Proiectului</w:t>
      </w:r>
      <w:r w:rsidRPr="00E92120">
        <w:rPr>
          <w:rFonts w:ascii="Arial" w:hAnsi="Arial" w:cs="Arial"/>
        </w:rPr>
        <w:t xml:space="preserve"> este acela de a contribui la îndeplinirea obiectivelor Axei Prioritare nr.1 din POS Mediu, prin derularea unor investiții specifice domeniului apei potabile și apei uzate în județul </w:t>
      </w:r>
      <w:r w:rsidR="00217620">
        <w:rPr>
          <w:rFonts w:ascii="Arial" w:hAnsi="Arial" w:cs="Arial"/>
        </w:rPr>
        <w:t>Brăila</w:t>
      </w:r>
      <w:r w:rsidRPr="00E92120">
        <w:rPr>
          <w:rFonts w:ascii="Arial" w:hAnsi="Arial" w:cs="Arial"/>
        </w:rPr>
        <w:t>, în vederea îndeplinirii obligațiilor de conformitate din POS Mediu, Tratatul de Aderare și mai ales din Directiva  Europeană 98/83/CE referitoare la calitatea apei potabile, transpusă în legislatia nationala prin Legea 311/2004 și Directiva 91/271/CE transpusă în legislația națională prin Hotărârea 352/2005, referitoare la tratarea apei uzate urbane.</w:t>
      </w:r>
    </w:p>
    <w:p w:rsidR="007551D0" w:rsidRPr="00E92120" w:rsidRDefault="007551D0" w:rsidP="00921973">
      <w:pPr>
        <w:pStyle w:val="NormalWeb"/>
        <w:spacing w:before="0" w:beforeAutospacing="0"/>
        <w:ind w:firstLine="708"/>
        <w:rPr>
          <w:rFonts w:ascii="Arial" w:hAnsi="Arial" w:cs="Arial"/>
        </w:rPr>
      </w:pPr>
      <w:r w:rsidRPr="00E92120">
        <w:rPr>
          <w:rStyle w:val="Strong"/>
          <w:rFonts w:ascii="Arial" w:eastAsia="SimSun" w:hAnsi="Arial" w:cs="Arial"/>
        </w:rPr>
        <w:t>Obiectivele specifice ale acestui Proiect</w:t>
      </w:r>
      <w:r w:rsidRPr="00E92120">
        <w:rPr>
          <w:rFonts w:ascii="Arial" w:hAnsi="Arial" w:cs="Arial"/>
        </w:rPr>
        <w:t xml:space="preserve"> sunt:</w:t>
      </w:r>
    </w:p>
    <w:p w:rsidR="007551D0" w:rsidRPr="00E92120" w:rsidRDefault="007551D0" w:rsidP="00921973">
      <w:pPr>
        <w:pStyle w:val="NormalWeb"/>
        <w:numPr>
          <w:ilvl w:val="0"/>
          <w:numId w:val="18"/>
        </w:numPr>
        <w:spacing w:before="0" w:beforeAutospacing="0"/>
        <w:rPr>
          <w:rFonts w:ascii="Arial" w:hAnsi="Arial" w:cs="Arial"/>
        </w:rPr>
      </w:pPr>
      <w:r w:rsidRPr="00E92120">
        <w:rPr>
          <w:rFonts w:ascii="Arial" w:hAnsi="Arial" w:cs="Arial"/>
        </w:rPr>
        <w:t xml:space="preserve">Asigurarea serviciilor de alimentare cu apă si canalizare adecvate, la </w:t>
      </w:r>
      <w:r w:rsidR="00921973">
        <w:rPr>
          <w:rFonts w:ascii="Arial" w:hAnsi="Arial" w:cs="Arial"/>
        </w:rPr>
        <w:t>tarife accesibile pentru populaț</w:t>
      </w:r>
      <w:r w:rsidRPr="00E92120">
        <w:rPr>
          <w:rFonts w:ascii="Arial" w:hAnsi="Arial" w:cs="Arial"/>
        </w:rPr>
        <w:t>ie</w:t>
      </w:r>
    </w:p>
    <w:p w:rsidR="007551D0" w:rsidRPr="00E92120" w:rsidRDefault="007551D0" w:rsidP="00921973">
      <w:pPr>
        <w:pStyle w:val="NormalWeb"/>
        <w:numPr>
          <w:ilvl w:val="0"/>
          <w:numId w:val="18"/>
        </w:numPr>
        <w:spacing w:before="0" w:beforeAutospacing="0"/>
        <w:rPr>
          <w:rFonts w:ascii="Arial" w:hAnsi="Arial" w:cs="Arial"/>
        </w:rPr>
      </w:pPr>
      <w:r w:rsidRPr="00E92120">
        <w:rPr>
          <w:rFonts w:ascii="Arial" w:hAnsi="Arial" w:cs="Arial"/>
        </w:rPr>
        <w:t>Asigurarea calității apei potabile în toate aglomerările urbane</w:t>
      </w:r>
    </w:p>
    <w:p w:rsidR="007551D0" w:rsidRPr="00E92120" w:rsidRDefault="007551D0" w:rsidP="00921973">
      <w:pPr>
        <w:pStyle w:val="NormalWeb"/>
        <w:numPr>
          <w:ilvl w:val="0"/>
          <w:numId w:val="18"/>
        </w:numPr>
        <w:spacing w:before="0" w:beforeAutospacing="0"/>
        <w:rPr>
          <w:rFonts w:ascii="Arial" w:hAnsi="Arial" w:cs="Arial"/>
        </w:rPr>
      </w:pPr>
      <w:r w:rsidRPr="00E92120">
        <w:rPr>
          <w:rFonts w:ascii="Arial" w:hAnsi="Arial" w:cs="Arial"/>
        </w:rPr>
        <w:t>Îmbunătățirea calității apei râurilor în care sunt deversate apele uzate provenite din aglomerările umane</w:t>
      </w:r>
    </w:p>
    <w:p w:rsidR="007551D0" w:rsidRPr="00E92120" w:rsidRDefault="007551D0" w:rsidP="00921973">
      <w:pPr>
        <w:pStyle w:val="NormalWeb"/>
        <w:numPr>
          <w:ilvl w:val="0"/>
          <w:numId w:val="18"/>
        </w:numPr>
        <w:spacing w:before="0" w:beforeAutospacing="0"/>
        <w:rPr>
          <w:rFonts w:ascii="Arial" w:hAnsi="Arial" w:cs="Arial"/>
        </w:rPr>
      </w:pPr>
      <w:r w:rsidRPr="00E92120">
        <w:rPr>
          <w:rFonts w:ascii="Arial" w:hAnsi="Arial" w:cs="Arial"/>
        </w:rPr>
        <w:t>Îmbunătățirea gestionării nămolului provenit din stațiile de epurare a apelor uzate</w:t>
      </w:r>
    </w:p>
    <w:p w:rsidR="007551D0" w:rsidRPr="00E92120" w:rsidRDefault="007551D0" w:rsidP="00921973">
      <w:pPr>
        <w:pStyle w:val="NormalWeb"/>
        <w:numPr>
          <w:ilvl w:val="0"/>
          <w:numId w:val="18"/>
        </w:numPr>
        <w:spacing w:before="0" w:beforeAutospacing="0"/>
        <w:rPr>
          <w:rFonts w:ascii="Arial" w:hAnsi="Arial" w:cs="Arial"/>
        </w:rPr>
      </w:pPr>
      <w:r w:rsidRPr="00E92120">
        <w:rPr>
          <w:rFonts w:ascii="Arial" w:hAnsi="Arial" w:cs="Arial"/>
        </w:rPr>
        <w:t>Crearea unor structuri eficiente de management al serviciilor de apă - apă uzată.</w:t>
      </w:r>
    </w:p>
    <w:p w:rsidR="007551D0" w:rsidRPr="00E92120" w:rsidRDefault="00921973" w:rsidP="00921973">
      <w:pPr>
        <w:pStyle w:val="NormalWeb"/>
        <w:spacing w:before="0" w:beforeAutospacing="0"/>
        <w:ind w:firstLine="360"/>
        <w:rPr>
          <w:rFonts w:ascii="Arial" w:hAnsi="Arial" w:cs="Arial"/>
        </w:rPr>
      </w:pPr>
      <w:r>
        <w:rPr>
          <w:rFonts w:ascii="Arial" w:hAnsi="Arial" w:cs="Arial"/>
          <w:b/>
        </w:rPr>
        <w:t xml:space="preserve">     </w:t>
      </w:r>
      <w:r w:rsidR="007551D0" w:rsidRPr="00E92120">
        <w:rPr>
          <w:rFonts w:ascii="Arial" w:hAnsi="Arial" w:cs="Arial"/>
          <w:b/>
        </w:rPr>
        <w:t xml:space="preserve">Proiectul </w:t>
      </w:r>
      <w:r w:rsidR="007551D0" w:rsidRPr="007C7C70">
        <w:rPr>
          <w:rFonts w:ascii="Arial" w:hAnsi="Arial" w:cs="Arial"/>
        </w:rPr>
        <w:t>constă în</w:t>
      </w:r>
      <w:r w:rsidR="007551D0" w:rsidRPr="00E92120">
        <w:rPr>
          <w:rFonts w:ascii="Arial" w:hAnsi="Arial" w:cs="Arial"/>
        </w:rPr>
        <w:t xml:space="preserve"> măsuri de extindere și reabilitare a surselor de apă, a conductelor de transport și stațiilor de tratare a apei, extinderea și reabilitarea rezervoarelor de </w:t>
      </w:r>
      <w:r>
        <w:rPr>
          <w:rFonts w:ascii="Arial" w:hAnsi="Arial" w:cs="Arial"/>
        </w:rPr>
        <w:t>apă, a stațiilor de pompare, reț</w:t>
      </w:r>
      <w:r w:rsidR="007551D0" w:rsidRPr="00E92120">
        <w:rPr>
          <w:rFonts w:ascii="Arial" w:hAnsi="Arial" w:cs="Arial"/>
        </w:rPr>
        <w:t>elelor de distribuție și contoare de apă, precum și extinderea și reabilitarea sistemelor de colectare a apei uzate și reabilitarea a doua stații de epurare pentru 22.500 și respectiv 20.000 locuitori populație echivalentă.</w:t>
      </w:r>
    </w:p>
    <w:p w:rsidR="007551D0" w:rsidRPr="00E92120" w:rsidRDefault="00921973" w:rsidP="00921973">
      <w:pPr>
        <w:pStyle w:val="NormalWeb"/>
        <w:spacing w:before="0" w:beforeAutospacing="0"/>
        <w:ind w:firstLine="360"/>
        <w:rPr>
          <w:rFonts w:ascii="Arial" w:hAnsi="Arial" w:cs="Arial"/>
        </w:rPr>
      </w:pPr>
      <w:r>
        <w:rPr>
          <w:rFonts w:ascii="Arial" w:hAnsi="Arial" w:cs="Arial"/>
        </w:rPr>
        <w:t xml:space="preserve">      </w:t>
      </w:r>
      <w:r w:rsidR="007551D0" w:rsidRPr="00E92120">
        <w:rPr>
          <w:rFonts w:ascii="Arial" w:hAnsi="Arial" w:cs="Arial"/>
        </w:rPr>
        <w:t xml:space="preserve">Prin Proiect 17.138 locuitori din judetul </w:t>
      </w:r>
      <w:r w:rsidR="00217620">
        <w:rPr>
          <w:rFonts w:ascii="Arial" w:hAnsi="Arial" w:cs="Arial"/>
        </w:rPr>
        <w:t>Brăila</w:t>
      </w:r>
      <w:r w:rsidR="007551D0" w:rsidRPr="00E92120">
        <w:rPr>
          <w:rFonts w:ascii="Arial" w:hAnsi="Arial" w:cs="Arial"/>
        </w:rPr>
        <w:t xml:space="preserve"> vor fi conectatați suplimentar la rețeaua de apă potabilă in cele 5 sisteme zonale de apă, astfel 99% din populația din aria Proiectului având acces la surse de apă în condiții de siguranță.</w:t>
      </w:r>
    </w:p>
    <w:p w:rsidR="007551D0" w:rsidRDefault="00921973" w:rsidP="00921973">
      <w:pPr>
        <w:pStyle w:val="NormalWeb"/>
        <w:spacing w:before="0" w:beforeAutospacing="0"/>
        <w:ind w:firstLine="360"/>
        <w:rPr>
          <w:rFonts w:ascii="Arial" w:hAnsi="Arial" w:cs="Arial"/>
        </w:rPr>
      </w:pPr>
      <w:r>
        <w:rPr>
          <w:rFonts w:ascii="Arial" w:hAnsi="Arial" w:cs="Arial"/>
        </w:rPr>
        <w:t xml:space="preserve">      </w:t>
      </w:r>
      <w:r w:rsidR="007551D0" w:rsidRPr="00E92120">
        <w:rPr>
          <w:rFonts w:ascii="Arial" w:hAnsi="Arial" w:cs="Arial"/>
        </w:rPr>
        <w:t>Rata de conectare la sistemul de canalizare va atinge o medie de 99%, un număr de 55.651 locuitori conectându-se suplimentar la sistemul de apă uzată, în cele 6 aglomerări.</w:t>
      </w:r>
    </w:p>
    <w:p w:rsidR="007551D0" w:rsidRPr="00E92120" w:rsidRDefault="007551D0" w:rsidP="00921973">
      <w:pPr>
        <w:pStyle w:val="NormalWeb"/>
        <w:spacing w:before="0" w:beforeAutospacing="0"/>
        <w:rPr>
          <w:rFonts w:ascii="Arial" w:hAnsi="Arial" w:cs="Arial"/>
          <w:b/>
          <w:bCs/>
        </w:rPr>
      </w:pPr>
    </w:p>
    <w:p w:rsidR="007551D0" w:rsidRPr="00AC5ECD" w:rsidRDefault="007551D0" w:rsidP="00921973">
      <w:pPr>
        <w:spacing w:line="240" w:lineRule="auto"/>
        <w:jc w:val="both"/>
        <w:rPr>
          <w:rFonts w:ascii="Arial" w:hAnsi="Arial" w:cs="Arial"/>
          <w:b/>
          <w:bCs/>
          <w:sz w:val="24"/>
          <w:szCs w:val="24"/>
        </w:rPr>
      </w:pPr>
      <w:r>
        <w:rPr>
          <w:rFonts w:ascii="Arial" w:hAnsi="Arial" w:cs="Arial"/>
          <w:b/>
          <w:bCs/>
          <w:sz w:val="24"/>
          <w:szCs w:val="24"/>
        </w:rPr>
        <w:t xml:space="preserve">   </w:t>
      </w:r>
      <w:r w:rsidRPr="00AC5ECD">
        <w:rPr>
          <w:rFonts w:ascii="Arial" w:hAnsi="Arial" w:cs="Arial"/>
          <w:b/>
          <w:bCs/>
          <w:sz w:val="24"/>
          <w:szCs w:val="24"/>
        </w:rPr>
        <w:t>II.2. Calitatea apei</w:t>
      </w:r>
    </w:p>
    <w:p w:rsidR="007551D0" w:rsidRPr="00E92120" w:rsidRDefault="007551D0" w:rsidP="00921973">
      <w:pPr>
        <w:pStyle w:val="Default"/>
        <w:jc w:val="both"/>
        <w:rPr>
          <w:rFonts w:ascii="Arial" w:hAnsi="Arial" w:cs="Arial"/>
          <w:color w:val="auto"/>
        </w:rPr>
      </w:pPr>
      <w:r w:rsidRPr="00E92120">
        <w:rPr>
          <w:rFonts w:ascii="Arial" w:hAnsi="Arial" w:cs="Arial"/>
          <w:b/>
          <w:bCs/>
          <w:color w:val="auto"/>
        </w:rPr>
        <w:t xml:space="preserve">    II.2.1. </w:t>
      </w:r>
      <w:r w:rsidRPr="00E92120">
        <w:rPr>
          <w:rFonts w:ascii="Arial" w:hAnsi="Arial" w:cs="Arial"/>
          <w:b/>
          <w:bCs/>
          <w:i/>
          <w:iCs/>
          <w:color w:val="auto"/>
        </w:rPr>
        <w:t xml:space="preserve">Calitatea apei: stare şi consecinţe </w:t>
      </w:r>
    </w:p>
    <w:p w:rsidR="007551D0" w:rsidRPr="00E92120" w:rsidRDefault="007551D0" w:rsidP="00921973">
      <w:pPr>
        <w:pStyle w:val="Default"/>
        <w:jc w:val="both"/>
        <w:rPr>
          <w:rFonts w:ascii="Arial" w:hAnsi="Arial" w:cs="Arial"/>
          <w:color w:val="auto"/>
        </w:rPr>
      </w:pPr>
      <w:r w:rsidRPr="00E92120">
        <w:rPr>
          <w:rFonts w:ascii="Arial" w:hAnsi="Arial" w:cs="Arial"/>
          <w:color w:val="auto"/>
        </w:rPr>
        <w:t xml:space="preserve">Stabilirea stării ecologice a corpurilor de apă (apă de suprafaţă, apă subterană şi apă de îmbăiere) se realizează pe baza următorilor </w:t>
      </w:r>
      <w:r w:rsidRPr="00E92120">
        <w:rPr>
          <w:rFonts w:ascii="Arial" w:hAnsi="Arial" w:cs="Arial"/>
          <w:i/>
          <w:iCs/>
          <w:color w:val="auto"/>
        </w:rPr>
        <w:t xml:space="preserve">indicatori specifici </w:t>
      </w:r>
      <w:r w:rsidRPr="00E92120">
        <w:rPr>
          <w:rFonts w:ascii="Arial" w:hAnsi="Arial" w:cs="Arial"/>
          <w:color w:val="auto"/>
        </w:rPr>
        <w:t xml:space="preserve">ai Agenţiei Europene de Mediu: </w:t>
      </w:r>
    </w:p>
    <w:p w:rsidR="007551D0" w:rsidRPr="00E92120" w:rsidRDefault="007551D0" w:rsidP="007551D0">
      <w:pPr>
        <w:pStyle w:val="Default"/>
        <w:ind w:firstLine="720"/>
        <w:rPr>
          <w:rFonts w:ascii="Arial" w:hAnsi="Arial" w:cs="Arial"/>
          <w:color w:val="auto"/>
        </w:rPr>
      </w:pPr>
    </w:p>
    <w:tbl>
      <w:tblPr>
        <w:tblW w:w="0" w:type="auto"/>
        <w:jc w:val="center"/>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
        <w:gridCol w:w="4678"/>
        <w:gridCol w:w="1510"/>
        <w:gridCol w:w="1444"/>
      </w:tblGrid>
      <w:tr w:rsidR="007551D0" w:rsidRPr="00E92120" w:rsidTr="00DB2B5E">
        <w:trPr>
          <w:trHeight w:val="361"/>
          <w:jc w:val="center"/>
        </w:trPr>
        <w:tc>
          <w:tcPr>
            <w:tcW w:w="1141" w:type="dxa"/>
            <w:shd w:val="clear" w:color="auto" w:fill="FBD4B4" w:themeFill="accent6" w:themeFillTint="66"/>
          </w:tcPr>
          <w:p w:rsidR="007551D0" w:rsidRPr="00E92120" w:rsidRDefault="007551D0" w:rsidP="00DB2B5E">
            <w:pPr>
              <w:pStyle w:val="Default"/>
              <w:rPr>
                <w:rFonts w:ascii="Arial" w:hAnsi="Arial" w:cs="Arial"/>
                <w:color w:val="auto"/>
              </w:rPr>
            </w:pPr>
            <w:r w:rsidRPr="00E92120">
              <w:rPr>
                <w:rFonts w:ascii="Arial" w:hAnsi="Arial" w:cs="Arial"/>
                <w:b/>
                <w:bCs/>
                <w:i/>
                <w:iCs/>
                <w:color w:val="auto"/>
              </w:rPr>
              <w:t xml:space="preserve">Cod </w:t>
            </w:r>
          </w:p>
        </w:tc>
        <w:tc>
          <w:tcPr>
            <w:tcW w:w="4678" w:type="dxa"/>
            <w:shd w:val="clear" w:color="auto" w:fill="FBD4B4" w:themeFill="accent6" w:themeFillTint="66"/>
          </w:tcPr>
          <w:p w:rsidR="007551D0" w:rsidRPr="00E92120" w:rsidRDefault="007551D0" w:rsidP="00DB2B5E">
            <w:pPr>
              <w:pStyle w:val="Default"/>
              <w:rPr>
                <w:rFonts w:ascii="Arial" w:hAnsi="Arial" w:cs="Arial"/>
                <w:color w:val="auto"/>
              </w:rPr>
            </w:pPr>
            <w:r w:rsidRPr="00E92120">
              <w:rPr>
                <w:rFonts w:ascii="Arial" w:hAnsi="Arial" w:cs="Arial"/>
                <w:b/>
                <w:bCs/>
                <w:i/>
                <w:iCs/>
                <w:color w:val="auto"/>
              </w:rPr>
              <w:t xml:space="preserve">Denumire </w:t>
            </w:r>
          </w:p>
        </w:tc>
        <w:tc>
          <w:tcPr>
            <w:tcW w:w="1397" w:type="dxa"/>
            <w:shd w:val="clear" w:color="auto" w:fill="FBD4B4" w:themeFill="accent6" w:themeFillTint="66"/>
          </w:tcPr>
          <w:p w:rsidR="007551D0" w:rsidRPr="00E92120" w:rsidRDefault="007551D0" w:rsidP="00DB2B5E">
            <w:pPr>
              <w:pStyle w:val="Default"/>
              <w:rPr>
                <w:rFonts w:ascii="Arial" w:hAnsi="Arial" w:cs="Arial"/>
                <w:color w:val="auto"/>
              </w:rPr>
            </w:pPr>
            <w:r w:rsidRPr="00E92120">
              <w:rPr>
                <w:rFonts w:ascii="Arial" w:hAnsi="Arial" w:cs="Arial"/>
                <w:b/>
                <w:bCs/>
                <w:color w:val="auto"/>
              </w:rPr>
              <w:t xml:space="preserve">Tip </w:t>
            </w:r>
          </w:p>
        </w:tc>
        <w:tc>
          <w:tcPr>
            <w:tcW w:w="1444" w:type="dxa"/>
            <w:shd w:val="clear" w:color="auto" w:fill="FBD4B4" w:themeFill="accent6" w:themeFillTint="66"/>
          </w:tcPr>
          <w:p w:rsidR="007551D0" w:rsidRPr="00E92120" w:rsidRDefault="007551D0" w:rsidP="00DB2B5E">
            <w:pPr>
              <w:pStyle w:val="Default"/>
              <w:rPr>
                <w:rFonts w:ascii="Arial" w:hAnsi="Arial" w:cs="Arial"/>
                <w:color w:val="auto"/>
              </w:rPr>
            </w:pPr>
            <w:r w:rsidRPr="00E92120">
              <w:rPr>
                <w:rFonts w:ascii="Arial" w:hAnsi="Arial" w:cs="Arial"/>
                <w:b/>
                <w:bCs/>
                <w:color w:val="auto"/>
              </w:rPr>
              <w:t xml:space="preserve">Categorie </w:t>
            </w:r>
          </w:p>
        </w:tc>
      </w:tr>
      <w:tr w:rsidR="007551D0" w:rsidRPr="00E92120" w:rsidTr="00DB2B5E">
        <w:trPr>
          <w:trHeight w:val="361"/>
          <w:jc w:val="center"/>
        </w:trPr>
        <w:tc>
          <w:tcPr>
            <w:tcW w:w="1141"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WEC 04 </w:t>
            </w:r>
          </w:p>
        </w:tc>
        <w:tc>
          <w:tcPr>
            <w:tcW w:w="4678"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Scheme de clasificare a cursurilor de apă </w:t>
            </w:r>
          </w:p>
        </w:tc>
        <w:tc>
          <w:tcPr>
            <w:tcW w:w="1397"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 impact </w:t>
            </w:r>
          </w:p>
        </w:tc>
      </w:tr>
      <w:tr w:rsidR="007551D0" w:rsidRPr="00E92120" w:rsidTr="00DB2B5E">
        <w:trPr>
          <w:trHeight w:val="478"/>
          <w:jc w:val="center"/>
        </w:trPr>
        <w:tc>
          <w:tcPr>
            <w:tcW w:w="1141" w:type="dxa"/>
            <w:shd w:val="clear" w:color="auto" w:fill="FDE9D9" w:themeFill="accent6" w:themeFillTint="33"/>
          </w:tcPr>
          <w:p w:rsidR="007551D0" w:rsidRPr="00E92120" w:rsidRDefault="007551D0" w:rsidP="00DB2B5E">
            <w:pPr>
              <w:pStyle w:val="Default"/>
              <w:rPr>
                <w:rFonts w:ascii="Arial" w:hAnsi="Arial" w:cs="Arial"/>
                <w:color w:val="auto"/>
              </w:rPr>
            </w:pPr>
          </w:p>
          <w:p w:rsidR="007551D0" w:rsidRPr="00E92120" w:rsidRDefault="007551D0" w:rsidP="00DB2B5E">
            <w:pPr>
              <w:pStyle w:val="Default"/>
              <w:rPr>
                <w:rFonts w:ascii="Arial" w:hAnsi="Arial" w:cs="Arial"/>
                <w:color w:val="auto"/>
              </w:rPr>
            </w:pPr>
            <w:r w:rsidRPr="00E92120">
              <w:rPr>
                <w:rFonts w:ascii="Arial" w:hAnsi="Arial" w:cs="Arial"/>
                <w:color w:val="auto"/>
              </w:rPr>
              <w:t xml:space="preserve">CSI 19 </w:t>
            </w:r>
          </w:p>
        </w:tc>
        <w:tc>
          <w:tcPr>
            <w:tcW w:w="4678"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Substanţele consumatoare de oxigen din cursurile de apă </w:t>
            </w:r>
          </w:p>
        </w:tc>
        <w:tc>
          <w:tcPr>
            <w:tcW w:w="1397"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 stare </w:t>
            </w:r>
          </w:p>
        </w:tc>
      </w:tr>
      <w:tr w:rsidR="007551D0" w:rsidRPr="00E92120" w:rsidTr="00DB2B5E">
        <w:trPr>
          <w:trHeight w:val="361"/>
          <w:jc w:val="center"/>
        </w:trPr>
        <w:tc>
          <w:tcPr>
            <w:tcW w:w="1141"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CSI 20 </w:t>
            </w:r>
          </w:p>
        </w:tc>
        <w:tc>
          <w:tcPr>
            <w:tcW w:w="4678"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Nutrienţii din apa dulce </w:t>
            </w:r>
          </w:p>
        </w:tc>
        <w:tc>
          <w:tcPr>
            <w:tcW w:w="1397"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 stare </w:t>
            </w:r>
          </w:p>
        </w:tc>
      </w:tr>
      <w:tr w:rsidR="007551D0" w:rsidRPr="00E92120" w:rsidTr="00DB2B5E">
        <w:trPr>
          <w:trHeight w:val="361"/>
          <w:jc w:val="center"/>
        </w:trPr>
        <w:tc>
          <w:tcPr>
            <w:tcW w:w="1141"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WHS 02 </w:t>
            </w:r>
          </w:p>
        </w:tc>
        <w:tc>
          <w:tcPr>
            <w:tcW w:w="4678"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Substanţele periculoase din cursurile de apă </w:t>
            </w:r>
          </w:p>
        </w:tc>
        <w:tc>
          <w:tcPr>
            <w:tcW w:w="1397"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 stare </w:t>
            </w:r>
          </w:p>
        </w:tc>
      </w:tr>
      <w:tr w:rsidR="007551D0" w:rsidRPr="00E92120" w:rsidTr="00DB2B5E">
        <w:trPr>
          <w:trHeight w:val="361"/>
          <w:jc w:val="center"/>
        </w:trPr>
        <w:tc>
          <w:tcPr>
            <w:tcW w:w="1141"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WHS 03 </w:t>
            </w:r>
          </w:p>
        </w:tc>
        <w:tc>
          <w:tcPr>
            <w:tcW w:w="4678"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Substanţele periculoase din lacuri </w:t>
            </w:r>
          </w:p>
        </w:tc>
        <w:tc>
          <w:tcPr>
            <w:tcW w:w="1397"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 stare </w:t>
            </w:r>
          </w:p>
        </w:tc>
      </w:tr>
      <w:tr w:rsidR="007551D0" w:rsidRPr="00E92120" w:rsidTr="00DB2B5E">
        <w:trPr>
          <w:trHeight w:val="361"/>
          <w:jc w:val="center"/>
        </w:trPr>
        <w:tc>
          <w:tcPr>
            <w:tcW w:w="1141"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WHS 01 </w:t>
            </w:r>
          </w:p>
        </w:tc>
        <w:tc>
          <w:tcPr>
            <w:tcW w:w="4678"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Pesticidele din apele subterane </w:t>
            </w:r>
          </w:p>
        </w:tc>
        <w:tc>
          <w:tcPr>
            <w:tcW w:w="1397"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descriptiv </w:t>
            </w:r>
          </w:p>
        </w:tc>
        <w:tc>
          <w:tcPr>
            <w:tcW w:w="1444"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 stare </w:t>
            </w:r>
          </w:p>
        </w:tc>
      </w:tr>
      <w:tr w:rsidR="007551D0" w:rsidRPr="00E92120" w:rsidTr="00DB2B5E">
        <w:trPr>
          <w:trHeight w:val="370"/>
          <w:jc w:val="center"/>
        </w:trPr>
        <w:tc>
          <w:tcPr>
            <w:tcW w:w="1141"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CSI 22 </w:t>
            </w:r>
          </w:p>
        </w:tc>
        <w:tc>
          <w:tcPr>
            <w:tcW w:w="4678"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Calitatea apelor de îmbăiere </w:t>
            </w:r>
          </w:p>
        </w:tc>
        <w:tc>
          <w:tcPr>
            <w:tcW w:w="1397"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 performanţă </w:t>
            </w:r>
          </w:p>
        </w:tc>
        <w:tc>
          <w:tcPr>
            <w:tcW w:w="1444"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Indicator de stare </w:t>
            </w:r>
          </w:p>
        </w:tc>
      </w:tr>
    </w:tbl>
    <w:p w:rsidR="007551D0" w:rsidRPr="00E92120" w:rsidRDefault="007551D0" w:rsidP="007551D0">
      <w:pPr>
        <w:pStyle w:val="Default"/>
        <w:rPr>
          <w:rFonts w:ascii="Arial" w:hAnsi="Arial" w:cs="Arial"/>
          <w:b/>
          <w:bCs/>
          <w:color w:val="auto"/>
        </w:rPr>
      </w:pPr>
    </w:p>
    <w:p w:rsidR="007551D0" w:rsidRPr="00E92120" w:rsidRDefault="007551D0" w:rsidP="007551D0">
      <w:pPr>
        <w:pStyle w:val="Default"/>
        <w:rPr>
          <w:rFonts w:ascii="Arial" w:hAnsi="Arial" w:cs="Arial"/>
          <w:b/>
          <w:bCs/>
          <w:color w:val="auto"/>
        </w:rPr>
      </w:pPr>
    </w:p>
    <w:p w:rsidR="007551D0" w:rsidRDefault="007551D0" w:rsidP="007551D0">
      <w:pPr>
        <w:pStyle w:val="Default"/>
        <w:rPr>
          <w:rFonts w:ascii="Arial" w:hAnsi="Arial" w:cs="Arial"/>
          <w:b/>
          <w:bCs/>
          <w:color w:val="auto"/>
        </w:rPr>
      </w:pPr>
      <w:r w:rsidRPr="00E92120">
        <w:rPr>
          <w:rFonts w:ascii="Arial" w:hAnsi="Arial" w:cs="Arial"/>
          <w:b/>
          <w:bCs/>
          <w:color w:val="auto"/>
        </w:rPr>
        <w:t xml:space="preserve">    II.2.1.1. Calitatea apei cursurilor de apă </w:t>
      </w:r>
    </w:p>
    <w:p w:rsidR="007551D0" w:rsidRPr="00E92120" w:rsidRDefault="007551D0" w:rsidP="007551D0">
      <w:pPr>
        <w:pStyle w:val="Default"/>
        <w:rPr>
          <w:rFonts w:ascii="Arial" w:hAnsi="Arial" w:cs="Arial"/>
          <w:color w:val="auto"/>
        </w:rPr>
      </w:pPr>
    </w:p>
    <w:p w:rsidR="007551D0" w:rsidRDefault="007551D0" w:rsidP="007551D0">
      <w:pPr>
        <w:pStyle w:val="Default"/>
        <w:ind w:firstLine="708"/>
        <w:jc w:val="both"/>
        <w:rPr>
          <w:rFonts w:ascii="Arial" w:hAnsi="Arial" w:cs="Arial"/>
          <w:color w:val="auto"/>
        </w:rPr>
      </w:pPr>
      <w:r w:rsidRPr="00E92120">
        <w:rPr>
          <w:rFonts w:ascii="Arial" w:hAnsi="Arial" w:cs="Arial"/>
          <w:color w:val="auto"/>
        </w:rPr>
        <w:lastRenderedPageBreak/>
        <w:t xml:space="preserve">În România, schema de clasificare a cursurilor de apă este de tip combinat şi se bazează pe elementele de calitate biologică, chimică şi fizico-chimică stipulate de O.M. nr. 161/2006 pentru aprobarea Normativului privind clasificarea calităţii apelor de suprafaţă în vederea stabilirii stării ecologice a corpurilor de apă. </w:t>
      </w:r>
    </w:p>
    <w:p w:rsidR="007551D0" w:rsidRPr="00E92120" w:rsidRDefault="007551D0" w:rsidP="007551D0">
      <w:pPr>
        <w:pStyle w:val="Default"/>
        <w:jc w:val="both"/>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9"/>
        <w:gridCol w:w="1871"/>
        <w:gridCol w:w="1631"/>
      </w:tblGrid>
      <w:tr w:rsidR="007551D0" w:rsidRPr="00E92120" w:rsidTr="00DB2B5E">
        <w:trPr>
          <w:trHeight w:val="382"/>
          <w:jc w:val="center"/>
        </w:trPr>
        <w:tc>
          <w:tcPr>
            <w:tcW w:w="2099" w:type="dxa"/>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Clasa de calitate </w:t>
            </w:r>
          </w:p>
        </w:tc>
        <w:tc>
          <w:tcPr>
            <w:tcW w:w="0" w:type="auto"/>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Stare ecologică </w:t>
            </w:r>
          </w:p>
        </w:tc>
        <w:tc>
          <w:tcPr>
            <w:tcW w:w="0" w:type="auto"/>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Cod de culori </w:t>
            </w:r>
          </w:p>
        </w:tc>
      </w:tr>
      <w:tr w:rsidR="007551D0" w:rsidRPr="00E92120" w:rsidTr="00DB2B5E">
        <w:trPr>
          <w:trHeight w:val="254"/>
          <w:jc w:val="center"/>
        </w:trPr>
        <w:tc>
          <w:tcPr>
            <w:tcW w:w="2099" w:type="dxa"/>
            <w:shd w:val="clear" w:color="auto" w:fill="FDE9D9" w:themeFill="accent6" w:themeFillTint="33"/>
          </w:tcPr>
          <w:p w:rsidR="007551D0" w:rsidRPr="00E92120" w:rsidRDefault="007551D0" w:rsidP="00DB2B5E">
            <w:pPr>
              <w:pStyle w:val="Default"/>
              <w:jc w:val="center"/>
              <w:rPr>
                <w:rFonts w:ascii="Arial" w:hAnsi="Arial" w:cs="Arial"/>
                <w:color w:val="auto"/>
              </w:rPr>
            </w:pPr>
            <w:r w:rsidRPr="00E92120">
              <w:rPr>
                <w:rFonts w:ascii="Arial" w:hAnsi="Arial" w:cs="Arial"/>
                <w:color w:val="auto"/>
              </w:rPr>
              <w:t>I</w:t>
            </w:r>
          </w:p>
        </w:tc>
        <w:tc>
          <w:tcPr>
            <w:tcW w:w="0" w:type="auto"/>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Foarte bună </w:t>
            </w:r>
          </w:p>
        </w:tc>
        <w:tc>
          <w:tcPr>
            <w:tcW w:w="0" w:type="auto"/>
            <w:shd w:val="clear" w:color="auto" w:fill="0070C0"/>
          </w:tcPr>
          <w:p w:rsidR="007551D0" w:rsidRPr="00E92120" w:rsidRDefault="007551D0" w:rsidP="00DB2B5E">
            <w:pPr>
              <w:pStyle w:val="Default"/>
              <w:rPr>
                <w:rFonts w:ascii="Arial" w:hAnsi="Arial" w:cs="Arial"/>
                <w:color w:val="auto"/>
              </w:rPr>
            </w:pPr>
          </w:p>
        </w:tc>
      </w:tr>
      <w:tr w:rsidR="007551D0" w:rsidRPr="00E92120" w:rsidTr="00DB2B5E">
        <w:trPr>
          <w:trHeight w:val="304"/>
          <w:jc w:val="center"/>
        </w:trPr>
        <w:tc>
          <w:tcPr>
            <w:tcW w:w="2099" w:type="dxa"/>
            <w:shd w:val="clear" w:color="auto" w:fill="FDE9D9" w:themeFill="accent6" w:themeFillTint="33"/>
          </w:tcPr>
          <w:p w:rsidR="007551D0" w:rsidRPr="00E92120" w:rsidRDefault="007551D0" w:rsidP="00DB2B5E">
            <w:pPr>
              <w:pStyle w:val="Default"/>
              <w:jc w:val="center"/>
              <w:rPr>
                <w:rFonts w:ascii="Arial" w:hAnsi="Arial" w:cs="Arial"/>
                <w:color w:val="auto"/>
              </w:rPr>
            </w:pPr>
            <w:r w:rsidRPr="00E92120">
              <w:rPr>
                <w:rFonts w:ascii="Arial" w:hAnsi="Arial" w:cs="Arial"/>
                <w:color w:val="auto"/>
              </w:rPr>
              <w:t>II</w:t>
            </w:r>
          </w:p>
        </w:tc>
        <w:tc>
          <w:tcPr>
            <w:tcW w:w="0" w:type="auto"/>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Bună </w:t>
            </w:r>
          </w:p>
        </w:tc>
        <w:tc>
          <w:tcPr>
            <w:tcW w:w="0" w:type="auto"/>
            <w:shd w:val="clear" w:color="auto" w:fill="00B050"/>
          </w:tcPr>
          <w:p w:rsidR="007551D0" w:rsidRPr="00E92120" w:rsidRDefault="007551D0" w:rsidP="00DB2B5E">
            <w:pPr>
              <w:pStyle w:val="Default"/>
              <w:rPr>
                <w:rFonts w:ascii="Arial" w:hAnsi="Arial" w:cs="Arial"/>
                <w:color w:val="auto"/>
              </w:rPr>
            </w:pPr>
          </w:p>
        </w:tc>
      </w:tr>
      <w:tr w:rsidR="007551D0" w:rsidRPr="00E92120" w:rsidTr="00DB2B5E">
        <w:trPr>
          <w:trHeight w:val="305"/>
          <w:jc w:val="center"/>
        </w:trPr>
        <w:tc>
          <w:tcPr>
            <w:tcW w:w="2099" w:type="dxa"/>
            <w:shd w:val="clear" w:color="auto" w:fill="FDE9D9" w:themeFill="accent6" w:themeFillTint="33"/>
          </w:tcPr>
          <w:p w:rsidR="007551D0" w:rsidRPr="00E92120" w:rsidRDefault="007551D0" w:rsidP="00DB2B5E">
            <w:pPr>
              <w:pStyle w:val="Default"/>
              <w:jc w:val="center"/>
              <w:rPr>
                <w:rFonts w:ascii="Arial" w:hAnsi="Arial" w:cs="Arial"/>
                <w:color w:val="auto"/>
              </w:rPr>
            </w:pPr>
            <w:r w:rsidRPr="00E92120">
              <w:rPr>
                <w:rFonts w:ascii="Arial" w:hAnsi="Arial" w:cs="Arial"/>
                <w:color w:val="auto"/>
              </w:rPr>
              <w:t>III</w:t>
            </w:r>
          </w:p>
        </w:tc>
        <w:tc>
          <w:tcPr>
            <w:tcW w:w="0" w:type="auto"/>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Moderată </w:t>
            </w:r>
          </w:p>
        </w:tc>
        <w:tc>
          <w:tcPr>
            <w:tcW w:w="0" w:type="auto"/>
            <w:shd w:val="clear" w:color="auto" w:fill="FFFF00"/>
          </w:tcPr>
          <w:p w:rsidR="007551D0" w:rsidRPr="00E92120" w:rsidRDefault="007551D0" w:rsidP="00DB2B5E">
            <w:pPr>
              <w:pStyle w:val="Default"/>
              <w:rPr>
                <w:rFonts w:ascii="Arial" w:hAnsi="Arial" w:cs="Arial"/>
                <w:color w:val="auto"/>
              </w:rPr>
            </w:pPr>
          </w:p>
        </w:tc>
      </w:tr>
      <w:tr w:rsidR="007551D0" w:rsidRPr="00E92120" w:rsidTr="00DB2B5E">
        <w:trPr>
          <w:trHeight w:val="303"/>
          <w:jc w:val="center"/>
        </w:trPr>
        <w:tc>
          <w:tcPr>
            <w:tcW w:w="2099" w:type="dxa"/>
            <w:shd w:val="clear" w:color="auto" w:fill="FDE9D9" w:themeFill="accent6" w:themeFillTint="33"/>
          </w:tcPr>
          <w:p w:rsidR="007551D0" w:rsidRPr="00E92120" w:rsidRDefault="007551D0" w:rsidP="00DB2B5E">
            <w:pPr>
              <w:pStyle w:val="Default"/>
              <w:jc w:val="center"/>
              <w:rPr>
                <w:rFonts w:ascii="Arial" w:hAnsi="Arial" w:cs="Arial"/>
                <w:color w:val="auto"/>
              </w:rPr>
            </w:pPr>
            <w:r w:rsidRPr="00E92120">
              <w:rPr>
                <w:rFonts w:ascii="Arial" w:hAnsi="Arial" w:cs="Arial"/>
                <w:color w:val="auto"/>
              </w:rPr>
              <w:t>IV</w:t>
            </w:r>
          </w:p>
        </w:tc>
        <w:tc>
          <w:tcPr>
            <w:tcW w:w="0" w:type="auto"/>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Slabă </w:t>
            </w:r>
          </w:p>
        </w:tc>
        <w:tc>
          <w:tcPr>
            <w:tcW w:w="0" w:type="auto"/>
            <w:shd w:val="clear" w:color="auto" w:fill="FFC000"/>
          </w:tcPr>
          <w:p w:rsidR="007551D0" w:rsidRPr="00E92120" w:rsidRDefault="007551D0" w:rsidP="00DB2B5E">
            <w:pPr>
              <w:pStyle w:val="Default"/>
              <w:rPr>
                <w:rFonts w:ascii="Arial" w:hAnsi="Arial" w:cs="Arial"/>
                <w:color w:val="auto"/>
              </w:rPr>
            </w:pPr>
          </w:p>
        </w:tc>
      </w:tr>
      <w:tr w:rsidR="007551D0" w:rsidRPr="00E92120" w:rsidTr="00DB2B5E">
        <w:trPr>
          <w:trHeight w:val="315"/>
          <w:jc w:val="center"/>
        </w:trPr>
        <w:tc>
          <w:tcPr>
            <w:tcW w:w="2099" w:type="dxa"/>
            <w:shd w:val="clear" w:color="auto" w:fill="FDE9D9" w:themeFill="accent6" w:themeFillTint="33"/>
          </w:tcPr>
          <w:p w:rsidR="007551D0" w:rsidRPr="00E92120" w:rsidRDefault="007551D0" w:rsidP="00DB2B5E">
            <w:pPr>
              <w:pStyle w:val="Default"/>
              <w:jc w:val="center"/>
              <w:rPr>
                <w:rFonts w:ascii="Arial" w:hAnsi="Arial" w:cs="Arial"/>
                <w:color w:val="auto"/>
              </w:rPr>
            </w:pPr>
            <w:r w:rsidRPr="00E92120">
              <w:rPr>
                <w:rFonts w:ascii="Arial" w:hAnsi="Arial" w:cs="Arial"/>
                <w:color w:val="auto"/>
              </w:rPr>
              <w:t>V</w:t>
            </w:r>
          </w:p>
        </w:tc>
        <w:tc>
          <w:tcPr>
            <w:tcW w:w="0" w:type="auto"/>
            <w:shd w:val="clear" w:color="auto" w:fill="FDE9D9" w:themeFill="accent6" w:themeFillTint="33"/>
          </w:tcPr>
          <w:p w:rsidR="007551D0" w:rsidRPr="00E92120" w:rsidRDefault="007551D0" w:rsidP="00DB2B5E">
            <w:pPr>
              <w:pStyle w:val="Default"/>
              <w:rPr>
                <w:rFonts w:ascii="Arial" w:hAnsi="Arial" w:cs="Arial"/>
                <w:color w:val="auto"/>
              </w:rPr>
            </w:pPr>
            <w:r w:rsidRPr="00E92120">
              <w:rPr>
                <w:rFonts w:ascii="Arial" w:hAnsi="Arial" w:cs="Arial"/>
                <w:color w:val="auto"/>
              </w:rPr>
              <w:t xml:space="preserve">Proastă </w:t>
            </w:r>
          </w:p>
        </w:tc>
        <w:tc>
          <w:tcPr>
            <w:tcW w:w="0" w:type="auto"/>
            <w:shd w:val="clear" w:color="auto" w:fill="FF0000"/>
          </w:tcPr>
          <w:p w:rsidR="007551D0" w:rsidRPr="00E92120" w:rsidRDefault="007551D0" w:rsidP="00DB2B5E">
            <w:pPr>
              <w:pStyle w:val="Default"/>
              <w:rPr>
                <w:rFonts w:ascii="Arial" w:hAnsi="Arial" w:cs="Arial"/>
                <w:color w:val="auto"/>
              </w:rPr>
            </w:pPr>
          </w:p>
        </w:tc>
      </w:tr>
    </w:tbl>
    <w:p w:rsidR="00921973" w:rsidRDefault="00921973" w:rsidP="00921973">
      <w:pPr>
        <w:ind w:right="-285"/>
        <w:rPr>
          <w:rFonts w:ascii="Arial" w:hAnsi="Arial" w:cs="Arial"/>
          <w:b/>
          <w:sz w:val="24"/>
          <w:szCs w:val="24"/>
        </w:rPr>
      </w:pPr>
    </w:p>
    <w:p w:rsidR="007551D0" w:rsidRPr="007572ED" w:rsidRDefault="007551D0" w:rsidP="00921973">
      <w:pPr>
        <w:ind w:right="-285"/>
        <w:rPr>
          <w:rFonts w:ascii="Arial" w:hAnsi="Arial" w:cs="Arial"/>
          <w:sz w:val="24"/>
          <w:szCs w:val="24"/>
        </w:rPr>
      </w:pPr>
      <w:r>
        <w:rPr>
          <w:rFonts w:ascii="Arial" w:hAnsi="Arial" w:cs="Arial"/>
          <w:b/>
          <w:sz w:val="24"/>
          <w:szCs w:val="24"/>
        </w:rPr>
        <w:t xml:space="preserve"> II.2.1.1.1 S</w:t>
      </w:r>
      <w:r w:rsidRPr="00CC4DBD">
        <w:rPr>
          <w:rFonts w:ascii="Arial" w:hAnsi="Arial" w:cs="Arial"/>
          <w:b/>
          <w:sz w:val="24"/>
          <w:szCs w:val="24"/>
        </w:rPr>
        <w:t xml:space="preserve">tarea ecologică / potențialul ecologic al  cursurilor de apă monitorizate(corpuri de apă naturale, puternic modificate, artificiale - râuri) pe spații / bazine hidrografice și la nivel național </w:t>
      </w:r>
      <w:r>
        <w:rPr>
          <w:rFonts w:ascii="Arial" w:hAnsi="Arial" w:cs="Arial"/>
          <w:b/>
          <w:sz w:val="24"/>
          <w:szCs w:val="24"/>
        </w:rPr>
        <w:t xml:space="preserve"> </w:t>
      </w:r>
    </w:p>
    <w:p w:rsidR="007551D0" w:rsidRPr="00FA1980" w:rsidRDefault="007551D0" w:rsidP="007551D0">
      <w:pPr>
        <w:jc w:val="both"/>
        <w:rPr>
          <w:rFonts w:ascii="Arial" w:hAnsi="Arial" w:cs="Arial"/>
          <w:b/>
          <w:i/>
          <w:sz w:val="24"/>
          <w:szCs w:val="24"/>
        </w:rPr>
      </w:pPr>
      <w:r w:rsidRPr="003F7403">
        <w:rPr>
          <w:rFonts w:ascii="Arial" w:hAnsi="Arial" w:cs="Arial"/>
          <w:sz w:val="24"/>
          <w:szCs w:val="24"/>
        </w:rPr>
        <w:t xml:space="preserve">Județul </w:t>
      </w:r>
      <w:r w:rsidR="00217620">
        <w:rPr>
          <w:rFonts w:ascii="Arial" w:hAnsi="Arial" w:cs="Arial"/>
          <w:sz w:val="24"/>
          <w:szCs w:val="24"/>
        </w:rPr>
        <w:t>Brăila</w:t>
      </w:r>
      <w:r w:rsidRPr="003F7403">
        <w:rPr>
          <w:rFonts w:ascii="Arial" w:hAnsi="Arial" w:cs="Arial"/>
          <w:sz w:val="24"/>
          <w:szCs w:val="24"/>
        </w:rPr>
        <w:t xml:space="preserve"> aparține din punct de vedere hidrografic de </w:t>
      </w:r>
      <w:r w:rsidRPr="00FA1980">
        <w:rPr>
          <w:rFonts w:ascii="Arial" w:hAnsi="Arial" w:cs="Arial"/>
          <w:b/>
          <w:i/>
          <w:sz w:val="24"/>
          <w:szCs w:val="24"/>
        </w:rPr>
        <w:t>Bazinul hidrografic Buzău – Ialomița.</w:t>
      </w:r>
    </w:p>
    <w:p w:rsidR="007551D0" w:rsidRPr="00921973" w:rsidRDefault="007551D0" w:rsidP="007551D0">
      <w:pPr>
        <w:jc w:val="both"/>
        <w:rPr>
          <w:rFonts w:ascii="Arial" w:hAnsi="Arial" w:cs="Arial"/>
          <w:sz w:val="24"/>
          <w:szCs w:val="24"/>
        </w:rPr>
      </w:pPr>
      <w:r w:rsidRPr="003F7403">
        <w:rPr>
          <w:rFonts w:ascii="Arial" w:hAnsi="Arial" w:cs="Arial"/>
          <w:b/>
          <w:i/>
          <w:sz w:val="24"/>
          <w:szCs w:val="24"/>
        </w:rPr>
        <w:t xml:space="preserve">Evaluarea stării ecologice/potențialul ecologic al cursurilor de apă monitorizate </w:t>
      </w:r>
      <w:r w:rsidRPr="00921973">
        <w:rPr>
          <w:rFonts w:ascii="Arial" w:hAnsi="Arial" w:cs="Arial"/>
          <w:sz w:val="24"/>
          <w:szCs w:val="24"/>
        </w:rPr>
        <w:t>(corpuri de apă naturale, puternic modificate, artificiale - râuri) pe spații/bazine hidrografice în anul 2016 (km)</w:t>
      </w:r>
    </w:p>
    <w:p w:rsidR="007551D0" w:rsidRPr="00BF3C7B" w:rsidRDefault="007551D0" w:rsidP="007551D0">
      <w:pPr>
        <w:jc w:val="center"/>
        <w:rPr>
          <w:rFonts w:ascii="Arial" w:hAnsi="Arial" w:cs="Arial"/>
          <w:b/>
          <w:i/>
          <w:sz w:val="24"/>
          <w:szCs w:val="24"/>
        </w:rPr>
      </w:pPr>
      <w:r>
        <w:rPr>
          <w:noProof/>
          <w:lang w:eastAsia="ro-RO"/>
        </w:rPr>
        <w:drawing>
          <wp:inline distT="0" distB="0" distL="0" distR="0">
            <wp:extent cx="5939790" cy="3209925"/>
            <wp:effectExtent l="19050" t="0" r="22860" b="0"/>
            <wp:docPr id="19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551D0" w:rsidRPr="00921973" w:rsidRDefault="007551D0" w:rsidP="007551D0">
      <w:pPr>
        <w:jc w:val="both"/>
        <w:rPr>
          <w:rFonts w:ascii="Arial" w:hAnsi="Arial" w:cs="Arial"/>
          <w:sz w:val="24"/>
          <w:szCs w:val="24"/>
        </w:rPr>
      </w:pPr>
      <w:r>
        <w:rPr>
          <w:rFonts w:ascii="Arial" w:hAnsi="Arial" w:cs="Arial"/>
          <w:b/>
          <w:i/>
          <w:sz w:val="20"/>
          <w:szCs w:val="20"/>
        </w:rPr>
        <w:t xml:space="preserve"> </w:t>
      </w:r>
      <w:r w:rsidRPr="00921973">
        <w:rPr>
          <w:rFonts w:ascii="Arial" w:hAnsi="Arial" w:cs="Arial"/>
          <w:sz w:val="24"/>
          <w:szCs w:val="24"/>
        </w:rPr>
        <w:t>Figura II.2.1.1.-1 Starea ecologică / potențialul ecologic al cursurilor de apă monitorizate (corpuri de apă naturale, puternic modificate, artificiale - râuri) pe spații/bazine hidrografice în anul 2016 (km)</w:t>
      </w:r>
    </w:p>
    <w:p w:rsidR="007551D0" w:rsidRPr="00921973" w:rsidRDefault="007551D0" w:rsidP="007551D0">
      <w:pPr>
        <w:jc w:val="both"/>
        <w:rPr>
          <w:rFonts w:ascii="Arial" w:hAnsi="Arial" w:cs="Arial"/>
          <w:sz w:val="24"/>
          <w:szCs w:val="24"/>
        </w:rPr>
      </w:pPr>
      <w:r w:rsidRPr="00BF3C7B">
        <w:rPr>
          <w:rFonts w:ascii="Arial" w:hAnsi="Arial" w:cs="Arial"/>
          <w:b/>
          <w:i/>
          <w:sz w:val="24"/>
          <w:szCs w:val="24"/>
        </w:rPr>
        <w:t xml:space="preserve">Evaluarea stării ecologice / potențialul ecologic al cursurilor de apă monitorizate </w:t>
      </w:r>
      <w:r w:rsidRPr="00C567B7">
        <w:rPr>
          <w:rFonts w:ascii="Arial" w:hAnsi="Arial" w:cs="Arial"/>
          <w:i/>
          <w:sz w:val="24"/>
          <w:szCs w:val="24"/>
        </w:rPr>
        <w:t>(corpuri de apă naturale, puternic modificate, artificiale - râuri) pe spații/bazine hidrografice în</w:t>
      </w:r>
      <w:r w:rsidRPr="00BF3C7B">
        <w:rPr>
          <w:rFonts w:ascii="Arial" w:hAnsi="Arial" w:cs="Arial"/>
          <w:b/>
          <w:i/>
          <w:sz w:val="24"/>
          <w:szCs w:val="24"/>
        </w:rPr>
        <w:t xml:space="preserve"> </w:t>
      </w:r>
      <w:r w:rsidRPr="00921973">
        <w:rPr>
          <w:rFonts w:ascii="Arial" w:hAnsi="Arial" w:cs="Arial"/>
          <w:sz w:val="24"/>
          <w:szCs w:val="24"/>
        </w:rPr>
        <w:t>anul 2016 (%)</w:t>
      </w:r>
    </w:p>
    <w:p w:rsidR="007551D0" w:rsidRPr="00BF3C7B" w:rsidRDefault="007551D0" w:rsidP="009C24E2">
      <w:pPr>
        <w:jc w:val="center"/>
        <w:rPr>
          <w:rFonts w:ascii="Arial" w:hAnsi="Arial" w:cs="Arial"/>
          <w:b/>
          <w:i/>
          <w:sz w:val="24"/>
          <w:szCs w:val="24"/>
        </w:rPr>
      </w:pPr>
      <w:r>
        <w:rPr>
          <w:noProof/>
          <w:lang w:eastAsia="ro-RO"/>
        </w:rPr>
        <w:lastRenderedPageBreak/>
        <w:drawing>
          <wp:inline distT="0" distB="0" distL="0" distR="0">
            <wp:extent cx="5857875" cy="2781300"/>
            <wp:effectExtent l="19050" t="0" r="9525" b="0"/>
            <wp:docPr id="20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551D0" w:rsidRPr="00921973" w:rsidRDefault="007551D0" w:rsidP="007551D0">
      <w:pPr>
        <w:jc w:val="both"/>
        <w:rPr>
          <w:rFonts w:ascii="Arial" w:hAnsi="Arial" w:cs="Arial"/>
          <w:sz w:val="24"/>
          <w:szCs w:val="24"/>
        </w:rPr>
      </w:pPr>
      <w:r w:rsidRPr="00921973">
        <w:rPr>
          <w:rFonts w:ascii="Arial" w:hAnsi="Arial" w:cs="Arial"/>
          <w:sz w:val="24"/>
          <w:szCs w:val="24"/>
        </w:rPr>
        <w:t>Figura II.2.1.1. -2 Starea ecologică / potențialul ecologic al cursurilor de apă monitorizate (corpuri de apă naturale, puternic modificate, artificiale - râuri) pe spații/bazine hidrografice în anul 2016 (%)</w:t>
      </w:r>
    </w:p>
    <w:p w:rsidR="007551D0" w:rsidRPr="00BA0B99" w:rsidRDefault="007551D0" w:rsidP="007551D0">
      <w:pPr>
        <w:rPr>
          <w:rFonts w:ascii="Arial" w:hAnsi="Arial" w:cs="Arial"/>
          <w:b/>
          <w:bCs/>
          <w:sz w:val="24"/>
          <w:szCs w:val="24"/>
        </w:rPr>
      </w:pPr>
      <w:r>
        <w:rPr>
          <w:rFonts w:ascii="Arial" w:hAnsi="Arial" w:cs="Arial"/>
          <w:b/>
          <w:bCs/>
          <w:sz w:val="24"/>
          <w:szCs w:val="24"/>
        </w:rPr>
        <w:t xml:space="preserve">       </w:t>
      </w:r>
      <w:r w:rsidRPr="00BA0B99">
        <w:rPr>
          <w:rFonts w:ascii="Arial" w:hAnsi="Arial" w:cs="Arial"/>
          <w:b/>
          <w:bCs/>
          <w:sz w:val="24"/>
          <w:szCs w:val="24"/>
        </w:rPr>
        <w:t xml:space="preserve">II.2.1.2. Calitatea apei lacurilor </w:t>
      </w:r>
    </w:p>
    <w:p w:rsidR="007551D0" w:rsidRDefault="007551D0" w:rsidP="007551D0">
      <w:pPr>
        <w:pStyle w:val="Default"/>
        <w:rPr>
          <w:rFonts w:ascii="Arial" w:hAnsi="Arial" w:cs="Arial"/>
          <w:iCs/>
          <w:color w:val="auto"/>
        </w:rPr>
      </w:pPr>
      <w:r>
        <w:rPr>
          <w:rFonts w:ascii="Arial" w:hAnsi="Arial" w:cs="Arial"/>
          <w:iCs/>
          <w:color w:val="auto"/>
        </w:rPr>
        <w:t xml:space="preserve">Lacuri de pe raza  județului  </w:t>
      </w:r>
      <w:r w:rsidR="00217620">
        <w:rPr>
          <w:rFonts w:ascii="Arial" w:hAnsi="Arial" w:cs="Arial"/>
          <w:iCs/>
          <w:color w:val="auto"/>
        </w:rPr>
        <w:t>Brăila</w:t>
      </w:r>
    </w:p>
    <w:p w:rsidR="007551D0" w:rsidRPr="00E92120" w:rsidRDefault="007551D0" w:rsidP="007551D0">
      <w:pPr>
        <w:pStyle w:val="Default"/>
        <w:rPr>
          <w:rFonts w:ascii="Arial" w:hAnsi="Arial" w:cs="Arial"/>
          <w:i/>
          <w:iCs/>
          <w:color w:val="auto"/>
        </w:rPr>
      </w:pPr>
      <w:r w:rsidRPr="00E92120">
        <w:rPr>
          <w:rFonts w:ascii="Arial" w:hAnsi="Arial" w:cs="Arial"/>
          <w:i/>
          <w:iCs/>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0"/>
        <w:gridCol w:w="3637"/>
      </w:tblGrid>
      <w:tr w:rsidR="007551D0" w:rsidRPr="00E92120" w:rsidTr="00DB2B5E">
        <w:trPr>
          <w:trHeight w:val="572"/>
          <w:jc w:val="center"/>
        </w:trPr>
        <w:tc>
          <w:tcPr>
            <w:tcW w:w="1630" w:type="dxa"/>
            <w:shd w:val="clear" w:color="auto" w:fill="FBD4B4" w:themeFill="accent6" w:themeFillTint="66"/>
            <w:vAlign w:val="center"/>
          </w:tcPr>
          <w:p w:rsidR="007551D0" w:rsidRPr="00E92120" w:rsidRDefault="007551D0" w:rsidP="00A54188">
            <w:pPr>
              <w:pStyle w:val="Default"/>
              <w:jc w:val="center"/>
              <w:rPr>
                <w:rFonts w:ascii="Arial" w:hAnsi="Arial" w:cs="Arial"/>
                <w:color w:val="auto"/>
              </w:rPr>
            </w:pPr>
            <w:r w:rsidRPr="00E92120">
              <w:rPr>
                <w:rFonts w:ascii="Arial" w:hAnsi="Arial" w:cs="Arial"/>
                <w:b/>
                <w:bCs/>
                <w:color w:val="auto"/>
              </w:rPr>
              <w:t>Bazin/spațiu hidrografic</w:t>
            </w:r>
          </w:p>
        </w:tc>
        <w:tc>
          <w:tcPr>
            <w:tcW w:w="3637" w:type="dxa"/>
            <w:shd w:val="clear" w:color="auto" w:fill="FBD4B4" w:themeFill="accent6" w:themeFillTint="66"/>
            <w:vAlign w:val="center"/>
          </w:tcPr>
          <w:p w:rsidR="007551D0" w:rsidRPr="00E92120" w:rsidRDefault="007551D0" w:rsidP="00A54188">
            <w:pPr>
              <w:pStyle w:val="Default"/>
              <w:jc w:val="center"/>
              <w:rPr>
                <w:rFonts w:ascii="Arial" w:hAnsi="Arial" w:cs="Arial"/>
                <w:color w:val="auto"/>
              </w:rPr>
            </w:pPr>
            <w:r w:rsidRPr="00E92120">
              <w:rPr>
                <w:rFonts w:ascii="Arial" w:hAnsi="Arial" w:cs="Arial"/>
                <w:b/>
                <w:bCs/>
                <w:color w:val="auto"/>
              </w:rPr>
              <w:t>Secţiuni de control</w:t>
            </w:r>
          </w:p>
        </w:tc>
      </w:tr>
      <w:tr w:rsidR="007551D0" w:rsidRPr="00E92120" w:rsidTr="00DB2B5E">
        <w:trPr>
          <w:trHeight w:val="305"/>
          <w:jc w:val="center"/>
        </w:trPr>
        <w:tc>
          <w:tcPr>
            <w:tcW w:w="1630" w:type="dxa"/>
            <w:shd w:val="clear" w:color="auto" w:fill="FDE9D9" w:themeFill="accent6" w:themeFillTint="33"/>
            <w:vAlign w:val="center"/>
          </w:tcPr>
          <w:p w:rsidR="007551D0" w:rsidRPr="00E92120" w:rsidRDefault="007551D0" w:rsidP="00A54188">
            <w:pPr>
              <w:pStyle w:val="Default"/>
              <w:rPr>
                <w:rFonts w:ascii="Arial" w:hAnsi="Arial" w:cs="Arial"/>
                <w:color w:val="auto"/>
              </w:rPr>
            </w:pPr>
            <w:r w:rsidRPr="00E92120">
              <w:rPr>
                <w:rFonts w:ascii="Arial" w:hAnsi="Arial" w:cs="Arial"/>
                <w:color w:val="auto"/>
              </w:rPr>
              <w:t>BUZĂU</w:t>
            </w:r>
          </w:p>
        </w:tc>
        <w:tc>
          <w:tcPr>
            <w:tcW w:w="3637" w:type="dxa"/>
            <w:shd w:val="clear" w:color="auto" w:fill="FDE9D9" w:themeFill="accent6" w:themeFillTint="33"/>
            <w:vAlign w:val="center"/>
          </w:tcPr>
          <w:p w:rsidR="007551D0" w:rsidRPr="00E92120" w:rsidRDefault="007551D0" w:rsidP="00A54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4"/>
                <w:szCs w:val="24"/>
              </w:rPr>
            </w:pPr>
            <w:r w:rsidRPr="00E92120">
              <w:rPr>
                <w:rFonts w:ascii="Arial" w:hAnsi="Arial" w:cs="Arial"/>
                <w:sz w:val="24"/>
                <w:szCs w:val="24"/>
              </w:rPr>
              <w:t>LAC JIRLĂU</w:t>
            </w:r>
          </w:p>
        </w:tc>
      </w:tr>
      <w:tr w:rsidR="007551D0" w:rsidRPr="00E92120" w:rsidTr="00DB2B5E">
        <w:trPr>
          <w:trHeight w:val="303"/>
          <w:jc w:val="center"/>
        </w:trPr>
        <w:tc>
          <w:tcPr>
            <w:tcW w:w="1630" w:type="dxa"/>
            <w:shd w:val="clear" w:color="auto" w:fill="FDE9D9" w:themeFill="accent6" w:themeFillTint="33"/>
            <w:vAlign w:val="center"/>
          </w:tcPr>
          <w:p w:rsidR="007551D0" w:rsidRPr="00E92120" w:rsidRDefault="007551D0" w:rsidP="00A54188">
            <w:pPr>
              <w:pStyle w:val="Default"/>
              <w:rPr>
                <w:rFonts w:ascii="Arial" w:hAnsi="Arial" w:cs="Arial"/>
                <w:color w:val="auto"/>
              </w:rPr>
            </w:pPr>
            <w:r w:rsidRPr="00E92120">
              <w:rPr>
                <w:rFonts w:ascii="Arial" w:hAnsi="Arial" w:cs="Arial"/>
                <w:color w:val="auto"/>
              </w:rPr>
              <w:t>DUNĂRE</w:t>
            </w:r>
          </w:p>
        </w:tc>
        <w:tc>
          <w:tcPr>
            <w:tcW w:w="3637" w:type="dxa"/>
            <w:shd w:val="clear" w:color="auto" w:fill="FDE9D9" w:themeFill="accent6" w:themeFillTint="33"/>
            <w:vAlign w:val="center"/>
          </w:tcPr>
          <w:p w:rsidR="007551D0" w:rsidRPr="00E92120" w:rsidRDefault="007551D0" w:rsidP="00A54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4"/>
                <w:szCs w:val="24"/>
              </w:rPr>
            </w:pPr>
            <w:r w:rsidRPr="00E92120">
              <w:rPr>
                <w:rFonts w:ascii="Arial" w:hAnsi="Arial" w:cs="Arial"/>
                <w:sz w:val="24"/>
                <w:szCs w:val="24"/>
              </w:rPr>
              <w:t>LAC SĂRAT MOVILA MIRESII</w:t>
            </w:r>
          </w:p>
        </w:tc>
      </w:tr>
      <w:tr w:rsidR="007551D0" w:rsidRPr="00E92120" w:rsidTr="00DB2B5E">
        <w:trPr>
          <w:trHeight w:val="305"/>
          <w:jc w:val="center"/>
        </w:trPr>
        <w:tc>
          <w:tcPr>
            <w:tcW w:w="1630" w:type="dxa"/>
            <w:shd w:val="clear" w:color="auto" w:fill="FDE9D9" w:themeFill="accent6" w:themeFillTint="33"/>
            <w:vAlign w:val="center"/>
          </w:tcPr>
          <w:p w:rsidR="007551D0" w:rsidRPr="00E92120" w:rsidRDefault="007551D0" w:rsidP="00A54188">
            <w:pPr>
              <w:pStyle w:val="Default"/>
              <w:rPr>
                <w:rFonts w:ascii="Arial" w:hAnsi="Arial" w:cs="Arial"/>
                <w:color w:val="auto"/>
              </w:rPr>
            </w:pPr>
            <w:r w:rsidRPr="00E92120">
              <w:rPr>
                <w:rFonts w:ascii="Arial" w:hAnsi="Arial" w:cs="Arial"/>
                <w:color w:val="auto"/>
              </w:rPr>
              <w:t>DUNĂRE</w:t>
            </w:r>
          </w:p>
        </w:tc>
        <w:tc>
          <w:tcPr>
            <w:tcW w:w="3637" w:type="dxa"/>
            <w:shd w:val="clear" w:color="auto" w:fill="FDE9D9" w:themeFill="accent6" w:themeFillTint="33"/>
            <w:vAlign w:val="center"/>
          </w:tcPr>
          <w:p w:rsidR="007551D0" w:rsidRPr="00E92120" w:rsidRDefault="007551D0" w:rsidP="00A54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4"/>
                <w:szCs w:val="24"/>
              </w:rPr>
            </w:pPr>
            <w:r w:rsidRPr="00E92120">
              <w:rPr>
                <w:rFonts w:ascii="Arial" w:hAnsi="Arial" w:cs="Arial"/>
                <w:sz w:val="24"/>
                <w:szCs w:val="24"/>
              </w:rPr>
              <w:t xml:space="preserve">LAC SĂRAT </w:t>
            </w:r>
            <w:r w:rsidR="00217620">
              <w:rPr>
                <w:rFonts w:ascii="Arial" w:hAnsi="Arial" w:cs="Arial"/>
                <w:sz w:val="24"/>
                <w:szCs w:val="24"/>
              </w:rPr>
              <w:t>BRĂILA</w:t>
            </w:r>
          </w:p>
        </w:tc>
      </w:tr>
      <w:tr w:rsidR="007551D0" w:rsidRPr="00E92120" w:rsidTr="00DB2B5E">
        <w:trPr>
          <w:trHeight w:val="315"/>
          <w:jc w:val="center"/>
        </w:trPr>
        <w:tc>
          <w:tcPr>
            <w:tcW w:w="1630" w:type="dxa"/>
            <w:shd w:val="clear" w:color="auto" w:fill="FDE9D9" w:themeFill="accent6" w:themeFillTint="33"/>
            <w:vAlign w:val="center"/>
          </w:tcPr>
          <w:p w:rsidR="007551D0" w:rsidRPr="00E92120" w:rsidRDefault="007551D0" w:rsidP="00A54188">
            <w:pPr>
              <w:pStyle w:val="Default"/>
              <w:rPr>
                <w:rFonts w:ascii="Arial" w:hAnsi="Arial" w:cs="Arial"/>
                <w:color w:val="auto"/>
              </w:rPr>
            </w:pPr>
            <w:r w:rsidRPr="00E92120">
              <w:rPr>
                <w:rFonts w:ascii="Arial" w:hAnsi="Arial" w:cs="Arial"/>
                <w:color w:val="auto"/>
              </w:rPr>
              <w:t>DUNĂRE</w:t>
            </w:r>
          </w:p>
        </w:tc>
        <w:tc>
          <w:tcPr>
            <w:tcW w:w="3637" w:type="dxa"/>
            <w:shd w:val="clear" w:color="auto" w:fill="FDE9D9" w:themeFill="accent6" w:themeFillTint="33"/>
            <w:vAlign w:val="center"/>
          </w:tcPr>
          <w:p w:rsidR="007551D0" w:rsidRPr="00E92120" w:rsidRDefault="007551D0" w:rsidP="00A541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4"/>
                <w:szCs w:val="24"/>
              </w:rPr>
            </w:pPr>
            <w:r w:rsidRPr="00E92120">
              <w:rPr>
                <w:rFonts w:ascii="Arial" w:hAnsi="Arial" w:cs="Arial"/>
                <w:sz w:val="24"/>
                <w:szCs w:val="24"/>
              </w:rPr>
              <w:t>LAC SEACA MOVILA MIRESII</w:t>
            </w:r>
          </w:p>
        </w:tc>
      </w:tr>
    </w:tbl>
    <w:p w:rsidR="007551D0" w:rsidRDefault="007551D0" w:rsidP="007551D0">
      <w:pPr>
        <w:rPr>
          <w:rFonts w:ascii="Arial" w:hAnsi="Arial" w:cs="Arial"/>
          <w:b/>
          <w:bCs/>
          <w:sz w:val="24"/>
          <w:szCs w:val="24"/>
        </w:rPr>
      </w:pPr>
    </w:p>
    <w:p w:rsidR="007551D0" w:rsidRPr="00FB65E1" w:rsidRDefault="007551D0" w:rsidP="009C24E2">
      <w:pPr>
        <w:spacing w:after="0"/>
        <w:rPr>
          <w:rFonts w:ascii="Arial" w:hAnsi="Arial" w:cs="Arial"/>
          <w:b/>
          <w:sz w:val="24"/>
          <w:szCs w:val="24"/>
        </w:rPr>
      </w:pPr>
      <w:r w:rsidRPr="006E1558">
        <w:rPr>
          <w:rFonts w:ascii="Arial" w:hAnsi="Arial" w:cs="Arial"/>
          <w:b/>
          <w:sz w:val="24"/>
          <w:szCs w:val="24"/>
        </w:rPr>
        <w:t>INDICATOR WHS 03.  SUBSTANȚELE PRIORITARE DIN LACURI (RO66)</w:t>
      </w:r>
    </w:p>
    <w:p w:rsidR="007551D0" w:rsidRPr="009C24E2" w:rsidRDefault="007551D0" w:rsidP="009C24E2">
      <w:pPr>
        <w:spacing w:after="0"/>
        <w:jc w:val="both"/>
        <w:rPr>
          <w:rFonts w:ascii="Arial" w:hAnsi="Arial" w:cs="Arial"/>
          <w:sz w:val="24"/>
          <w:szCs w:val="24"/>
          <w:u w:val="single"/>
        </w:rPr>
      </w:pPr>
      <w:r w:rsidRPr="009C24E2">
        <w:rPr>
          <w:rFonts w:ascii="Arial" w:hAnsi="Arial" w:cs="Arial"/>
          <w:sz w:val="24"/>
          <w:szCs w:val="24"/>
        </w:rPr>
        <w:t xml:space="preserve">Pentru acest indicator s-au avut în vedere raportarea </w:t>
      </w:r>
      <w:r w:rsidRPr="009C24E2">
        <w:rPr>
          <w:rFonts w:ascii="Arial" w:hAnsi="Arial" w:cs="Arial"/>
          <w:sz w:val="24"/>
          <w:szCs w:val="24"/>
          <w:u w:val="single"/>
        </w:rPr>
        <w:t>substanțelor prioritare</w:t>
      </w:r>
      <w:r w:rsidRPr="009C24E2">
        <w:rPr>
          <w:rFonts w:ascii="Arial" w:hAnsi="Arial" w:cs="Arial"/>
          <w:sz w:val="24"/>
          <w:szCs w:val="24"/>
        </w:rPr>
        <w:t xml:space="preserve"> din HG 570/2016 care stau la baza evaluării stării chimice a apelor de suprafață (mediul de investigare APĂ). De asemenea, </w:t>
      </w:r>
      <w:r w:rsidRPr="009C24E2">
        <w:rPr>
          <w:rFonts w:ascii="Arial" w:hAnsi="Arial" w:cs="Arial"/>
          <w:sz w:val="24"/>
          <w:szCs w:val="24"/>
          <w:u w:val="single"/>
        </w:rPr>
        <w:t>prin depășiri față de SCM se înțelege atât depășirile față de SCM-MA cât și față de SCM-MAC (conform H.G. 570/2016).</w:t>
      </w:r>
    </w:p>
    <w:p w:rsidR="007551D0" w:rsidRDefault="007551D0" w:rsidP="007551D0">
      <w:pPr>
        <w:jc w:val="both"/>
        <w:rPr>
          <w:rFonts w:ascii="Arial" w:hAnsi="Arial" w:cs="Arial"/>
          <w:b/>
          <w:i/>
          <w:sz w:val="24"/>
          <w:szCs w:val="24"/>
        </w:rPr>
      </w:pPr>
      <w:r w:rsidRPr="00BF3C7B">
        <w:rPr>
          <w:rFonts w:ascii="Arial" w:hAnsi="Arial" w:cs="Arial"/>
          <w:b/>
          <w:i/>
          <w:sz w:val="24"/>
          <w:szCs w:val="24"/>
        </w:rPr>
        <w:t xml:space="preserve">Distribuția numărului de substanțe prioritare monitorizate în lacuri (lacuri naturale, puternic modificate și artificiale) pe spații/bazine hidrografice în anul 2016 </w:t>
      </w:r>
    </w:p>
    <w:p w:rsidR="009C24E2" w:rsidRPr="009C24E2" w:rsidRDefault="009C24E2" w:rsidP="009C24E2">
      <w:pPr>
        <w:jc w:val="both"/>
        <w:rPr>
          <w:rFonts w:ascii="Arial" w:hAnsi="Arial" w:cs="Arial"/>
          <w:sz w:val="24"/>
          <w:szCs w:val="24"/>
          <w:u w:val="single"/>
        </w:rPr>
      </w:pPr>
      <w:r w:rsidRPr="009C24E2">
        <w:rPr>
          <w:rFonts w:ascii="Arial" w:hAnsi="Arial" w:cs="Arial"/>
          <w:sz w:val="24"/>
          <w:szCs w:val="24"/>
        </w:rPr>
        <w:t xml:space="preserve">Tabel II.2.1.2 - 1 Distribuția substanțelor prioritare monitorizate în lacuri (lacuri naturale, puternic modificate și artificiale) pe spații/bazine hidrografice în anul 2016 – </w:t>
      </w:r>
      <w:r w:rsidRPr="009C24E2">
        <w:rPr>
          <w:rFonts w:ascii="Arial" w:hAnsi="Arial" w:cs="Arial"/>
          <w:sz w:val="24"/>
          <w:szCs w:val="24"/>
          <w:u w:val="single"/>
        </w:rPr>
        <w:t>mediul de investigare APĂ</w:t>
      </w:r>
    </w:p>
    <w:tbl>
      <w:tblPr>
        <w:tblW w:w="7941" w:type="dxa"/>
        <w:jc w:val="center"/>
        <w:tblLayout w:type="fixed"/>
        <w:tblLook w:val="04A0"/>
      </w:tblPr>
      <w:tblGrid>
        <w:gridCol w:w="2117"/>
        <w:gridCol w:w="1134"/>
        <w:gridCol w:w="1417"/>
        <w:gridCol w:w="1559"/>
        <w:gridCol w:w="1714"/>
      </w:tblGrid>
      <w:tr w:rsidR="007551D0" w:rsidRPr="00BF3C7B" w:rsidTr="00A54188">
        <w:trPr>
          <w:trHeight w:val="322"/>
          <w:jc w:val="center"/>
        </w:trPr>
        <w:tc>
          <w:tcPr>
            <w:tcW w:w="2117" w:type="dxa"/>
            <w:tcBorders>
              <w:top w:val="single" w:sz="8" w:space="0" w:color="auto"/>
              <w:left w:val="single" w:sz="8" w:space="0" w:color="auto"/>
              <w:bottom w:val="nil"/>
              <w:right w:val="single" w:sz="8" w:space="0" w:color="auto"/>
            </w:tcBorders>
            <w:shd w:val="clear" w:color="auto" w:fill="C6D9F1" w:themeFill="text2" w:themeFillTint="33"/>
            <w:noWrap/>
            <w:vAlign w:val="bottom"/>
            <w:hideMark/>
          </w:tcPr>
          <w:p w:rsidR="007551D0" w:rsidRPr="00BF3C7B" w:rsidRDefault="007551D0" w:rsidP="00DB2B5E">
            <w:pPr>
              <w:spacing w:after="0" w:line="240" w:lineRule="auto"/>
              <w:rPr>
                <w:rFonts w:ascii="Arial" w:eastAsia="Times New Roman" w:hAnsi="Arial" w:cs="Arial"/>
                <w:sz w:val="20"/>
                <w:szCs w:val="20"/>
              </w:rPr>
            </w:pPr>
            <w:r w:rsidRPr="00BF3C7B">
              <w:rPr>
                <w:rFonts w:ascii="Arial" w:eastAsia="Times New Roman" w:hAnsi="Arial" w:cs="Arial"/>
                <w:sz w:val="20"/>
                <w:szCs w:val="20"/>
              </w:rPr>
              <w:t> </w:t>
            </w:r>
          </w:p>
        </w:tc>
        <w:tc>
          <w:tcPr>
            <w:tcW w:w="1134" w:type="dxa"/>
            <w:tcBorders>
              <w:top w:val="single" w:sz="8" w:space="0" w:color="auto"/>
              <w:left w:val="nil"/>
              <w:bottom w:val="nil"/>
              <w:right w:val="single" w:sz="8" w:space="0" w:color="auto"/>
            </w:tcBorders>
            <w:shd w:val="clear" w:color="auto" w:fill="C6D9F1" w:themeFill="text2" w:themeFillTint="33"/>
            <w:noWrap/>
            <w:vAlign w:val="bottom"/>
            <w:hideMark/>
          </w:tcPr>
          <w:p w:rsidR="007551D0" w:rsidRPr="00BF3C7B" w:rsidRDefault="007551D0" w:rsidP="00DB2B5E">
            <w:pPr>
              <w:spacing w:after="0" w:line="240" w:lineRule="auto"/>
              <w:rPr>
                <w:rFonts w:ascii="Arial" w:eastAsia="Times New Roman" w:hAnsi="Arial" w:cs="Arial"/>
                <w:sz w:val="20"/>
                <w:szCs w:val="20"/>
              </w:rPr>
            </w:pPr>
            <w:r w:rsidRPr="00BF3C7B">
              <w:rPr>
                <w:rFonts w:ascii="Arial" w:eastAsia="Times New Roman" w:hAnsi="Arial" w:cs="Arial"/>
                <w:sz w:val="20"/>
                <w:szCs w:val="20"/>
              </w:rPr>
              <w:t> </w:t>
            </w:r>
          </w:p>
        </w:tc>
        <w:tc>
          <w:tcPr>
            <w:tcW w:w="2976" w:type="dxa"/>
            <w:gridSpan w:val="2"/>
            <w:tcBorders>
              <w:top w:val="single" w:sz="8" w:space="0" w:color="auto"/>
              <w:left w:val="nil"/>
              <w:bottom w:val="single" w:sz="8" w:space="0" w:color="auto"/>
              <w:right w:val="nil"/>
            </w:tcBorders>
            <w:shd w:val="clear" w:color="auto" w:fill="C6D9F1" w:themeFill="text2" w:themeFillTint="33"/>
            <w:noWrap/>
            <w:vAlign w:val="bottom"/>
            <w:hideMark/>
          </w:tcPr>
          <w:p w:rsidR="007551D0" w:rsidRPr="00BF3C7B" w:rsidRDefault="007551D0" w:rsidP="00DB2B5E">
            <w:pPr>
              <w:spacing w:after="0" w:line="240" w:lineRule="auto"/>
              <w:jc w:val="center"/>
              <w:rPr>
                <w:rFonts w:ascii="Arial" w:eastAsia="Times New Roman" w:hAnsi="Arial" w:cs="Arial"/>
                <w:b/>
                <w:sz w:val="24"/>
                <w:szCs w:val="24"/>
              </w:rPr>
            </w:pPr>
            <w:r w:rsidRPr="00BF3C7B">
              <w:rPr>
                <w:rFonts w:ascii="Arial" w:eastAsia="Times New Roman" w:hAnsi="Arial" w:cs="Arial"/>
                <w:b/>
                <w:sz w:val="24"/>
                <w:szCs w:val="24"/>
              </w:rPr>
              <w:t>Substanțe prioritare</w:t>
            </w:r>
          </w:p>
        </w:tc>
        <w:tc>
          <w:tcPr>
            <w:tcW w:w="1714" w:type="dxa"/>
            <w:tcBorders>
              <w:top w:val="single" w:sz="8" w:space="0" w:color="auto"/>
              <w:left w:val="single" w:sz="8" w:space="0" w:color="auto"/>
              <w:bottom w:val="nil"/>
              <w:right w:val="single" w:sz="8" w:space="0" w:color="auto"/>
            </w:tcBorders>
            <w:shd w:val="clear" w:color="auto" w:fill="C6D9F1" w:themeFill="text2" w:themeFillTint="33"/>
            <w:noWrap/>
            <w:vAlign w:val="bottom"/>
            <w:hideMark/>
          </w:tcPr>
          <w:p w:rsidR="007551D0" w:rsidRPr="00BF3C7B" w:rsidRDefault="007551D0" w:rsidP="00DB2B5E">
            <w:pPr>
              <w:spacing w:after="0" w:line="240" w:lineRule="auto"/>
              <w:rPr>
                <w:rFonts w:ascii="Arial" w:eastAsia="Times New Roman" w:hAnsi="Arial" w:cs="Arial"/>
                <w:sz w:val="20"/>
                <w:szCs w:val="20"/>
              </w:rPr>
            </w:pPr>
            <w:r w:rsidRPr="00BF3C7B">
              <w:rPr>
                <w:rFonts w:ascii="Arial" w:eastAsia="Times New Roman" w:hAnsi="Arial" w:cs="Arial"/>
                <w:sz w:val="20"/>
                <w:szCs w:val="20"/>
              </w:rPr>
              <w:t> </w:t>
            </w:r>
          </w:p>
        </w:tc>
      </w:tr>
      <w:tr w:rsidR="007551D0" w:rsidRPr="00BF3C7B" w:rsidTr="00A54188">
        <w:trPr>
          <w:trHeight w:val="838"/>
          <w:jc w:val="center"/>
        </w:trPr>
        <w:tc>
          <w:tcPr>
            <w:tcW w:w="2117" w:type="dxa"/>
            <w:tcBorders>
              <w:top w:val="nil"/>
              <w:left w:val="single" w:sz="8" w:space="0" w:color="auto"/>
              <w:bottom w:val="single" w:sz="8" w:space="0" w:color="auto"/>
              <w:right w:val="single" w:sz="8" w:space="0" w:color="auto"/>
            </w:tcBorders>
            <w:shd w:val="clear" w:color="auto" w:fill="C6D9F1" w:themeFill="text2" w:themeFillTint="33"/>
            <w:vAlign w:val="bottom"/>
            <w:hideMark/>
          </w:tcPr>
          <w:p w:rsidR="007551D0" w:rsidRPr="00BF3C7B" w:rsidRDefault="007551D0" w:rsidP="00A54188">
            <w:pPr>
              <w:spacing w:after="0" w:line="240" w:lineRule="auto"/>
              <w:rPr>
                <w:rFonts w:ascii="Arial" w:eastAsia="Times New Roman" w:hAnsi="Arial" w:cs="Arial"/>
                <w:b/>
                <w:sz w:val="20"/>
                <w:szCs w:val="20"/>
              </w:rPr>
            </w:pPr>
            <w:r w:rsidRPr="00BF3C7B">
              <w:rPr>
                <w:rFonts w:ascii="Arial" w:eastAsia="Times New Roman" w:hAnsi="Arial" w:cs="Arial"/>
                <w:b/>
                <w:sz w:val="20"/>
                <w:szCs w:val="20"/>
              </w:rPr>
              <w:t>Spații/Bazin hidrografic</w:t>
            </w:r>
          </w:p>
        </w:tc>
        <w:tc>
          <w:tcPr>
            <w:tcW w:w="1134" w:type="dxa"/>
            <w:tcBorders>
              <w:top w:val="nil"/>
              <w:left w:val="nil"/>
              <w:bottom w:val="single" w:sz="8" w:space="0" w:color="auto"/>
              <w:right w:val="single" w:sz="8" w:space="0" w:color="auto"/>
            </w:tcBorders>
            <w:shd w:val="clear" w:color="auto" w:fill="C6D9F1" w:themeFill="text2" w:themeFillTint="33"/>
            <w:vAlign w:val="bottom"/>
            <w:hideMark/>
          </w:tcPr>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Corpuri de apă (nr)</w:t>
            </w:r>
          </w:p>
        </w:tc>
        <w:tc>
          <w:tcPr>
            <w:tcW w:w="1417" w:type="dxa"/>
            <w:tcBorders>
              <w:top w:val="nil"/>
              <w:left w:val="nil"/>
              <w:bottom w:val="nil"/>
              <w:right w:val="single" w:sz="8" w:space="0" w:color="auto"/>
            </w:tcBorders>
            <w:shd w:val="clear" w:color="auto" w:fill="C6D9F1" w:themeFill="text2" w:themeFillTint="33"/>
            <w:vAlign w:val="bottom"/>
            <w:hideMark/>
          </w:tcPr>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Metale prioritare (nr)</w:t>
            </w:r>
          </w:p>
        </w:tc>
        <w:tc>
          <w:tcPr>
            <w:tcW w:w="1559" w:type="dxa"/>
            <w:tcBorders>
              <w:top w:val="nil"/>
              <w:left w:val="nil"/>
              <w:bottom w:val="nil"/>
              <w:right w:val="nil"/>
            </w:tcBorders>
            <w:shd w:val="clear" w:color="auto" w:fill="C6D9F1" w:themeFill="text2" w:themeFillTint="33"/>
            <w:vAlign w:val="bottom"/>
            <w:hideMark/>
          </w:tcPr>
          <w:p w:rsidR="007551D0" w:rsidRPr="00BF3C7B" w:rsidRDefault="007551D0" w:rsidP="00A54188">
            <w:pPr>
              <w:spacing w:line="240" w:lineRule="auto"/>
              <w:jc w:val="center"/>
              <w:rPr>
                <w:rFonts w:ascii="Arial" w:hAnsi="Arial" w:cs="Arial"/>
                <w:b/>
                <w:sz w:val="20"/>
                <w:szCs w:val="20"/>
              </w:rPr>
            </w:pPr>
            <w:r w:rsidRPr="00BF3C7B">
              <w:rPr>
                <w:rFonts w:ascii="Arial" w:hAnsi="Arial" w:cs="Arial"/>
                <w:b/>
                <w:sz w:val="20"/>
                <w:szCs w:val="20"/>
              </w:rPr>
              <w:t>Micropoluanți organici (nr)</w:t>
            </w:r>
          </w:p>
        </w:tc>
        <w:tc>
          <w:tcPr>
            <w:tcW w:w="1714" w:type="dxa"/>
            <w:tcBorders>
              <w:top w:val="nil"/>
              <w:left w:val="single" w:sz="8" w:space="0" w:color="auto"/>
              <w:bottom w:val="single" w:sz="8" w:space="0" w:color="auto"/>
              <w:right w:val="single" w:sz="8" w:space="0" w:color="auto"/>
            </w:tcBorders>
            <w:shd w:val="clear" w:color="auto" w:fill="C6D9F1" w:themeFill="text2" w:themeFillTint="33"/>
            <w:vAlign w:val="bottom"/>
            <w:hideMark/>
          </w:tcPr>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Secțiuni monitorizate</w:t>
            </w: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(nr.)</w:t>
            </w:r>
          </w:p>
        </w:tc>
      </w:tr>
      <w:tr w:rsidR="007551D0" w:rsidRPr="00BF3C7B" w:rsidTr="00DB2B5E">
        <w:trPr>
          <w:trHeight w:val="332"/>
          <w:jc w:val="center"/>
        </w:trPr>
        <w:tc>
          <w:tcPr>
            <w:tcW w:w="2117" w:type="dxa"/>
            <w:tcBorders>
              <w:top w:val="nil"/>
              <w:left w:val="single" w:sz="8" w:space="0" w:color="auto"/>
              <w:bottom w:val="single" w:sz="8" w:space="0" w:color="auto"/>
              <w:right w:val="single" w:sz="8" w:space="0" w:color="auto"/>
            </w:tcBorders>
            <w:shd w:val="clear" w:color="000000" w:fill="FFFFFF"/>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Someș-Tisa</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12</w:t>
            </w:r>
          </w:p>
        </w:tc>
        <w:tc>
          <w:tcPr>
            <w:tcW w:w="1417" w:type="dxa"/>
            <w:tcBorders>
              <w:top w:val="single" w:sz="8" w:space="0" w:color="auto"/>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1559" w:type="dxa"/>
            <w:tcBorders>
              <w:top w:val="single" w:sz="8" w:space="0" w:color="auto"/>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22</w:t>
            </w:r>
          </w:p>
        </w:tc>
        <w:tc>
          <w:tcPr>
            <w:tcW w:w="171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20</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Crișuri</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8</w:t>
            </w:r>
          </w:p>
        </w:tc>
        <w:tc>
          <w:tcPr>
            <w:tcW w:w="1417"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1559"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171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lastRenderedPageBreak/>
              <w:t>Mureș</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8</w:t>
            </w:r>
          </w:p>
        </w:tc>
        <w:tc>
          <w:tcPr>
            <w:tcW w:w="1417"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1559"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20</w:t>
            </w:r>
          </w:p>
        </w:tc>
        <w:tc>
          <w:tcPr>
            <w:tcW w:w="171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Banat</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9</w:t>
            </w:r>
          </w:p>
        </w:tc>
        <w:tc>
          <w:tcPr>
            <w:tcW w:w="1417"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1559"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6</w:t>
            </w:r>
          </w:p>
        </w:tc>
        <w:tc>
          <w:tcPr>
            <w:tcW w:w="171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rPr>
            </w:pPr>
            <w:r w:rsidRPr="00A54188">
              <w:rPr>
                <w:rFonts w:ascii="Arial" w:eastAsia="Times New Roman" w:hAnsi="Arial" w:cs="Arial"/>
              </w:rPr>
              <w:t xml:space="preserve">            16</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Jiu</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16</w:t>
            </w:r>
          </w:p>
        </w:tc>
        <w:tc>
          <w:tcPr>
            <w:tcW w:w="1417"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1559"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35</w:t>
            </w:r>
          </w:p>
        </w:tc>
        <w:tc>
          <w:tcPr>
            <w:tcW w:w="171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6</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Olt</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7</w:t>
            </w:r>
          </w:p>
        </w:tc>
        <w:tc>
          <w:tcPr>
            <w:tcW w:w="1417"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1559"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26</w:t>
            </w:r>
          </w:p>
        </w:tc>
        <w:tc>
          <w:tcPr>
            <w:tcW w:w="171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5</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Argeș-Vedea</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18</w:t>
            </w:r>
          </w:p>
        </w:tc>
        <w:tc>
          <w:tcPr>
            <w:tcW w:w="1417"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w:t>
            </w:r>
          </w:p>
        </w:tc>
        <w:tc>
          <w:tcPr>
            <w:tcW w:w="1559"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18</w:t>
            </w:r>
          </w:p>
        </w:tc>
        <w:tc>
          <w:tcPr>
            <w:tcW w:w="171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Buzău-Ialomița</w:t>
            </w:r>
          </w:p>
        </w:tc>
        <w:tc>
          <w:tcPr>
            <w:tcW w:w="1134" w:type="dxa"/>
            <w:tcBorders>
              <w:top w:val="nil"/>
              <w:left w:val="nil"/>
              <w:bottom w:val="single" w:sz="8" w:space="0" w:color="auto"/>
              <w:right w:val="single" w:sz="8" w:space="0" w:color="auto"/>
            </w:tcBorders>
            <w:shd w:val="clear" w:color="auto" w:fill="C6D9F1" w:themeFill="text2" w:themeFillTint="33"/>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29</w:t>
            </w:r>
          </w:p>
        </w:tc>
        <w:tc>
          <w:tcPr>
            <w:tcW w:w="1417" w:type="dxa"/>
            <w:tcBorders>
              <w:top w:val="nil"/>
              <w:left w:val="nil"/>
              <w:bottom w:val="single" w:sz="8" w:space="0" w:color="auto"/>
              <w:right w:val="single" w:sz="8" w:space="0" w:color="auto"/>
            </w:tcBorders>
            <w:shd w:val="clear" w:color="auto" w:fill="C6D9F1" w:themeFill="text2" w:themeFillTint="33"/>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1559" w:type="dxa"/>
            <w:tcBorders>
              <w:top w:val="nil"/>
              <w:left w:val="nil"/>
              <w:bottom w:val="single" w:sz="8" w:space="0" w:color="auto"/>
              <w:right w:val="single" w:sz="8" w:space="0" w:color="auto"/>
            </w:tcBorders>
            <w:shd w:val="clear" w:color="auto" w:fill="C6D9F1" w:themeFill="text2" w:themeFillTint="33"/>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13</w:t>
            </w:r>
          </w:p>
        </w:tc>
        <w:tc>
          <w:tcPr>
            <w:tcW w:w="1714" w:type="dxa"/>
            <w:tcBorders>
              <w:top w:val="nil"/>
              <w:left w:val="nil"/>
              <w:bottom w:val="single" w:sz="8" w:space="0" w:color="auto"/>
              <w:right w:val="single" w:sz="8" w:space="0" w:color="auto"/>
            </w:tcBorders>
            <w:shd w:val="clear" w:color="auto" w:fill="C6D9F1" w:themeFill="text2" w:themeFillTint="33"/>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Siret</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w:t>
            </w:r>
          </w:p>
        </w:tc>
        <w:tc>
          <w:tcPr>
            <w:tcW w:w="1417"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1559"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35</w:t>
            </w:r>
          </w:p>
        </w:tc>
        <w:tc>
          <w:tcPr>
            <w:tcW w:w="171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Prut- Bârlad</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11</w:t>
            </w:r>
          </w:p>
        </w:tc>
        <w:tc>
          <w:tcPr>
            <w:tcW w:w="1417"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1559"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37</w:t>
            </w:r>
          </w:p>
        </w:tc>
        <w:tc>
          <w:tcPr>
            <w:tcW w:w="171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19</w:t>
            </w:r>
          </w:p>
        </w:tc>
      </w:tr>
      <w:tr w:rsidR="007551D0" w:rsidRPr="00BF3C7B" w:rsidTr="00DB2B5E">
        <w:trPr>
          <w:trHeight w:val="330"/>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Do</w:t>
            </w:r>
            <w:r w:rsidR="00A54188">
              <w:rPr>
                <w:rFonts w:ascii="Arial" w:eastAsia="Times New Roman" w:hAnsi="Arial" w:cs="Arial"/>
                <w:b/>
              </w:rPr>
              <w:t>br</w:t>
            </w:r>
            <w:r w:rsidRPr="00A54188">
              <w:rPr>
                <w:rFonts w:ascii="Arial" w:eastAsia="Times New Roman" w:hAnsi="Arial" w:cs="Arial"/>
                <w:b/>
              </w:rPr>
              <w:t>ogea-Litoral</w:t>
            </w:r>
          </w:p>
        </w:tc>
        <w:tc>
          <w:tcPr>
            <w:tcW w:w="1134"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22</w:t>
            </w:r>
          </w:p>
        </w:tc>
        <w:tc>
          <w:tcPr>
            <w:tcW w:w="1417"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w:t>
            </w:r>
          </w:p>
        </w:tc>
        <w:tc>
          <w:tcPr>
            <w:tcW w:w="1559"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11</w:t>
            </w:r>
          </w:p>
        </w:tc>
        <w:tc>
          <w:tcPr>
            <w:tcW w:w="1714" w:type="dxa"/>
            <w:tcBorders>
              <w:top w:val="nil"/>
              <w:left w:val="nil"/>
              <w:bottom w:val="single" w:sz="8" w:space="0" w:color="auto"/>
              <w:right w:val="single" w:sz="8" w:space="0" w:color="auto"/>
            </w:tcBorders>
            <w:shd w:val="clear" w:color="000000" w:fill="FFFFFF"/>
            <w:noWrap/>
            <w:vAlign w:val="bottom"/>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14</w:t>
            </w:r>
          </w:p>
        </w:tc>
      </w:tr>
      <w:tr w:rsidR="007551D0" w:rsidRPr="00BF3C7B" w:rsidTr="00DB2B5E">
        <w:trPr>
          <w:trHeight w:val="452"/>
          <w:jc w:val="center"/>
        </w:trPr>
        <w:tc>
          <w:tcPr>
            <w:tcW w:w="2117" w:type="dxa"/>
            <w:tcBorders>
              <w:top w:val="nil"/>
              <w:left w:val="single" w:sz="8" w:space="0" w:color="auto"/>
              <w:bottom w:val="single" w:sz="8" w:space="0" w:color="auto"/>
              <w:right w:val="single" w:sz="8" w:space="0" w:color="auto"/>
            </w:tcBorders>
            <w:shd w:val="clear" w:color="auto" w:fill="DDD9C3" w:themeFill="background2" w:themeFillShade="E6"/>
            <w:noWrap/>
            <w:vAlign w:val="bottom"/>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Total</w:t>
            </w:r>
          </w:p>
        </w:tc>
        <w:tc>
          <w:tcPr>
            <w:tcW w:w="1134" w:type="dxa"/>
            <w:tcBorders>
              <w:top w:val="nil"/>
              <w:left w:val="nil"/>
              <w:bottom w:val="single" w:sz="8" w:space="0" w:color="auto"/>
              <w:right w:val="single" w:sz="8" w:space="0" w:color="auto"/>
            </w:tcBorders>
            <w:shd w:val="clear" w:color="auto" w:fill="DDD9C3" w:themeFill="background2" w:themeFillShade="E6"/>
            <w:noWrap/>
            <w:vAlign w:val="bottom"/>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143</w:t>
            </w:r>
          </w:p>
        </w:tc>
        <w:tc>
          <w:tcPr>
            <w:tcW w:w="1417" w:type="dxa"/>
            <w:tcBorders>
              <w:top w:val="nil"/>
              <w:left w:val="nil"/>
              <w:bottom w:val="single" w:sz="8" w:space="0" w:color="auto"/>
              <w:right w:val="single" w:sz="8" w:space="0" w:color="auto"/>
            </w:tcBorders>
            <w:shd w:val="clear" w:color="auto" w:fill="DDD9C3" w:themeFill="background2" w:themeFillShade="E6"/>
            <w:noWrap/>
            <w:vAlign w:val="bottom"/>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1559" w:type="dxa"/>
            <w:tcBorders>
              <w:top w:val="nil"/>
              <w:left w:val="nil"/>
              <w:bottom w:val="single" w:sz="8" w:space="0" w:color="auto"/>
              <w:right w:val="single" w:sz="8" w:space="0" w:color="auto"/>
            </w:tcBorders>
            <w:shd w:val="clear" w:color="auto" w:fill="DDD9C3" w:themeFill="background2" w:themeFillShade="E6"/>
            <w:noWrap/>
            <w:vAlign w:val="bottom"/>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37</w:t>
            </w:r>
          </w:p>
        </w:tc>
        <w:tc>
          <w:tcPr>
            <w:tcW w:w="1714" w:type="dxa"/>
            <w:tcBorders>
              <w:top w:val="nil"/>
              <w:left w:val="nil"/>
              <w:bottom w:val="single" w:sz="8" w:space="0" w:color="auto"/>
              <w:right w:val="single" w:sz="8" w:space="0" w:color="auto"/>
            </w:tcBorders>
            <w:shd w:val="clear" w:color="auto" w:fill="DDD9C3" w:themeFill="background2" w:themeFillShade="E6"/>
            <w:noWrap/>
            <w:vAlign w:val="bottom"/>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95</w:t>
            </w:r>
          </w:p>
        </w:tc>
      </w:tr>
    </w:tbl>
    <w:p w:rsidR="007551D0" w:rsidRPr="00BF3C7B" w:rsidRDefault="007551D0" w:rsidP="007551D0"/>
    <w:p w:rsidR="007551D0" w:rsidRPr="00BF3C7B" w:rsidRDefault="007551D0" w:rsidP="009C24E2">
      <w:pPr>
        <w:jc w:val="center"/>
        <w:rPr>
          <w:rFonts w:ascii="Arial" w:hAnsi="Arial" w:cs="Arial"/>
          <w:b/>
          <w:i/>
          <w:sz w:val="20"/>
          <w:szCs w:val="20"/>
          <w:u w:val="single"/>
        </w:rPr>
      </w:pPr>
      <w:r>
        <w:rPr>
          <w:noProof/>
          <w:lang w:eastAsia="ro-RO"/>
        </w:rPr>
        <w:drawing>
          <wp:inline distT="0" distB="0" distL="0" distR="0">
            <wp:extent cx="5334000" cy="2828925"/>
            <wp:effectExtent l="19050" t="0" r="19050" b="0"/>
            <wp:docPr id="20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551D0" w:rsidRPr="009C24E2" w:rsidRDefault="007551D0" w:rsidP="007551D0">
      <w:pPr>
        <w:jc w:val="both"/>
        <w:rPr>
          <w:rFonts w:ascii="Arial" w:hAnsi="Arial" w:cs="Arial"/>
          <w:i/>
          <w:sz w:val="24"/>
          <w:szCs w:val="24"/>
          <w:u w:val="single"/>
        </w:rPr>
      </w:pPr>
      <w:r w:rsidRPr="009C24E2">
        <w:rPr>
          <w:rFonts w:ascii="Arial" w:hAnsi="Arial" w:cs="Arial"/>
          <w:sz w:val="24"/>
          <w:szCs w:val="24"/>
        </w:rPr>
        <w:t xml:space="preserve">Figura II.2.1.2. -1 </w:t>
      </w:r>
      <w:r w:rsidRPr="009C24E2">
        <w:rPr>
          <w:rFonts w:ascii="Arial" w:hAnsi="Arial" w:cs="Arial"/>
          <w:i/>
          <w:sz w:val="24"/>
          <w:szCs w:val="24"/>
        </w:rPr>
        <w:t xml:space="preserve">Distribuția substanțelor prioritare monitorizate în lacuri (lacuri naturale, puternic modificate și artificiale) pe spații/bazine hidrografice în anul 2016 – </w:t>
      </w:r>
      <w:r w:rsidRPr="009C24E2">
        <w:rPr>
          <w:rFonts w:ascii="Arial" w:hAnsi="Arial" w:cs="Arial"/>
          <w:i/>
          <w:sz w:val="24"/>
          <w:szCs w:val="24"/>
          <w:u w:val="single"/>
        </w:rPr>
        <w:t>mediul de investigare APĂ</w:t>
      </w:r>
    </w:p>
    <w:p w:rsidR="007551D0" w:rsidRDefault="007551D0" w:rsidP="007551D0">
      <w:pPr>
        <w:jc w:val="both"/>
        <w:rPr>
          <w:rFonts w:ascii="Arial" w:hAnsi="Arial" w:cs="Arial"/>
          <w:b/>
          <w:i/>
          <w:sz w:val="24"/>
          <w:szCs w:val="24"/>
        </w:rPr>
      </w:pPr>
      <w:r w:rsidRPr="007014FC">
        <w:rPr>
          <w:rFonts w:ascii="Arial" w:hAnsi="Arial" w:cs="Arial"/>
          <w:b/>
          <w:i/>
          <w:sz w:val="24"/>
          <w:szCs w:val="24"/>
        </w:rPr>
        <w:t>Ponderea secțiunilor de monitorizare a substanțelor prioritare cu concentrații mai mari decât SCM (%)pentru anul 2016 pe spații/bazine hidrografice</w:t>
      </w:r>
    </w:p>
    <w:p w:rsidR="009C24E2" w:rsidRPr="009C24E2" w:rsidRDefault="009C24E2" w:rsidP="009C24E2">
      <w:pPr>
        <w:rPr>
          <w:rFonts w:ascii="Arial" w:hAnsi="Arial" w:cs="Arial"/>
          <w:sz w:val="24"/>
          <w:szCs w:val="24"/>
          <w:u w:val="single"/>
        </w:rPr>
      </w:pPr>
      <w:r w:rsidRPr="009C24E2">
        <w:rPr>
          <w:rFonts w:ascii="Arial" w:hAnsi="Arial" w:cs="Arial"/>
          <w:sz w:val="24"/>
          <w:szCs w:val="24"/>
        </w:rPr>
        <w:t xml:space="preserve">Tabel II.2.1.2.-2 Ponderea secțiunilor de monitorizare a substanțelor prioritare cu concentrații mai mari decât SCM (%) pentru anul 2016 pe spații/bazine hidrografice– </w:t>
      </w:r>
      <w:r w:rsidRPr="009C24E2">
        <w:rPr>
          <w:rFonts w:ascii="Arial" w:hAnsi="Arial" w:cs="Arial"/>
          <w:sz w:val="24"/>
          <w:szCs w:val="24"/>
          <w:u w:val="single"/>
        </w:rPr>
        <w:t>mediul de investigare APĂ</w:t>
      </w:r>
    </w:p>
    <w:tbl>
      <w:tblPr>
        <w:tblW w:w="8779" w:type="dxa"/>
        <w:jc w:val="center"/>
        <w:tblLook w:val="04A0"/>
      </w:tblPr>
      <w:tblGrid>
        <w:gridCol w:w="2117"/>
        <w:gridCol w:w="1842"/>
        <w:gridCol w:w="2268"/>
        <w:gridCol w:w="2552"/>
      </w:tblGrid>
      <w:tr w:rsidR="007551D0" w:rsidRPr="00BF3C7B" w:rsidTr="00DB2B5E">
        <w:trPr>
          <w:trHeight w:val="915"/>
          <w:jc w:val="center"/>
        </w:trPr>
        <w:tc>
          <w:tcPr>
            <w:tcW w:w="2117" w:type="dxa"/>
            <w:tcBorders>
              <w:top w:val="single" w:sz="8" w:space="0" w:color="auto"/>
              <w:left w:val="single" w:sz="8" w:space="0" w:color="auto"/>
              <w:bottom w:val="single" w:sz="8" w:space="0" w:color="auto"/>
              <w:right w:val="single" w:sz="8" w:space="0" w:color="auto"/>
            </w:tcBorders>
            <w:shd w:val="clear" w:color="auto" w:fill="00B0F0"/>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Spații/Bazin hidrografic</w:t>
            </w:r>
          </w:p>
        </w:tc>
        <w:tc>
          <w:tcPr>
            <w:tcW w:w="1842" w:type="dxa"/>
            <w:tcBorders>
              <w:top w:val="single" w:sz="8" w:space="0" w:color="auto"/>
              <w:left w:val="nil"/>
              <w:bottom w:val="single" w:sz="8" w:space="0" w:color="auto"/>
              <w:right w:val="single" w:sz="8" w:space="0" w:color="auto"/>
            </w:tcBorders>
            <w:shd w:val="clear" w:color="auto" w:fill="00B0F0"/>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Secțiuni  de monitorizare</w:t>
            </w:r>
          </w:p>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(nr)</w:t>
            </w:r>
          </w:p>
        </w:tc>
        <w:tc>
          <w:tcPr>
            <w:tcW w:w="2268" w:type="dxa"/>
            <w:tcBorders>
              <w:top w:val="single" w:sz="8" w:space="0" w:color="auto"/>
              <w:left w:val="nil"/>
              <w:bottom w:val="single" w:sz="8" w:space="0" w:color="auto"/>
              <w:right w:val="single" w:sz="8" w:space="0" w:color="auto"/>
            </w:tcBorders>
            <w:shd w:val="clear" w:color="auto" w:fill="00B0F0"/>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Secțiuni de monitorizare cu concentrații mai mari decât SCM</w:t>
            </w:r>
          </w:p>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(nr)</w:t>
            </w:r>
          </w:p>
        </w:tc>
        <w:tc>
          <w:tcPr>
            <w:tcW w:w="2552" w:type="dxa"/>
            <w:tcBorders>
              <w:top w:val="single" w:sz="8" w:space="0" w:color="auto"/>
              <w:left w:val="nil"/>
              <w:bottom w:val="single" w:sz="8" w:space="0" w:color="auto"/>
              <w:right w:val="single" w:sz="8" w:space="0" w:color="auto"/>
            </w:tcBorders>
            <w:shd w:val="clear" w:color="auto" w:fill="00B0F0"/>
            <w:vAlign w:val="bottom"/>
            <w:hideMark/>
          </w:tcPr>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Ponderea secțiunilor de monitorizare cu  concentrații mai mari decât SCM (%)</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Someș-Tisa</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20</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Crișuri</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Mureș</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Banat</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rPr>
            </w:pPr>
            <w:r w:rsidRPr="00A54188">
              <w:rPr>
                <w:rFonts w:ascii="Arial" w:eastAsia="Times New Roman" w:hAnsi="Arial" w:cs="Arial"/>
              </w:rPr>
              <w:t xml:space="preserve">            16</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lastRenderedPageBreak/>
              <w:t>Jiu</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6</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Olt</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5</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Argeș-Vedea</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Buzău-Ialomița</w:t>
            </w:r>
          </w:p>
        </w:tc>
        <w:tc>
          <w:tcPr>
            <w:tcW w:w="1842" w:type="dxa"/>
            <w:tcBorders>
              <w:top w:val="nil"/>
              <w:left w:val="nil"/>
              <w:bottom w:val="single" w:sz="8" w:space="0" w:color="auto"/>
              <w:right w:val="single" w:sz="8" w:space="0" w:color="auto"/>
            </w:tcBorders>
            <w:shd w:val="clear" w:color="auto" w:fill="C6D9F1" w:themeFill="text2" w:themeFillTint="33"/>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4</w:t>
            </w:r>
          </w:p>
        </w:tc>
        <w:tc>
          <w:tcPr>
            <w:tcW w:w="2268" w:type="dxa"/>
            <w:tcBorders>
              <w:top w:val="nil"/>
              <w:left w:val="nil"/>
              <w:bottom w:val="single" w:sz="8" w:space="0" w:color="auto"/>
              <w:right w:val="single" w:sz="8" w:space="0" w:color="auto"/>
            </w:tcBorders>
            <w:shd w:val="clear" w:color="auto" w:fill="C6D9F1" w:themeFill="text2" w:themeFillTint="33"/>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552" w:type="dxa"/>
            <w:tcBorders>
              <w:top w:val="nil"/>
              <w:left w:val="nil"/>
              <w:bottom w:val="single" w:sz="8" w:space="0" w:color="auto"/>
              <w:right w:val="single" w:sz="8" w:space="0" w:color="auto"/>
            </w:tcBorders>
            <w:shd w:val="clear" w:color="auto" w:fill="C6D9F1" w:themeFill="text2" w:themeFillTint="33"/>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Siret</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Prut- Bârlad</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19</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5,26</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Do</w:t>
            </w:r>
            <w:r w:rsidR="007C1699" w:rsidRPr="00A54188">
              <w:rPr>
                <w:rFonts w:ascii="Arial" w:eastAsia="Times New Roman" w:hAnsi="Arial" w:cs="Arial"/>
                <w:b/>
              </w:rPr>
              <w:t>BR</w:t>
            </w:r>
            <w:r w:rsidRPr="00A54188">
              <w:rPr>
                <w:rFonts w:ascii="Arial" w:eastAsia="Times New Roman" w:hAnsi="Arial" w:cs="Arial"/>
                <w:b/>
              </w:rPr>
              <w:t>ogea-Litoral</w:t>
            </w:r>
          </w:p>
        </w:tc>
        <w:tc>
          <w:tcPr>
            <w:tcW w:w="184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14</w:t>
            </w:r>
          </w:p>
        </w:tc>
        <w:tc>
          <w:tcPr>
            <w:tcW w:w="2268"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2</w:t>
            </w:r>
          </w:p>
        </w:tc>
        <w:tc>
          <w:tcPr>
            <w:tcW w:w="2552" w:type="dxa"/>
            <w:tcBorders>
              <w:top w:val="nil"/>
              <w:left w:val="nil"/>
              <w:bottom w:val="single" w:sz="8" w:space="0" w:color="auto"/>
              <w:right w:val="single" w:sz="8" w:space="0" w:color="auto"/>
            </w:tcBorders>
            <w:shd w:val="clear" w:color="000000" w:fill="FFFFF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14,28</w:t>
            </w:r>
          </w:p>
        </w:tc>
      </w:tr>
      <w:tr w:rsidR="007551D0" w:rsidRPr="00BF3C7B" w:rsidTr="00DB2B5E">
        <w:trPr>
          <w:trHeight w:val="315"/>
          <w:jc w:val="center"/>
        </w:trPr>
        <w:tc>
          <w:tcPr>
            <w:tcW w:w="2117"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7551D0" w:rsidRPr="00A54188" w:rsidRDefault="007551D0" w:rsidP="00DB2B5E">
            <w:pPr>
              <w:spacing w:after="0" w:line="240" w:lineRule="auto"/>
              <w:rPr>
                <w:rFonts w:ascii="Arial" w:eastAsia="Times New Roman" w:hAnsi="Arial" w:cs="Arial"/>
                <w:b/>
              </w:rPr>
            </w:pPr>
            <w:r w:rsidRPr="00A54188">
              <w:rPr>
                <w:rFonts w:ascii="Arial" w:eastAsia="Times New Roman" w:hAnsi="Arial" w:cs="Arial"/>
                <w:b/>
              </w:rPr>
              <w:t>Total</w:t>
            </w:r>
          </w:p>
        </w:tc>
        <w:tc>
          <w:tcPr>
            <w:tcW w:w="1842" w:type="dxa"/>
            <w:tcBorders>
              <w:top w:val="nil"/>
              <w:left w:val="nil"/>
              <w:bottom w:val="single" w:sz="8" w:space="0" w:color="auto"/>
              <w:right w:val="single" w:sz="8" w:space="0" w:color="auto"/>
            </w:tcBorders>
            <w:shd w:val="clear" w:color="auto" w:fill="BFBFBF" w:themeFill="background1" w:themeFillShade="B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95</w:t>
            </w:r>
          </w:p>
        </w:tc>
        <w:tc>
          <w:tcPr>
            <w:tcW w:w="2268" w:type="dxa"/>
            <w:tcBorders>
              <w:top w:val="nil"/>
              <w:left w:val="nil"/>
              <w:bottom w:val="single" w:sz="8" w:space="0" w:color="auto"/>
              <w:right w:val="single" w:sz="8" w:space="0" w:color="auto"/>
            </w:tcBorders>
            <w:shd w:val="clear" w:color="auto" w:fill="BFBFBF" w:themeFill="background1" w:themeFillShade="B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w:t>
            </w:r>
          </w:p>
        </w:tc>
        <w:tc>
          <w:tcPr>
            <w:tcW w:w="2552" w:type="dxa"/>
            <w:tcBorders>
              <w:top w:val="nil"/>
              <w:left w:val="nil"/>
              <w:bottom w:val="single" w:sz="8" w:space="0" w:color="auto"/>
              <w:right w:val="single" w:sz="8" w:space="0" w:color="auto"/>
            </w:tcBorders>
            <w:shd w:val="clear" w:color="auto" w:fill="BFBFBF" w:themeFill="background1" w:themeFillShade="BF"/>
            <w:noWrap/>
            <w:vAlign w:val="bottom"/>
            <w:hideMark/>
          </w:tcPr>
          <w:p w:rsidR="007551D0" w:rsidRPr="00A54188" w:rsidRDefault="007551D0" w:rsidP="00DB2B5E">
            <w:pPr>
              <w:spacing w:after="0" w:line="240" w:lineRule="auto"/>
              <w:jc w:val="center"/>
              <w:rPr>
                <w:rFonts w:ascii="Arial" w:eastAsia="Times New Roman" w:hAnsi="Arial" w:cs="Arial"/>
              </w:rPr>
            </w:pPr>
            <w:r w:rsidRPr="00A54188">
              <w:rPr>
                <w:rFonts w:ascii="Arial" w:eastAsia="Times New Roman" w:hAnsi="Arial" w:cs="Arial"/>
              </w:rPr>
              <w:t>3,15</w:t>
            </w:r>
          </w:p>
        </w:tc>
      </w:tr>
    </w:tbl>
    <w:p w:rsidR="007551D0" w:rsidRDefault="007551D0" w:rsidP="007551D0">
      <w:pPr>
        <w:rPr>
          <w:rFonts w:ascii="Arial" w:hAnsi="Arial" w:cs="Arial"/>
          <w:b/>
          <w:i/>
          <w:sz w:val="20"/>
          <w:szCs w:val="20"/>
        </w:rPr>
      </w:pPr>
    </w:p>
    <w:p w:rsidR="007551D0" w:rsidRDefault="007551D0" w:rsidP="007551D0">
      <w:pPr>
        <w:rPr>
          <w:rFonts w:ascii="Arial" w:hAnsi="Arial" w:cs="Arial"/>
          <w:b/>
          <w:i/>
          <w:sz w:val="24"/>
          <w:szCs w:val="24"/>
        </w:rPr>
      </w:pPr>
      <w:r w:rsidRPr="007014FC">
        <w:rPr>
          <w:rFonts w:ascii="Arial" w:hAnsi="Arial" w:cs="Arial"/>
          <w:b/>
          <w:i/>
          <w:sz w:val="24"/>
          <w:szCs w:val="24"/>
        </w:rPr>
        <w:t xml:space="preserve">Ponderea secțiunilor de monitorizare cu  concentrație mai mare decât SCM (%) în perioada 2011 </w:t>
      </w:r>
      <w:r w:rsidR="009C24E2">
        <w:rPr>
          <w:rFonts w:ascii="Arial" w:hAnsi="Arial" w:cs="Arial"/>
          <w:b/>
          <w:i/>
          <w:sz w:val="24"/>
          <w:szCs w:val="24"/>
        </w:rPr>
        <w:t>–</w:t>
      </w:r>
      <w:r w:rsidRPr="007014FC">
        <w:rPr>
          <w:rFonts w:ascii="Arial" w:hAnsi="Arial" w:cs="Arial"/>
          <w:b/>
          <w:i/>
          <w:sz w:val="24"/>
          <w:szCs w:val="24"/>
        </w:rPr>
        <w:t xml:space="preserve"> 2016</w:t>
      </w:r>
    </w:p>
    <w:p w:rsidR="009C24E2" w:rsidRPr="00BF3C7B" w:rsidRDefault="009C24E2" w:rsidP="007551D0">
      <w:pPr>
        <w:rPr>
          <w:rFonts w:ascii="Arial" w:hAnsi="Arial" w:cs="Arial"/>
          <w:b/>
          <w:i/>
          <w:sz w:val="20"/>
          <w:szCs w:val="20"/>
        </w:rPr>
      </w:pPr>
      <w:r w:rsidRPr="009C24E2">
        <w:rPr>
          <w:rFonts w:ascii="Arial" w:hAnsi="Arial" w:cs="Arial"/>
          <w:sz w:val="24"/>
          <w:szCs w:val="24"/>
        </w:rPr>
        <w:t>Tabel II.2.1.2.- 3 Ponderea secțiunilor de monitorizare cu  concentrație mai mare decât SCM (%) în perioada 2011 - 2016</w:t>
      </w:r>
    </w:p>
    <w:tbl>
      <w:tblPr>
        <w:tblW w:w="9334" w:type="dxa"/>
        <w:jc w:val="center"/>
        <w:tblLook w:val="04A0"/>
      </w:tblPr>
      <w:tblGrid>
        <w:gridCol w:w="3817"/>
        <w:gridCol w:w="851"/>
        <w:gridCol w:w="992"/>
        <w:gridCol w:w="851"/>
        <w:gridCol w:w="992"/>
        <w:gridCol w:w="851"/>
        <w:gridCol w:w="980"/>
      </w:tblGrid>
      <w:tr w:rsidR="007551D0" w:rsidRPr="00BF3C7B" w:rsidTr="00DB2B5E">
        <w:trPr>
          <w:trHeight w:val="563"/>
          <w:jc w:val="center"/>
        </w:trPr>
        <w:tc>
          <w:tcPr>
            <w:tcW w:w="3817" w:type="dxa"/>
            <w:tcBorders>
              <w:top w:val="single" w:sz="8" w:space="0" w:color="auto"/>
              <w:left w:val="single" w:sz="8" w:space="0" w:color="auto"/>
              <w:bottom w:val="single" w:sz="8" w:space="0" w:color="auto"/>
              <w:right w:val="nil"/>
            </w:tcBorders>
            <w:shd w:val="clear" w:color="auto" w:fill="EEECE1" w:themeFill="background2"/>
            <w:noWrap/>
            <w:vAlign w:val="bottom"/>
            <w:hideMark/>
          </w:tcPr>
          <w:p w:rsidR="007551D0" w:rsidRDefault="007551D0" w:rsidP="00DB2B5E">
            <w:pPr>
              <w:spacing w:line="240" w:lineRule="auto"/>
              <w:jc w:val="center"/>
              <w:rPr>
                <w:rFonts w:ascii="Arial" w:hAnsi="Arial" w:cs="Arial"/>
                <w:b/>
                <w:sz w:val="24"/>
                <w:szCs w:val="24"/>
              </w:rPr>
            </w:pPr>
            <w:r w:rsidRPr="00BF3C7B">
              <w:rPr>
                <w:rFonts w:ascii="Arial" w:hAnsi="Arial" w:cs="Arial"/>
                <w:b/>
                <w:sz w:val="24"/>
                <w:szCs w:val="24"/>
              </w:rPr>
              <w:t>Evoluția secțiunilor de monitorizare cu concentrație mai mare decât SCM</w:t>
            </w:r>
          </w:p>
          <w:p w:rsidR="007551D0" w:rsidRPr="00BF3C7B" w:rsidRDefault="007551D0" w:rsidP="00A54188">
            <w:pPr>
              <w:spacing w:line="240" w:lineRule="auto"/>
              <w:jc w:val="right"/>
              <w:rPr>
                <w:rFonts w:ascii="Arial" w:eastAsia="Times New Roman" w:hAnsi="Arial" w:cs="Arial"/>
                <w:b/>
                <w:sz w:val="20"/>
                <w:szCs w:val="20"/>
              </w:rPr>
            </w:pPr>
            <w:r w:rsidRPr="00BF3C7B">
              <w:rPr>
                <w:rFonts w:ascii="Arial" w:eastAsia="Times New Roman" w:hAnsi="Arial" w:cs="Arial"/>
                <w:b/>
                <w:sz w:val="20"/>
                <w:szCs w:val="20"/>
              </w:rPr>
              <w:t>Anul</w:t>
            </w:r>
          </w:p>
        </w:tc>
        <w:tc>
          <w:tcPr>
            <w:tcW w:w="851"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center"/>
            <w:hideMark/>
          </w:tcPr>
          <w:p w:rsidR="007551D0" w:rsidRPr="00BF3C7B" w:rsidRDefault="007551D0" w:rsidP="00DB2B5E">
            <w:pPr>
              <w:spacing w:after="0" w:line="240" w:lineRule="auto"/>
              <w:jc w:val="center"/>
              <w:rPr>
                <w:rFonts w:ascii="Arial" w:eastAsia="Times New Roman" w:hAnsi="Arial" w:cs="Arial"/>
                <w:b/>
                <w:sz w:val="20"/>
                <w:szCs w:val="20"/>
              </w:rPr>
            </w:pPr>
          </w:p>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2011</w:t>
            </w:r>
          </w:p>
        </w:tc>
        <w:tc>
          <w:tcPr>
            <w:tcW w:w="992"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rsidR="007551D0" w:rsidRPr="00BF3C7B" w:rsidRDefault="007551D0" w:rsidP="00DB2B5E">
            <w:pPr>
              <w:spacing w:after="0" w:line="240" w:lineRule="auto"/>
              <w:jc w:val="center"/>
              <w:rPr>
                <w:rFonts w:ascii="Arial" w:eastAsia="Times New Roman" w:hAnsi="Arial" w:cs="Arial"/>
                <w:b/>
                <w:sz w:val="20"/>
                <w:szCs w:val="20"/>
              </w:rPr>
            </w:pPr>
          </w:p>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2012</w:t>
            </w:r>
          </w:p>
        </w:tc>
        <w:tc>
          <w:tcPr>
            <w:tcW w:w="851"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rsidR="007551D0" w:rsidRPr="00BF3C7B" w:rsidRDefault="007551D0" w:rsidP="00DB2B5E">
            <w:pPr>
              <w:spacing w:after="0" w:line="240" w:lineRule="auto"/>
              <w:jc w:val="center"/>
              <w:rPr>
                <w:rFonts w:ascii="Arial" w:eastAsia="Times New Roman" w:hAnsi="Arial" w:cs="Arial"/>
                <w:b/>
                <w:sz w:val="20"/>
                <w:szCs w:val="20"/>
              </w:rPr>
            </w:pPr>
          </w:p>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2013</w:t>
            </w:r>
          </w:p>
        </w:tc>
        <w:tc>
          <w:tcPr>
            <w:tcW w:w="992"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rsidR="007551D0" w:rsidRPr="00BF3C7B" w:rsidRDefault="007551D0" w:rsidP="00DB2B5E">
            <w:pPr>
              <w:spacing w:after="0" w:line="240" w:lineRule="auto"/>
              <w:jc w:val="center"/>
              <w:rPr>
                <w:rFonts w:ascii="Arial" w:eastAsia="Times New Roman" w:hAnsi="Arial" w:cs="Arial"/>
                <w:b/>
                <w:sz w:val="20"/>
                <w:szCs w:val="20"/>
              </w:rPr>
            </w:pPr>
          </w:p>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2014</w:t>
            </w:r>
          </w:p>
        </w:tc>
        <w:tc>
          <w:tcPr>
            <w:tcW w:w="851" w:type="dxa"/>
            <w:tcBorders>
              <w:top w:val="single" w:sz="8" w:space="0" w:color="auto"/>
              <w:left w:val="nil"/>
              <w:bottom w:val="single" w:sz="8" w:space="0" w:color="auto"/>
              <w:right w:val="single" w:sz="8" w:space="0" w:color="auto"/>
            </w:tcBorders>
            <w:shd w:val="clear" w:color="auto" w:fill="DDD9C3" w:themeFill="background2" w:themeFillShade="E6"/>
            <w:vAlign w:val="center"/>
          </w:tcPr>
          <w:p w:rsidR="007551D0" w:rsidRPr="00BF3C7B" w:rsidRDefault="007551D0" w:rsidP="00DB2B5E">
            <w:pPr>
              <w:spacing w:after="0" w:line="240" w:lineRule="auto"/>
              <w:jc w:val="center"/>
              <w:rPr>
                <w:rFonts w:ascii="Arial" w:eastAsia="Times New Roman" w:hAnsi="Arial" w:cs="Arial"/>
                <w:b/>
                <w:sz w:val="20"/>
                <w:szCs w:val="20"/>
              </w:rPr>
            </w:pPr>
          </w:p>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2015</w:t>
            </w:r>
          </w:p>
        </w:tc>
        <w:tc>
          <w:tcPr>
            <w:tcW w:w="980" w:type="dxa"/>
            <w:tcBorders>
              <w:top w:val="single" w:sz="8" w:space="0" w:color="auto"/>
              <w:left w:val="nil"/>
              <w:bottom w:val="single" w:sz="8" w:space="0" w:color="auto"/>
              <w:right w:val="single" w:sz="8" w:space="0" w:color="auto"/>
            </w:tcBorders>
            <w:shd w:val="clear" w:color="auto" w:fill="DDD9C3" w:themeFill="background2" w:themeFillShade="E6"/>
            <w:vAlign w:val="center"/>
          </w:tcPr>
          <w:p w:rsidR="007551D0" w:rsidRPr="00BF3C7B" w:rsidRDefault="007551D0" w:rsidP="00DB2B5E">
            <w:pPr>
              <w:spacing w:after="0" w:line="240" w:lineRule="auto"/>
              <w:jc w:val="center"/>
              <w:rPr>
                <w:rFonts w:ascii="Arial" w:eastAsia="Times New Roman" w:hAnsi="Arial" w:cs="Arial"/>
                <w:b/>
                <w:sz w:val="20"/>
                <w:szCs w:val="20"/>
              </w:rPr>
            </w:pPr>
          </w:p>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2016</w:t>
            </w:r>
          </w:p>
        </w:tc>
      </w:tr>
      <w:tr w:rsidR="007551D0" w:rsidRPr="00BF3C7B" w:rsidTr="00DB2B5E">
        <w:trPr>
          <w:trHeight w:val="304"/>
          <w:jc w:val="center"/>
        </w:trPr>
        <w:tc>
          <w:tcPr>
            <w:tcW w:w="3817" w:type="dxa"/>
            <w:tcBorders>
              <w:top w:val="single" w:sz="8" w:space="0" w:color="auto"/>
              <w:left w:val="single" w:sz="8" w:space="0" w:color="auto"/>
              <w:bottom w:val="single" w:sz="8" w:space="0" w:color="auto"/>
              <w:right w:val="nil"/>
            </w:tcBorders>
            <w:shd w:val="clear" w:color="auto" w:fill="EEECE1" w:themeFill="background2"/>
            <w:noWrap/>
            <w:vAlign w:val="bottom"/>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Substanțe prioritare monitorizate (nr.)</w:t>
            </w:r>
          </w:p>
        </w:tc>
        <w:tc>
          <w:tcPr>
            <w:tcW w:w="851" w:type="dxa"/>
            <w:tcBorders>
              <w:top w:val="nil"/>
              <w:left w:val="single" w:sz="8" w:space="0" w:color="auto"/>
              <w:bottom w:val="single" w:sz="8" w:space="0" w:color="auto"/>
              <w:right w:val="single" w:sz="8" w:space="0" w:color="auto"/>
            </w:tcBorders>
            <w:shd w:val="clear" w:color="auto" w:fill="EEECE1" w:themeFill="background2"/>
            <w:noWrap/>
            <w:vAlign w:val="center"/>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34</w:t>
            </w:r>
          </w:p>
        </w:tc>
        <w:tc>
          <w:tcPr>
            <w:tcW w:w="992" w:type="dxa"/>
            <w:tcBorders>
              <w:top w:val="nil"/>
              <w:left w:val="nil"/>
              <w:bottom w:val="single" w:sz="8" w:space="0" w:color="auto"/>
              <w:right w:val="single" w:sz="8" w:space="0" w:color="auto"/>
            </w:tcBorders>
            <w:shd w:val="clear" w:color="auto" w:fill="EEECE1" w:themeFill="background2"/>
            <w:noWrap/>
            <w:vAlign w:val="center"/>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37</w:t>
            </w:r>
          </w:p>
        </w:tc>
        <w:tc>
          <w:tcPr>
            <w:tcW w:w="851" w:type="dxa"/>
            <w:tcBorders>
              <w:top w:val="nil"/>
              <w:left w:val="nil"/>
              <w:bottom w:val="single" w:sz="8" w:space="0" w:color="auto"/>
              <w:right w:val="single" w:sz="8" w:space="0" w:color="auto"/>
            </w:tcBorders>
            <w:shd w:val="clear" w:color="auto" w:fill="EEECE1" w:themeFill="background2"/>
            <w:noWrap/>
            <w:vAlign w:val="center"/>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37</w:t>
            </w:r>
          </w:p>
        </w:tc>
        <w:tc>
          <w:tcPr>
            <w:tcW w:w="992" w:type="dxa"/>
            <w:tcBorders>
              <w:top w:val="nil"/>
              <w:left w:val="nil"/>
              <w:bottom w:val="single" w:sz="8" w:space="0" w:color="auto"/>
              <w:right w:val="single" w:sz="8" w:space="0" w:color="auto"/>
            </w:tcBorders>
            <w:shd w:val="clear" w:color="auto" w:fill="EEECE1" w:themeFill="background2"/>
            <w:noWrap/>
            <w:vAlign w:val="center"/>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37</w:t>
            </w:r>
          </w:p>
        </w:tc>
        <w:tc>
          <w:tcPr>
            <w:tcW w:w="851" w:type="dxa"/>
            <w:tcBorders>
              <w:top w:val="nil"/>
              <w:left w:val="nil"/>
              <w:bottom w:val="single" w:sz="8" w:space="0" w:color="auto"/>
              <w:right w:val="single" w:sz="8" w:space="0" w:color="auto"/>
            </w:tcBorders>
            <w:shd w:val="clear" w:color="auto" w:fill="EEECE1" w:themeFill="background2"/>
            <w:vAlign w:val="center"/>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31</w:t>
            </w:r>
          </w:p>
        </w:tc>
        <w:tc>
          <w:tcPr>
            <w:tcW w:w="980" w:type="dxa"/>
            <w:tcBorders>
              <w:top w:val="nil"/>
              <w:left w:val="nil"/>
              <w:bottom w:val="single" w:sz="8" w:space="0" w:color="auto"/>
              <w:right w:val="single" w:sz="8" w:space="0" w:color="auto"/>
            </w:tcBorders>
            <w:shd w:val="clear" w:color="auto" w:fill="EEECE1" w:themeFill="background2"/>
            <w:vAlign w:val="center"/>
          </w:tcPr>
          <w:p w:rsidR="007551D0" w:rsidRPr="00BF3C7B" w:rsidRDefault="007551D0" w:rsidP="00DB2B5E">
            <w:pPr>
              <w:spacing w:after="0" w:line="240" w:lineRule="auto"/>
              <w:jc w:val="center"/>
              <w:rPr>
                <w:rFonts w:ascii="Arial" w:eastAsia="Times New Roman" w:hAnsi="Arial" w:cs="Arial"/>
                <w:sz w:val="20"/>
                <w:szCs w:val="20"/>
              </w:rPr>
            </w:pPr>
            <w:r>
              <w:rPr>
                <w:rFonts w:ascii="Arial" w:eastAsia="Times New Roman" w:hAnsi="Arial" w:cs="Arial"/>
                <w:sz w:val="20"/>
                <w:szCs w:val="20"/>
              </w:rPr>
              <w:t>37</w:t>
            </w:r>
          </w:p>
        </w:tc>
      </w:tr>
      <w:tr w:rsidR="007551D0" w:rsidRPr="00BF3C7B" w:rsidTr="00DB2B5E">
        <w:trPr>
          <w:trHeight w:val="343"/>
          <w:jc w:val="center"/>
        </w:trPr>
        <w:tc>
          <w:tcPr>
            <w:tcW w:w="3817" w:type="dxa"/>
            <w:tcBorders>
              <w:top w:val="single" w:sz="8" w:space="0" w:color="auto"/>
              <w:left w:val="single" w:sz="8" w:space="0" w:color="auto"/>
              <w:bottom w:val="single" w:sz="8" w:space="0" w:color="auto"/>
              <w:right w:val="nil"/>
            </w:tcBorders>
            <w:shd w:val="clear" w:color="auto" w:fill="EEECE1" w:themeFill="background2"/>
            <w:noWrap/>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Secțiuni de monitorizare (nr.)</w:t>
            </w:r>
          </w:p>
        </w:tc>
        <w:tc>
          <w:tcPr>
            <w:tcW w:w="851" w:type="dxa"/>
            <w:tcBorders>
              <w:top w:val="nil"/>
              <w:left w:val="single" w:sz="8" w:space="0" w:color="auto"/>
              <w:bottom w:val="single" w:sz="8" w:space="0" w:color="auto"/>
              <w:right w:val="single" w:sz="8" w:space="0" w:color="auto"/>
            </w:tcBorders>
            <w:shd w:val="clear" w:color="auto" w:fill="EEECE1" w:themeFill="background2"/>
            <w:noWrap/>
            <w:vAlign w:val="center"/>
            <w:hideMark/>
          </w:tcPr>
          <w:p w:rsidR="007551D0" w:rsidRPr="00BF3C7B" w:rsidRDefault="007551D0" w:rsidP="00DB2B5E">
            <w:pPr>
              <w:jc w:val="center"/>
              <w:rPr>
                <w:rFonts w:ascii="Arial" w:hAnsi="Arial" w:cs="Arial"/>
                <w:sz w:val="20"/>
                <w:szCs w:val="20"/>
              </w:rPr>
            </w:pPr>
            <w:r w:rsidRPr="00BF3C7B">
              <w:rPr>
                <w:rFonts w:ascii="Arial" w:hAnsi="Arial" w:cs="Arial"/>
                <w:sz w:val="20"/>
                <w:szCs w:val="20"/>
              </w:rPr>
              <w:t>110</w:t>
            </w:r>
          </w:p>
        </w:tc>
        <w:tc>
          <w:tcPr>
            <w:tcW w:w="992" w:type="dxa"/>
            <w:tcBorders>
              <w:top w:val="nil"/>
              <w:left w:val="nil"/>
              <w:bottom w:val="single" w:sz="8" w:space="0" w:color="auto"/>
              <w:right w:val="single" w:sz="8" w:space="0" w:color="auto"/>
            </w:tcBorders>
            <w:shd w:val="clear" w:color="auto" w:fill="EEECE1" w:themeFill="background2"/>
            <w:noWrap/>
            <w:vAlign w:val="center"/>
            <w:hideMark/>
          </w:tcPr>
          <w:p w:rsidR="007551D0" w:rsidRPr="00BF3C7B" w:rsidRDefault="007551D0" w:rsidP="00DB2B5E">
            <w:pPr>
              <w:jc w:val="center"/>
              <w:rPr>
                <w:rFonts w:ascii="Arial" w:hAnsi="Arial" w:cs="Arial"/>
                <w:sz w:val="20"/>
                <w:szCs w:val="20"/>
              </w:rPr>
            </w:pPr>
            <w:r w:rsidRPr="00BF3C7B">
              <w:rPr>
                <w:rFonts w:ascii="Arial" w:hAnsi="Arial" w:cs="Arial"/>
                <w:sz w:val="20"/>
                <w:szCs w:val="20"/>
              </w:rPr>
              <w:t>109</w:t>
            </w:r>
          </w:p>
        </w:tc>
        <w:tc>
          <w:tcPr>
            <w:tcW w:w="851" w:type="dxa"/>
            <w:tcBorders>
              <w:top w:val="nil"/>
              <w:left w:val="nil"/>
              <w:bottom w:val="single" w:sz="8" w:space="0" w:color="auto"/>
              <w:right w:val="single" w:sz="8" w:space="0" w:color="auto"/>
            </w:tcBorders>
            <w:shd w:val="clear" w:color="auto" w:fill="EEECE1" w:themeFill="background2"/>
            <w:noWrap/>
            <w:vAlign w:val="center"/>
            <w:hideMark/>
          </w:tcPr>
          <w:p w:rsidR="007551D0" w:rsidRPr="00BF3C7B" w:rsidRDefault="007551D0" w:rsidP="00DB2B5E">
            <w:pPr>
              <w:jc w:val="center"/>
              <w:rPr>
                <w:rFonts w:ascii="Arial" w:hAnsi="Arial" w:cs="Arial"/>
                <w:sz w:val="20"/>
                <w:szCs w:val="20"/>
              </w:rPr>
            </w:pPr>
            <w:r w:rsidRPr="00BF3C7B">
              <w:rPr>
                <w:rFonts w:ascii="Arial" w:hAnsi="Arial" w:cs="Arial"/>
                <w:sz w:val="20"/>
                <w:szCs w:val="20"/>
              </w:rPr>
              <w:t>98</w:t>
            </w:r>
          </w:p>
        </w:tc>
        <w:tc>
          <w:tcPr>
            <w:tcW w:w="992" w:type="dxa"/>
            <w:tcBorders>
              <w:top w:val="nil"/>
              <w:left w:val="nil"/>
              <w:bottom w:val="single" w:sz="8" w:space="0" w:color="auto"/>
              <w:right w:val="single" w:sz="8" w:space="0" w:color="auto"/>
            </w:tcBorders>
            <w:shd w:val="clear" w:color="auto" w:fill="EEECE1" w:themeFill="background2"/>
            <w:noWrap/>
            <w:vAlign w:val="center"/>
            <w:hideMark/>
          </w:tcPr>
          <w:p w:rsidR="007551D0" w:rsidRPr="00BF3C7B" w:rsidRDefault="007551D0" w:rsidP="00DB2B5E">
            <w:pPr>
              <w:jc w:val="center"/>
              <w:rPr>
                <w:rFonts w:ascii="Arial" w:hAnsi="Arial" w:cs="Arial"/>
                <w:sz w:val="20"/>
                <w:szCs w:val="20"/>
              </w:rPr>
            </w:pPr>
            <w:r w:rsidRPr="00BF3C7B">
              <w:rPr>
                <w:rFonts w:ascii="Arial" w:hAnsi="Arial" w:cs="Arial"/>
                <w:sz w:val="20"/>
                <w:szCs w:val="20"/>
              </w:rPr>
              <w:t>92</w:t>
            </w:r>
          </w:p>
        </w:tc>
        <w:tc>
          <w:tcPr>
            <w:tcW w:w="851" w:type="dxa"/>
            <w:tcBorders>
              <w:top w:val="nil"/>
              <w:left w:val="nil"/>
              <w:bottom w:val="single" w:sz="8" w:space="0" w:color="auto"/>
              <w:right w:val="single" w:sz="8" w:space="0" w:color="auto"/>
            </w:tcBorders>
            <w:shd w:val="clear" w:color="auto" w:fill="EEECE1" w:themeFill="background2"/>
            <w:vAlign w:val="center"/>
          </w:tcPr>
          <w:p w:rsidR="007551D0" w:rsidRPr="00BF3C7B" w:rsidRDefault="007551D0" w:rsidP="00DB2B5E">
            <w:pPr>
              <w:jc w:val="center"/>
              <w:rPr>
                <w:rFonts w:ascii="Arial" w:hAnsi="Arial" w:cs="Arial"/>
                <w:sz w:val="20"/>
                <w:szCs w:val="20"/>
              </w:rPr>
            </w:pPr>
            <w:r w:rsidRPr="00BF3C7B">
              <w:rPr>
                <w:rFonts w:ascii="Arial" w:hAnsi="Arial" w:cs="Arial"/>
                <w:sz w:val="20"/>
                <w:szCs w:val="20"/>
              </w:rPr>
              <w:t>71</w:t>
            </w:r>
          </w:p>
        </w:tc>
        <w:tc>
          <w:tcPr>
            <w:tcW w:w="980" w:type="dxa"/>
            <w:tcBorders>
              <w:top w:val="nil"/>
              <w:left w:val="nil"/>
              <w:bottom w:val="single" w:sz="8" w:space="0" w:color="auto"/>
              <w:right w:val="single" w:sz="8" w:space="0" w:color="auto"/>
            </w:tcBorders>
            <w:shd w:val="clear" w:color="auto" w:fill="EEECE1" w:themeFill="background2"/>
            <w:vAlign w:val="center"/>
          </w:tcPr>
          <w:p w:rsidR="007551D0" w:rsidRPr="00BF3C7B" w:rsidRDefault="007551D0" w:rsidP="00DB2B5E">
            <w:pPr>
              <w:jc w:val="center"/>
              <w:rPr>
                <w:rFonts w:ascii="Arial" w:hAnsi="Arial" w:cs="Arial"/>
                <w:sz w:val="20"/>
                <w:szCs w:val="20"/>
              </w:rPr>
            </w:pPr>
            <w:r>
              <w:rPr>
                <w:rFonts w:ascii="Arial" w:hAnsi="Arial" w:cs="Arial"/>
                <w:sz w:val="20"/>
                <w:szCs w:val="20"/>
              </w:rPr>
              <w:t>95</w:t>
            </w:r>
          </w:p>
        </w:tc>
      </w:tr>
      <w:tr w:rsidR="007551D0" w:rsidRPr="00BF3C7B" w:rsidTr="00DB2B5E">
        <w:trPr>
          <w:trHeight w:val="618"/>
          <w:jc w:val="center"/>
        </w:trPr>
        <w:tc>
          <w:tcPr>
            <w:tcW w:w="3817" w:type="dxa"/>
            <w:tcBorders>
              <w:top w:val="nil"/>
              <w:left w:val="single" w:sz="8" w:space="0" w:color="auto"/>
              <w:bottom w:val="single" w:sz="8" w:space="0" w:color="auto"/>
              <w:right w:val="nil"/>
            </w:tcBorders>
            <w:shd w:val="clear" w:color="auto" w:fill="EEECE1" w:themeFill="background2"/>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Ponderea secțiunilor cu  concentrație mai mare decat SCM (%)</w:t>
            </w:r>
          </w:p>
        </w:tc>
        <w:tc>
          <w:tcPr>
            <w:tcW w:w="851" w:type="dxa"/>
            <w:tcBorders>
              <w:top w:val="nil"/>
              <w:left w:val="single" w:sz="8" w:space="0" w:color="auto"/>
              <w:bottom w:val="single" w:sz="8" w:space="0" w:color="auto"/>
              <w:right w:val="single" w:sz="8" w:space="0" w:color="auto"/>
            </w:tcBorders>
            <w:shd w:val="clear" w:color="auto" w:fill="EEECE1" w:themeFill="background2"/>
            <w:noWrap/>
            <w:vAlign w:val="center"/>
            <w:hideMark/>
          </w:tcPr>
          <w:p w:rsidR="007551D0" w:rsidRPr="00BF3C7B" w:rsidRDefault="007551D0" w:rsidP="00DB2B5E">
            <w:pPr>
              <w:rPr>
                <w:rFonts w:ascii="Arial" w:hAnsi="Arial" w:cs="Arial"/>
                <w:sz w:val="20"/>
                <w:szCs w:val="20"/>
              </w:rPr>
            </w:pPr>
            <w:r w:rsidRPr="00BF3C7B">
              <w:rPr>
                <w:rFonts w:ascii="Arial" w:hAnsi="Arial" w:cs="Arial"/>
                <w:sz w:val="20"/>
                <w:szCs w:val="20"/>
              </w:rPr>
              <w:t>13.64</w:t>
            </w:r>
          </w:p>
        </w:tc>
        <w:tc>
          <w:tcPr>
            <w:tcW w:w="992" w:type="dxa"/>
            <w:tcBorders>
              <w:top w:val="nil"/>
              <w:left w:val="nil"/>
              <w:bottom w:val="single" w:sz="8" w:space="0" w:color="auto"/>
              <w:right w:val="single" w:sz="8" w:space="0" w:color="auto"/>
            </w:tcBorders>
            <w:shd w:val="clear" w:color="auto" w:fill="EEECE1" w:themeFill="background2"/>
            <w:noWrap/>
            <w:vAlign w:val="center"/>
            <w:hideMark/>
          </w:tcPr>
          <w:p w:rsidR="007551D0" w:rsidRPr="00BF3C7B" w:rsidRDefault="007551D0" w:rsidP="00DB2B5E">
            <w:pPr>
              <w:rPr>
                <w:rFonts w:ascii="Arial" w:hAnsi="Arial" w:cs="Arial"/>
                <w:sz w:val="20"/>
                <w:szCs w:val="20"/>
              </w:rPr>
            </w:pPr>
            <w:r w:rsidRPr="00BF3C7B">
              <w:rPr>
                <w:rFonts w:ascii="Arial" w:hAnsi="Arial" w:cs="Arial"/>
                <w:sz w:val="20"/>
                <w:szCs w:val="20"/>
              </w:rPr>
              <w:t>24.77</w:t>
            </w:r>
          </w:p>
        </w:tc>
        <w:tc>
          <w:tcPr>
            <w:tcW w:w="851" w:type="dxa"/>
            <w:tcBorders>
              <w:top w:val="nil"/>
              <w:left w:val="nil"/>
              <w:bottom w:val="single" w:sz="8" w:space="0" w:color="auto"/>
              <w:right w:val="single" w:sz="8" w:space="0" w:color="auto"/>
            </w:tcBorders>
            <w:shd w:val="clear" w:color="auto" w:fill="EEECE1" w:themeFill="background2"/>
            <w:noWrap/>
            <w:vAlign w:val="center"/>
            <w:hideMark/>
          </w:tcPr>
          <w:p w:rsidR="007551D0" w:rsidRPr="00BF3C7B" w:rsidRDefault="007551D0" w:rsidP="00DB2B5E">
            <w:pPr>
              <w:rPr>
                <w:rFonts w:ascii="Arial" w:hAnsi="Arial" w:cs="Arial"/>
                <w:sz w:val="20"/>
                <w:szCs w:val="20"/>
              </w:rPr>
            </w:pPr>
            <w:r w:rsidRPr="00BF3C7B">
              <w:rPr>
                <w:rFonts w:ascii="Arial" w:hAnsi="Arial" w:cs="Arial"/>
                <w:sz w:val="20"/>
                <w:szCs w:val="20"/>
              </w:rPr>
              <w:t>53.06</w:t>
            </w:r>
          </w:p>
        </w:tc>
        <w:tc>
          <w:tcPr>
            <w:tcW w:w="992" w:type="dxa"/>
            <w:tcBorders>
              <w:top w:val="nil"/>
              <w:left w:val="nil"/>
              <w:bottom w:val="single" w:sz="8" w:space="0" w:color="auto"/>
              <w:right w:val="single" w:sz="8" w:space="0" w:color="auto"/>
            </w:tcBorders>
            <w:shd w:val="clear" w:color="auto" w:fill="EEECE1" w:themeFill="background2"/>
            <w:noWrap/>
            <w:vAlign w:val="center"/>
            <w:hideMark/>
          </w:tcPr>
          <w:p w:rsidR="007551D0" w:rsidRPr="00BF3C7B" w:rsidRDefault="007551D0" w:rsidP="00DB2B5E">
            <w:pPr>
              <w:rPr>
                <w:rFonts w:ascii="Arial" w:hAnsi="Arial" w:cs="Arial"/>
                <w:sz w:val="20"/>
                <w:szCs w:val="20"/>
              </w:rPr>
            </w:pPr>
            <w:r w:rsidRPr="00BF3C7B">
              <w:rPr>
                <w:rFonts w:ascii="Arial" w:hAnsi="Arial" w:cs="Arial"/>
                <w:sz w:val="20"/>
                <w:szCs w:val="20"/>
              </w:rPr>
              <w:t>11.96</w:t>
            </w:r>
          </w:p>
        </w:tc>
        <w:tc>
          <w:tcPr>
            <w:tcW w:w="851" w:type="dxa"/>
            <w:tcBorders>
              <w:top w:val="nil"/>
              <w:left w:val="nil"/>
              <w:bottom w:val="single" w:sz="8" w:space="0" w:color="auto"/>
              <w:right w:val="single" w:sz="8" w:space="0" w:color="auto"/>
            </w:tcBorders>
            <w:shd w:val="clear" w:color="auto" w:fill="EEECE1" w:themeFill="background2"/>
            <w:vAlign w:val="center"/>
          </w:tcPr>
          <w:p w:rsidR="007551D0" w:rsidRPr="00BF3C7B" w:rsidRDefault="007551D0" w:rsidP="00DB2B5E">
            <w:pPr>
              <w:rPr>
                <w:rFonts w:ascii="Arial" w:hAnsi="Arial" w:cs="Arial"/>
                <w:sz w:val="20"/>
                <w:szCs w:val="20"/>
              </w:rPr>
            </w:pPr>
            <w:r w:rsidRPr="00BF3C7B">
              <w:rPr>
                <w:rFonts w:ascii="Arial" w:hAnsi="Arial" w:cs="Arial"/>
                <w:sz w:val="20"/>
                <w:szCs w:val="20"/>
              </w:rPr>
              <w:t>2.81</w:t>
            </w:r>
          </w:p>
        </w:tc>
        <w:tc>
          <w:tcPr>
            <w:tcW w:w="980" w:type="dxa"/>
            <w:tcBorders>
              <w:top w:val="nil"/>
              <w:left w:val="nil"/>
              <w:bottom w:val="single" w:sz="8" w:space="0" w:color="auto"/>
              <w:right w:val="single" w:sz="8" w:space="0" w:color="auto"/>
            </w:tcBorders>
            <w:shd w:val="clear" w:color="auto" w:fill="EEECE1" w:themeFill="background2"/>
            <w:vAlign w:val="center"/>
          </w:tcPr>
          <w:p w:rsidR="007551D0" w:rsidRPr="00BF3C7B" w:rsidRDefault="007551D0" w:rsidP="00DB2B5E">
            <w:pPr>
              <w:rPr>
                <w:rFonts w:ascii="Arial" w:hAnsi="Arial" w:cs="Arial"/>
                <w:sz w:val="20"/>
                <w:szCs w:val="20"/>
              </w:rPr>
            </w:pPr>
            <w:r>
              <w:rPr>
                <w:rFonts w:ascii="Arial" w:hAnsi="Arial" w:cs="Arial"/>
                <w:sz w:val="20"/>
                <w:szCs w:val="20"/>
              </w:rPr>
              <w:t xml:space="preserve">    3.15</w:t>
            </w:r>
          </w:p>
        </w:tc>
      </w:tr>
    </w:tbl>
    <w:p w:rsidR="007551D0" w:rsidRDefault="007551D0" w:rsidP="007551D0">
      <w:pPr>
        <w:rPr>
          <w:rFonts w:ascii="Arial" w:hAnsi="Arial" w:cs="Arial"/>
          <w:b/>
          <w:i/>
          <w:sz w:val="20"/>
          <w:szCs w:val="20"/>
        </w:rPr>
      </w:pPr>
    </w:p>
    <w:p w:rsidR="007551D0" w:rsidRDefault="007551D0" w:rsidP="007551D0">
      <w:pPr>
        <w:pStyle w:val="Default"/>
        <w:rPr>
          <w:rFonts w:ascii="Arial" w:hAnsi="Arial" w:cs="Arial"/>
          <w:b/>
          <w:bCs/>
          <w:color w:val="auto"/>
        </w:rPr>
      </w:pPr>
    </w:p>
    <w:p w:rsidR="007551D0" w:rsidRDefault="007551D0" w:rsidP="007551D0">
      <w:pPr>
        <w:pStyle w:val="Default"/>
        <w:rPr>
          <w:rFonts w:ascii="Arial" w:hAnsi="Arial" w:cs="Arial"/>
          <w:b/>
          <w:bCs/>
          <w:color w:val="auto"/>
        </w:rPr>
      </w:pPr>
      <w:r w:rsidRPr="00E92120">
        <w:rPr>
          <w:rFonts w:ascii="Arial" w:hAnsi="Arial" w:cs="Arial"/>
          <w:b/>
          <w:bCs/>
          <w:color w:val="auto"/>
        </w:rPr>
        <w:t xml:space="preserve">II.2.1.3. Calitatea apelor subterane </w:t>
      </w:r>
    </w:p>
    <w:p w:rsidR="007551D0" w:rsidRPr="007C3218" w:rsidRDefault="007551D0" w:rsidP="007551D0">
      <w:pPr>
        <w:pStyle w:val="Default"/>
        <w:rPr>
          <w:rFonts w:ascii="Arial" w:hAnsi="Arial" w:cs="Arial"/>
          <w:b/>
          <w:color w:val="FF0000"/>
        </w:rPr>
      </w:pPr>
    </w:p>
    <w:p w:rsidR="007551D0" w:rsidRPr="00BF3C7B" w:rsidRDefault="007551D0" w:rsidP="007551D0">
      <w:pPr>
        <w:jc w:val="both"/>
        <w:rPr>
          <w:rFonts w:ascii="Arial" w:hAnsi="Arial" w:cs="Arial"/>
          <w:b/>
          <w:i/>
          <w:sz w:val="24"/>
          <w:szCs w:val="24"/>
          <w:lang w:val="en-US"/>
        </w:rPr>
      </w:pPr>
      <w:r>
        <w:rPr>
          <w:rFonts w:ascii="Arial" w:hAnsi="Arial" w:cs="Arial"/>
          <w:b/>
          <w:i/>
          <w:sz w:val="24"/>
          <w:szCs w:val="24"/>
          <w:lang w:val="en-US"/>
        </w:rPr>
        <w:t>E</w:t>
      </w:r>
      <w:r w:rsidRPr="00BF3C7B">
        <w:rPr>
          <w:rFonts w:ascii="Arial" w:hAnsi="Arial" w:cs="Arial"/>
          <w:b/>
          <w:i/>
          <w:sz w:val="24"/>
          <w:szCs w:val="24"/>
          <w:lang w:val="en-US"/>
        </w:rPr>
        <w:t>voluția numărului punctelor de monitorizare cu depășiri la conținutul de nitrați în perioada 2011 – 2016 (%)</w:t>
      </w:r>
      <w:r>
        <w:rPr>
          <w:rFonts w:ascii="Arial" w:hAnsi="Arial" w:cs="Arial"/>
          <w:b/>
          <w:i/>
          <w:sz w:val="24"/>
          <w:szCs w:val="24"/>
          <w:lang w:val="en-US"/>
        </w:rPr>
        <w:t xml:space="preserve"> - la nivel național</w:t>
      </w:r>
    </w:p>
    <w:p w:rsidR="007551D0" w:rsidRPr="00BF3C7B" w:rsidRDefault="007551D0" w:rsidP="009C24E2">
      <w:pPr>
        <w:jc w:val="center"/>
        <w:rPr>
          <w:rFonts w:ascii="Arial" w:hAnsi="Arial" w:cs="Arial"/>
          <w:b/>
          <w:i/>
          <w:sz w:val="24"/>
          <w:szCs w:val="24"/>
          <w:lang w:val="en-US"/>
        </w:rPr>
      </w:pPr>
      <w:r>
        <w:rPr>
          <w:noProof/>
          <w:lang w:eastAsia="ro-RO"/>
        </w:rPr>
        <w:drawing>
          <wp:inline distT="0" distB="0" distL="0" distR="0">
            <wp:extent cx="5219700" cy="2305050"/>
            <wp:effectExtent l="19050" t="0" r="19050" b="0"/>
            <wp:docPr id="20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551D0" w:rsidRPr="009C24E2" w:rsidRDefault="007551D0" w:rsidP="007551D0">
      <w:pPr>
        <w:rPr>
          <w:rFonts w:ascii="Arial" w:hAnsi="Arial" w:cs="Arial"/>
          <w:color w:val="FF0000"/>
          <w:sz w:val="24"/>
          <w:szCs w:val="24"/>
        </w:rPr>
      </w:pPr>
      <w:r w:rsidRPr="009C24E2">
        <w:rPr>
          <w:rFonts w:ascii="Arial" w:hAnsi="Arial" w:cs="Arial"/>
          <w:sz w:val="24"/>
          <w:szCs w:val="24"/>
        </w:rPr>
        <w:t>Figura II.2.1.3. -1  Evoluția punctelor de monitorizare cu depășiri ale concentrațiilor de nitrați  în  perioada 2011-2016 (%)</w:t>
      </w:r>
    </w:p>
    <w:p w:rsidR="007551D0" w:rsidRPr="00BF3C7B" w:rsidRDefault="007551D0" w:rsidP="007551D0">
      <w:pPr>
        <w:jc w:val="center"/>
        <w:rPr>
          <w:rFonts w:ascii="Arial" w:hAnsi="Arial" w:cs="Arial"/>
          <w:b/>
          <w:sz w:val="24"/>
          <w:szCs w:val="24"/>
        </w:rPr>
      </w:pPr>
      <w:r w:rsidRPr="00E5094C">
        <w:rPr>
          <w:rFonts w:ascii="Arial" w:hAnsi="Arial" w:cs="Arial"/>
          <w:b/>
          <w:sz w:val="24"/>
          <w:szCs w:val="24"/>
        </w:rPr>
        <w:lastRenderedPageBreak/>
        <w:t>INDICATOR WHS 01.</w:t>
      </w:r>
      <w:r>
        <w:rPr>
          <w:rFonts w:ascii="Arial" w:hAnsi="Arial" w:cs="Arial"/>
          <w:b/>
          <w:sz w:val="24"/>
          <w:szCs w:val="24"/>
        </w:rPr>
        <w:t>P</w:t>
      </w:r>
      <w:r w:rsidRPr="00E5094C">
        <w:rPr>
          <w:rFonts w:ascii="Arial" w:hAnsi="Arial" w:cs="Arial"/>
          <w:b/>
          <w:sz w:val="24"/>
          <w:szCs w:val="24"/>
        </w:rPr>
        <w:t>esticidele din apele subterane (RO 64)</w:t>
      </w:r>
    </w:p>
    <w:p w:rsidR="007551D0" w:rsidRDefault="007551D0" w:rsidP="007551D0">
      <w:pPr>
        <w:jc w:val="both"/>
        <w:rPr>
          <w:rFonts w:ascii="Arial" w:hAnsi="Arial" w:cs="Arial"/>
          <w:b/>
          <w:i/>
          <w:sz w:val="24"/>
          <w:szCs w:val="24"/>
        </w:rPr>
      </w:pPr>
      <w:r w:rsidRPr="0081739E">
        <w:rPr>
          <w:rFonts w:ascii="Arial" w:hAnsi="Arial" w:cs="Arial"/>
          <w:b/>
          <w:i/>
          <w:sz w:val="24"/>
          <w:szCs w:val="24"/>
        </w:rPr>
        <w:t xml:space="preserve">Distribuția numărului punctelor de monitorizare a pesticidelor pe spații/bazine hidrografice în anul 2016 </w:t>
      </w:r>
    </w:p>
    <w:p w:rsidR="003112DC" w:rsidRPr="003112DC" w:rsidRDefault="003112DC" w:rsidP="003112DC">
      <w:pPr>
        <w:rPr>
          <w:rFonts w:ascii="Arial" w:hAnsi="Arial" w:cs="Arial"/>
          <w:sz w:val="24"/>
          <w:szCs w:val="24"/>
        </w:rPr>
      </w:pPr>
      <w:r w:rsidRPr="003112DC">
        <w:rPr>
          <w:rFonts w:ascii="Arial" w:hAnsi="Arial" w:cs="Arial"/>
          <w:sz w:val="24"/>
          <w:szCs w:val="24"/>
        </w:rPr>
        <w:t xml:space="preserve">                 Tabel II.2.1.3. - 1  Pesticide monitorizate în anul 2016 (nr.)</w:t>
      </w:r>
    </w:p>
    <w:tbl>
      <w:tblPr>
        <w:tblW w:w="8480" w:type="dxa"/>
        <w:jc w:val="center"/>
        <w:tblLook w:val="04A0"/>
      </w:tblPr>
      <w:tblGrid>
        <w:gridCol w:w="2396"/>
        <w:gridCol w:w="1415"/>
        <w:gridCol w:w="1556"/>
        <w:gridCol w:w="1556"/>
        <w:gridCol w:w="1557"/>
      </w:tblGrid>
      <w:tr w:rsidR="007551D0" w:rsidRPr="00BF3C7B" w:rsidTr="00DB2B5E">
        <w:trPr>
          <w:trHeight w:val="296"/>
          <w:jc w:val="center"/>
        </w:trPr>
        <w:tc>
          <w:tcPr>
            <w:tcW w:w="8480" w:type="dxa"/>
            <w:gridSpan w:val="5"/>
            <w:tcBorders>
              <w:top w:val="single" w:sz="8" w:space="0" w:color="auto"/>
              <w:left w:val="single" w:sz="8" w:space="0" w:color="auto"/>
              <w:bottom w:val="single" w:sz="4" w:space="0" w:color="auto"/>
              <w:right w:val="single" w:sz="8" w:space="0" w:color="000000"/>
            </w:tcBorders>
            <w:shd w:val="clear" w:color="auto" w:fill="00B0F0"/>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2016</w:t>
            </w:r>
          </w:p>
        </w:tc>
      </w:tr>
      <w:tr w:rsidR="007551D0" w:rsidRPr="00BF3C7B" w:rsidTr="003112DC">
        <w:trPr>
          <w:trHeight w:val="1086"/>
          <w:jc w:val="center"/>
        </w:trPr>
        <w:tc>
          <w:tcPr>
            <w:tcW w:w="23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b/>
                <w:sz w:val="20"/>
                <w:szCs w:val="20"/>
              </w:rPr>
              <w:t>Spații/Bazine hidrografic</w:t>
            </w:r>
          </w:p>
        </w:tc>
        <w:tc>
          <w:tcPr>
            <w:tcW w:w="141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Număr corpuri  de apă monitorizate</w:t>
            </w:r>
          </w:p>
        </w:tc>
        <w:tc>
          <w:tcPr>
            <w:tcW w:w="15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Număr total de puncte de monitorizare</w:t>
            </w:r>
          </w:p>
          <w:p w:rsidR="007551D0" w:rsidRPr="00BF3C7B" w:rsidRDefault="007551D0" w:rsidP="00DB2B5E">
            <w:pPr>
              <w:spacing w:after="0" w:line="240" w:lineRule="auto"/>
              <w:jc w:val="center"/>
              <w:rPr>
                <w:rFonts w:ascii="Arial" w:eastAsia="Times New Roman" w:hAnsi="Arial" w:cs="Arial"/>
                <w:b/>
                <w:sz w:val="20"/>
                <w:szCs w:val="20"/>
              </w:rPr>
            </w:pPr>
          </w:p>
        </w:tc>
        <w:tc>
          <w:tcPr>
            <w:tcW w:w="15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Număr de puncte în care se  monitorizează pesticidele</w:t>
            </w:r>
          </w:p>
          <w:p w:rsidR="007551D0" w:rsidRPr="00BF3C7B" w:rsidRDefault="007551D0" w:rsidP="00DB2B5E">
            <w:pPr>
              <w:spacing w:after="0" w:line="240" w:lineRule="auto"/>
              <w:jc w:val="center"/>
              <w:rPr>
                <w:rFonts w:ascii="Arial" w:eastAsia="Times New Roman" w:hAnsi="Arial" w:cs="Arial"/>
                <w:b/>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Pesticide monitorizate</w:t>
            </w:r>
          </w:p>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(nr.)</w:t>
            </w:r>
          </w:p>
        </w:tc>
      </w:tr>
      <w:tr w:rsidR="007551D0" w:rsidRPr="00BF3C7B" w:rsidTr="003112DC">
        <w:trPr>
          <w:trHeight w:val="174"/>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Someș-Tisa</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14</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132</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Default="007551D0"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2</w:t>
            </w:r>
          </w:p>
        </w:tc>
      </w:tr>
      <w:tr w:rsidR="007551D0" w:rsidRPr="00BF3C7B" w:rsidTr="003112DC">
        <w:trPr>
          <w:trHeight w:val="296"/>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Crișuri</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9</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132</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Default="007551D0"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10</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13</w:t>
            </w:r>
          </w:p>
        </w:tc>
      </w:tr>
      <w:tr w:rsidR="007551D0" w:rsidRPr="00BF3C7B" w:rsidTr="003112DC">
        <w:trPr>
          <w:trHeight w:val="296"/>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Mureș</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22</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120</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Default="007551D0"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6</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18</w:t>
            </w:r>
          </w:p>
        </w:tc>
      </w:tr>
      <w:tr w:rsidR="007551D0" w:rsidRPr="00BF3C7B" w:rsidTr="003112DC">
        <w:trPr>
          <w:trHeight w:val="296"/>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Banat</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20</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215</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Default="007551D0"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0</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0</w:t>
            </w:r>
          </w:p>
        </w:tc>
      </w:tr>
      <w:tr w:rsidR="007551D0" w:rsidRPr="00BF3C7B" w:rsidTr="003112DC">
        <w:trPr>
          <w:trHeight w:val="296"/>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Jiu</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8</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95</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Default="007551D0"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Pr>
                <w:rFonts w:ascii="Arial" w:eastAsia="Times New Roman" w:hAnsi="Arial" w:cs="Arial"/>
                <w:sz w:val="20"/>
                <w:szCs w:val="20"/>
              </w:rPr>
              <w:t>95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14</w:t>
            </w:r>
          </w:p>
        </w:tc>
      </w:tr>
      <w:tr w:rsidR="007551D0" w:rsidRPr="00BF3C7B" w:rsidTr="003112DC">
        <w:trPr>
          <w:trHeight w:val="296"/>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Olt</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14</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145</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Default="007551D0"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51</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14</w:t>
            </w:r>
          </w:p>
        </w:tc>
      </w:tr>
      <w:tr w:rsidR="007551D0" w:rsidRPr="00BF3C7B" w:rsidTr="003112DC">
        <w:trPr>
          <w:trHeight w:val="296"/>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Argeș-Vedea</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13</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170</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Default="007551D0"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162</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20</w:t>
            </w:r>
          </w:p>
        </w:tc>
      </w:tr>
      <w:tr w:rsidR="007551D0" w:rsidRPr="00BF3C7B" w:rsidTr="003112DC">
        <w:trPr>
          <w:trHeight w:val="296"/>
          <w:jc w:val="center"/>
        </w:trPr>
        <w:tc>
          <w:tcPr>
            <w:tcW w:w="239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Buzău-Ialomița</w:t>
            </w:r>
          </w:p>
        </w:tc>
        <w:tc>
          <w:tcPr>
            <w:tcW w:w="1415"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18</w:t>
            </w:r>
          </w:p>
        </w:tc>
        <w:tc>
          <w:tcPr>
            <w:tcW w:w="155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192</w:t>
            </w:r>
          </w:p>
        </w:tc>
        <w:tc>
          <w:tcPr>
            <w:tcW w:w="15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54188" w:rsidRDefault="00A54188"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Pr>
                <w:rFonts w:ascii="Arial" w:eastAsia="Times New Roman" w:hAnsi="Arial" w:cs="Arial"/>
                <w:sz w:val="20"/>
                <w:szCs w:val="20"/>
              </w:rPr>
              <w:t>191</w:t>
            </w:r>
          </w:p>
        </w:tc>
        <w:tc>
          <w:tcPr>
            <w:tcW w:w="155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20</w:t>
            </w:r>
          </w:p>
        </w:tc>
      </w:tr>
      <w:tr w:rsidR="007551D0" w:rsidRPr="00BF3C7B" w:rsidTr="003112DC">
        <w:trPr>
          <w:trHeight w:val="223"/>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Siret</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6</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104</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8209F6" w:rsidRDefault="007551D0" w:rsidP="00A54188">
            <w:pPr>
              <w:spacing w:after="0" w:line="240" w:lineRule="auto"/>
              <w:jc w:val="center"/>
              <w:rPr>
                <w:rFonts w:ascii="Arial" w:eastAsia="Times New Roman" w:hAnsi="Arial" w:cs="Arial"/>
                <w:sz w:val="20"/>
                <w:szCs w:val="20"/>
              </w:rPr>
            </w:pPr>
            <w:r>
              <w:rPr>
                <w:rFonts w:ascii="Arial" w:eastAsia="Times New Roman" w:hAnsi="Arial" w:cs="Arial"/>
                <w:sz w:val="20"/>
                <w:szCs w:val="20"/>
              </w:rPr>
              <w:t>11</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11</w:t>
            </w:r>
          </w:p>
        </w:tc>
      </w:tr>
      <w:tr w:rsidR="007551D0" w:rsidRPr="00BF3C7B" w:rsidTr="003112DC">
        <w:trPr>
          <w:trHeight w:val="296"/>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Prut- Bârlad</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7</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107</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Default="007551D0"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41</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17</w:t>
            </w:r>
          </w:p>
        </w:tc>
      </w:tr>
      <w:tr w:rsidR="007551D0" w:rsidRPr="00BF3C7B" w:rsidTr="003112DC">
        <w:trPr>
          <w:trHeight w:val="45"/>
          <w:jc w:val="center"/>
        </w:trPr>
        <w:tc>
          <w:tcPr>
            <w:tcW w:w="239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51D0" w:rsidRDefault="007551D0" w:rsidP="00A54188">
            <w:pPr>
              <w:spacing w:after="0" w:line="240" w:lineRule="auto"/>
              <w:jc w:val="center"/>
              <w:rPr>
                <w:rFonts w:ascii="Arial" w:eastAsia="Times New Roman" w:hAnsi="Arial" w:cs="Arial"/>
                <w:b/>
                <w:sz w:val="20"/>
                <w:szCs w:val="20"/>
              </w:rPr>
            </w:pPr>
          </w:p>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Do</w:t>
            </w:r>
            <w:r w:rsidR="00A54188">
              <w:rPr>
                <w:rFonts w:ascii="Arial" w:eastAsia="Times New Roman" w:hAnsi="Arial" w:cs="Arial"/>
                <w:b/>
                <w:sz w:val="20"/>
                <w:szCs w:val="20"/>
              </w:rPr>
              <w:t>br</w:t>
            </w:r>
            <w:r w:rsidRPr="00BF3C7B">
              <w:rPr>
                <w:rFonts w:ascii="Arial" w:eastAsia="Times New Roman" w:hAnsi="Arial" w:cs="Arial"/>
                <w:b/>
                <w:sz w:val="20"/>
                <w:szCs w:val="20"/>
              </w:rPr>
              <w:t>ogea-Litoral</w:t>
            </w:r>
          </w:p>
        </w:tc>
        <w:tc>
          <w:tcPr>
            <w:tcW w:w="14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10</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112</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Default="007551D0" w:rsidP="00A54188">
            <w:pPr>
              <w:spacing w:after="0" w:line="240" w:lineRule="auto"/>
              <w:jc w:val="center"/>
              <w:rPr>
                <w:rFonts w:ascii="Arial" w:eastAsia="Times New Roman" w:hAnsi="Arial" w:cs="Arial"/>
                <w:sz w:val="20"/>
                <w:szCs w:val="20"/>
              </w:rPr>
            </w:pPr>
          </w:p>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6</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551D0" w:rsidRPr="008209F6" w:rsidRDefault="007551D0" w:rsidP="00A54188">
            <w:pPr>
              <w:spacing w:after="0" w:line="240" w:lineRule="auto"/>
              <w:jc w:val="center"/>
              <w:rPr>
                <w:rFonts w:ascii="Arial" w:eastAsia="Times New Roman" w:hAnsi="Arial" w:cs="Arial"/>
                <w:sz w:val="20"/>
                <w:szCs w:val="20"/>
              </w:rPr>
            </w:pPr>
            <w:r w:rsidRPr="008209F6">
              <w:rPr>
                <w:rFonts w:ascii="Arial" w:eastAsia="Times New Roman" w:hAnsi="Arial" w:cs="Arial"/>
                <w:sz w:val="20"/>
                <w:szCs w:val="20"/>
              </w:rPr>
              <w:t>17</w:t>
            </w:r>
          </w:p>
        </w:tc>
      </w:tr>
      <w:tr w:rsidR="007551D0" w:rsidRPr="00BF3C7B" w:rsidTr="003112DC">
        <w:trPr>
          <w:trHeight w:val="324"/>
          <w:jc w:val="center"/>
        </w:trPr>
        <w:tc>
          <w:tcPr>
            <w:tcW w:w="239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7551D0" w:rsidRPr="00BF3C7B" w:rsidRDefault="007551D0" w:rsidP="00A54188">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Total</w:t>
            </w:r>
          </w:p>
        </w:tc>
        <w:tc>
          <w:tcPr>
            <w:tcW w:w="141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7551D0" w:rsidRPr="00BF3C7B" w:rsidRDefault="007551D0" w:rsidP="00A54188">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141</w:t>
            </w:r>
          </w:p>
        </w:tc>
        <w:tc>
          <w:tcPr>
            <w:tcW w:w="155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7551D0" w:rsidRPr="00BF3C7B" w:rsidRDefault="007551D0" w:rsidP="00A54188">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1523</w:t>
            </w:r>
          </w:p>
        </w:tc>
        <w:tc>
          <w:tcPr>
            <w:tcW w:w="155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7551D0" w:rsidRPr="00BF3C7B" w:rsidRDefault="007551D0" w:rsidP="00A54188">
            <w:pPr>
              <w:spacing w:after="0" w:line="240" w:lineRule="auto"/>
              <w:jc w:val="center"/>
              <w:rPr>
                <w:rFonts w:ascii="Arial" w:eastAsia="Times New Roman" w:hAnsi="Arial" w:cs="Arial"/>
                <w:sz w:val="20"/>
                <w:szCs w:val="20"/>
              </w:rPr>
            </w:pPr>
            <w:r>
              <w:rPr>
                <w:rFonts w:ascii="Arial" w:eastAsia="Times New Roman" w:hAnsi="Arial" w:cs="Arial"/>
                <w:sz w:val="20"/>
                <w:szCs w:val="20"/>
              </w:rPr>
              <w:t>574</w:t>
            </w:r>
          </w:p>
        </w:tc>
        <w:tc>
          <w:tcPr>
            <w:tcW w:w="155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7551D0" w:rsidRPr="00BF3C7B" w:rsidRDefault="007551D0" w:rsidP="00A54188">
            <w:pPr>
              <w:spacing w:after="0" w:line="240" w:lineRule="auto"/>
              <w:jc w:val="center"/>
              <w:rPr>
                <w:rFonts w:ascii="Arial" w:eastAsia="Times New Roman" w:hAnsi="Arial" w:cs="Arial"/>
                <w:sz w:val="20"/>
                <w:szCs w:val="20"/>
              </w:rPr>
            </w:pPr>
            <w:r w:rsidRPr="005331D0">
              <w:rPr>
                <w:rFonts w:ascii="Arial" w:eastAsia="Times New Roman" w:hAnsi="Arial" w:cs="Arial"/>
                <w:sz w:val="20"/>
                <w:szCs w:val="20"/>
              </w:rPr>
              <w:t>20</w:t>
            </w:r>
          </w:p>
        </w:tc>
      </w:tr>
    </w:tbl>
    <w:p w:rsidR="003112DC" w:rsidRDefault="003112DC" w:rsidP="007551D0">
      <w:pPr>
        <w:rPr>
          <w:rFonts w:ascii="Arial" w:hAnsi="Arial" w:cs="Arial"/>
          <w:b/>
          <w:i/>
          <w:sz w:val="24"/>
          <w:szCs w:val="24"/>
        </w:rPr>
      </w:pPr>
    </w:p>
    <w:p w:rsidR="007551D0" w:rsidRDefault="007551D0" w:rsidP="007551D0">
      <w:pPr>
        <w:rPr>
          <w:rFonts w:ascii="Arial" w:eastAsia="Times New Roman" w:hAnsi="Arial" w:cs="Arial"/>
          <w:b/>
          <w:i/>
          <w:sz w:val="24"/>
          <w:szCs w:val="24"/>
        </w:rPr>
      </w:pPr>
      <w:r w:rsidRPr="00BF3C7B">
        <w:rPr>
          <w:rFonts w:ascii="Arial" w:hAnsi="Arial" w:cs="Arial"/>
          <w:b/>
          <w:i/>
          <w:sz w:val="24"/>
          <w:szCs w:val="24"/>
        </w:rPr>
        <w:t>Ponderea punctelor de monitorizare cu concentrație mai mare de 0,1</w:t>
      </w:r>
      <w:r w:rsidRPr="00BF3C7B">
        <w:rPr>
          <w:rFonts w:ascii="Arial" w:eastAsia="Times New Roman" w:hAnsi="Arial" w:cs="Arial"/>
          <w:b/>
          <w:i/>
          <w:sz w:val="24"/>
          <w:szCs w:val="24"/>
        </w:rPr>
        <w:t>µg/L din numărul de foraje în care se monitorizează pesticidele pentru anul 2016</w:t>
      </w:r>
    </w:p>
    <w:p w:rsidR="003112DC" w:rsidRPr="003112DC" w:rsidRDefault="003112DC" w:rsidP="003112DC">
      <w:pPr>
        <w:rPr>
          <w:rFonts w:ascii="Arial" w:hAnsi="Arial" w:cs="Arial"/>
          <w:sz w:val="24"/>
          <w:szCs w:val="24"/>
        </w:rPr>
      </w:pPr>
      <w:r w:rsidRPr="003112DC">
        <w:rPr>
          <w:rFonts w:ascii="Arial" w:hAnsi="Arial" w:cs="Arial"/>
          <w:sz w:val="24"/>
          <w:szCs w:val="24"/>
        </w:rPr>
        <w:t>Tabel II.2.1.3. – 2 Ponderea punctelor de monitorizare cu concentrație mai mare de 0,1</w:t>
      </w:r>
      <w:r w:rsidRPr="003112DC">
        <w:rPr>
          <w:rFonts w:ascii="Arial" w:eastAsia="Times New Roman" w:hAnsi="Arial" w:cs="Arial"/>
          <w:sz w:val="24"/>
          <w:szCs w:val="24"/>
        </w:rPr>
        <w:t>µg/L din numărul de foraje în care se monitorizează pesticidele pentru anul 2016 (%)</w:t>
      </w:r>
    </w:p>
    <w:tbl>
      <w:tblPr>
        <w:tblW w:w="7885" w:type="dxa"/>
        <w:jc w:val="center"/>
        <w:tblLook w:val="04A0"/>
      </w:tblPr>
      <w:tblGrid>
        <w:gridCol w:w="1966"/>
        <w:gridCol w:w="1550"/>
        <w:gridCol w:w="2396"/>
        <w:gridCol w:w="1973"/>
      </w:tblGrid>
      <w:tr w:rsidR="007551D0" w:rsidRPr="00BF3C7B" w:rsidTr="00DB2B5E">
        <w:trPr>
          <w:trHeight w:val="1313"/>
          <w:jc w:val="center"/>
        </w:trPr>
        <w:tc>
          <w:tcPr>
            <w:tcW w:w="196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551D0" w:rsidRPr="00BF3C7B" w:rsidRDefault="007551D0" w:rsidP="00DB2B5E">
            <w:pPr>
              <w:spacing w:after="0" w:line="240" w:lineRule="auto"/>
              <w:rPr>
                <w:rFonts w:ascii="Arial" w:eastAsia="Times New Roman" w:hAnsi="Arial" w:cs="Arial"/>
                <w:sz w:val="20"/>
                <w:szCs w:val="20"/>
              </w:rPr>
            </w:pPr>
            <w:r w:rsidRPr="00BF3C7B">
              <w:rPr>
                <w:rFonts w:ascii="Arial" w:eastAsia="Times New Roman" w:hAnsi="Arial" w:cs="Arial"/>
                <w:b/>
                <w:sz w:val="20"/>
                <w:szCs w:val="20"/>
              </w:rPr>
              <w:t>Spații/Bazin hidrografic</w:t>
            </w:r>
          </w:p>
        </w:tc>
        <w:tc>
          <w:tcPr>
            <w:tcW w:w="155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 xml:space="preserve">Număr de puncte în care se  monitorizează pesticidele </w:t>
            </w:r>
          </w:p>
          <w:p w:rsidR="007551D0" w:rsidRPr="00BF3C7B" w:rsidRDefault="007551D0" w:rsidP="00DB2B5E">
            <w:pPr>
              <w:spacing w:after="0" w:line="240" w:lineRule="auto"/>
              <w:jc w:val="center"/>
              <w:rPr>
                <w:rFonts w:ascii="Arial" w:eastAsia="Times New Roman" w:hAnsi="Arial" w:cs="Arial"/>
                <w:b/>
                <w:sz w:val="20"/>
                <w:szCs w:val="20"/>
              </w:rPr>
            </w:pPr>
          </w:p>
        </w:tc>
        <w:tc>
          <w:tcPr>
            <w:tcW w:w="2396"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Puncte de monitorizare cu concentrație mai mare de 0.1 µg/L</w:t>
            </w:r>
          </w:p>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(nr)</w:t>
            </w:r>
          </w:p>
        </w:tc>
        <w:tc>
          <w:tcPr>
            <w:tcW w:w="197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Puncte de monitorizare cu concentrație mai mare de 0.1µg/L</w:t>
            </w:r>
          </w:p>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 xml:space="preserve"> (%)</w:t>
            </w:r>
          </w:p>
        </w:tc>
      </w:tr>
      <w:tr w:rsidR="007551D0" w:rsidRPr="00BF3C7B" w:rsidTr="00DB2B5E">
        <w:trPr>
          <w:trHeight w:val="315"/>
          <w:jc w:val="center"/>
        </w:trPr>
        <w:tc>
          <w:tcPr>
            <w:tcW w:w="1966" w:type="dxa"/>
            <w:tcBorders>
              <w:top w:val="single" w:sz="4" w:space="0" w:color="auto"/>
              <w:left w:val="single" w:sz="8" w:space="0" w:color="auto"/>
              <w:bottom w:val="single" w:sz="8" w:space="0" w:color="auto"/>
              <w:right w:val="single" w:sz="8" w:space="0" w:color="auto"/>
            </w:tcBorders>
            <w:shd w:val="clear" w:color="000000" w:fill="FFFFFF"/>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Someș-Tisa</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w:t>
            </w:r>
          </w:p>
        </w:tc>
        <w:tc>
          <w:tcPr>
            <w:tcW w:w="2396" w:type="dxa"/>
            <w:tcBorders>
              <w:top w:val="single" w:sz="4" w:space="0" w:color="auto"/>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w:t>
            </w:r>
          </w:p>
        </w:tc>
        <w:tc>
          <w:tcPr>
            <w:tcW w:w="1973" w:type="dxa"/>
            <w:tcBorders>
              <w:top w:val="single" w:sz="4" w:space="0" w:color="auto"/>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100</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Crișuri</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10</w:t>
            </w:r>
          </w:p>
        </w:tc>
        <w:tc>
          <w:tcPr>
            <w:tcW w:w="2396" w:type="dxa"/>
            <w:tcBorders>
              <w:top w:val="nil"/>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w:t>
            </w:r>
          </w:p>
        </w:tc>
        <w:tc>
          <w:tcPr>
            <w:tcW w:w="1973" w:type="dxa"/>
            <w:tcBorders>
              <w:top w:val="nil"/>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0.1</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Mureș</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6</w:t>
            </w:r>
          </w:p>
        </w:tc>
        <w:tc>
          <w:tcPr>
            <w:tcW w:w="2396" w:type="dxa"/>
            <w:tcBorders>
              <w:top w:val="nil"/>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3</w:t>
            </w:r>
          </w:p>
        </w:tc>
        <w:tc>
          <w:tcPr>
            <w:tcW w:w="1973" w:type="dxa"/>
            <w:tcBorders>
              <w:top w:val="nil"/>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50.00</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Banat</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w:t>
            </w:r>
          </w:p>
        </w:tc>
        <w:tc>
          <w:tcPr>
            <w:tcW w:w="2396" w:type="dxa"/>
            <w:tcBorders>
              <w:top w:val="nil"/>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w:t>
            </w:r>
          </w:p>
        </w:tc>
        <w:tc>
          <w:tcPr>
            <w:tcW w:w="1973" w:type="dxa"/>
            <w:tcBorders>
              <w:top w:val="nil"/>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Jiu</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95</w:t>
            </w:r>
          </w:p>
        </w:tc>
        <w:tc>
          <w:tcPr>
            <w:tcW w:w="2396" w:type="dxa"/>
            <w:tcBorders>
              <w:top w:val="nil"/>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w:t>
            </w:r>
          </w:p>
        </w:tc>
        <w:tc>
          <w:tcPr>
            <w:tcW w:w="1973" w:type="dxa"/>
            <w:tcBorders>
              <w:top w:val="nil"/>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Olt</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51</w:t>
            </w:r>
          </w:p>
        </w:tc>
        <w:tc>
          <w:tcPr>
            <w:tcW w:w="2396" w:type="dxa"/>
            <w:tcBorders>
              <w:top w:val="nil"/>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w:t>
            </w:r>
          </w:p>
        </w:tc>
        <w:tc>
          <w:tcPr>
            <w:tcW w:w="1973" w:type="dxa"/>
            <w:tcBorders>
              <w:top w:val="nil"/>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lastRenderedPageBreak/>
              <w:t>Argeș-Vedea</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162</w:t>
            </w:r>
          </w:p>
        </w:tc>
        <w:tc>
          <w:tcPr>
            <w:tcW w:w="2396" w:type="dxa"/>
            <w:tcBorders>
              <w:top w:val="nil"/>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13</w:t>
            </w:r>
          </w:p>
        </w:tc>
        <w:tc>
          <w:tcPr>
            <w:tcW w:w="1973" w:type="dxa"/>
            <w:tcBorders>
              <w:top w:val="nil"/>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8,02</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Buzău-Ialomița</w:t>
            </w:r>
          </w:p>
        </w:tc>
        <w:tc>
          <w:tcPr>
            <w:tcW w:w="15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191</w:t>
            </w:r>
          </w:p>
        </w:tc>
        <w:tc>
          <w:tcPr>
            <w:tcW w:w="2396" w:type="dxa"/>
            <w:tcBorders>
              <w:top w:val="nil"/>
              <w:left w:val="single" w:sz="4" w:space="0" w:color="auto"/>
              <w:bottom w:val="single" w:sz="8" w:space="0" w:color="auto"/>
              <w:right w:val="single" w:sz="8" w:space="0" w:color="auto"/>
            </w:tcBorders>
            <w:shd w:val="clear" w:color="auto" w:fill="DDD9C3" w:themeFill="background2" w:themeFillShade="E6"/>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w:t>
            </w:r>
          </w:p>
        </w:tc>
        <w:tc>
          <w:tcPr>
            <w:tcW w:w="1973" w:type="dxa"/>
            <w:tcBorders>
              <w:top w:val="nil"/>
              <w:left w:val="nil"/>
              <w:bottom w:val="single" w:sz="8" w:space="0" w:color="auto"/>
              <w:right w:val="single" w:sz="8" w:space="0" w:color="auto"/>
            </w:tcBorders>
            <w:shd w:val="clear" w:color="auto" w:fill="DDD9C3" w:themeFill="background2" w:themeFillShade="E6"/>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0.52</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Siret</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11</w:t>
            </w:r>
          </w:p>
        </w:tc>
        <w:tc>
          <w:tcPr>
            <w:tcW w:w="2396" w:type="dxa"/>
            <w:tcBorders>
              <w:top w:val="nil"/>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w:t>
            </w:r>
          </w:p>
        </w:tc>
        <w:tc>
          <w:tcPr>
            <w:tcW w:w="1973" w:type="dxa"/>
            <w:tcBorders>
              <w:top w:val="nil"/>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Prut- Bârlad</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41</w:t>
            </w:r>
          </w:p>
        </w:tc>
        <w:tc>
          <w:tcPr>
            <w:tcW w:w="2396" w:type="dxa"/>
            <w:tcBorders>
              <w:top w:val="nil"/>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w:t>
            </w:r>
          </w:p>
        </w:tc>
        <w:tc>
          <w:tcPr>
            <w:tcW w:w="1973" w:type="dxa"/>
            <w:tcBorders>
              <w:top w:val="nil"/>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315"/>
          <w:jc w:val="center"/>
        </w:trPr>
        <w:tc>
          <w:tcPr>
            <w:tcW w:w="1966" w:type="dxa"/>
            <w:tcBorders>
              <w:top w:val="nil"/>
              <w:left w:val="single" w:sz="8" w:space="0" w:color="auto"/>
              <w:bottom w:val="single" w:sz="8" w:space="0" w:color="auto"/>
              <w:right w:val="single" w:sz="8" w:space="0" w:color="auto"/>
            </w:tcBorders>
            <w:shd w:val="clear" w:color="000000" w:fill="FFFFFF"/>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Do</w:t>
            </w:r>
            <w:r w:rsidR="00A54188">
              <w:rPr>
                <w:rFonts w:ascii="Arial" w:eastAsia="Times New Roman" w:hAnsi="Arial" w:cs="Arial"/>
                <w:b/>
              </w:rPr>
              <w:t>br</w:t>
            </w:r>
            <w:r w:rsidRPr="00A54188">
              <w:rPr>
                <w:rFonts w:ascii="Arial" w:eastAsia="Times New Roman" w:hAnsi="Arial" w:cs="Arial"/>
                <w:b/>
              </w:rPr>
              <w:t>ogea-Litoral</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6</w:t>
            </w:r>
          </w:p>
        </w:tc>
        <w:tc>
          <w:tcPr>
            <w:tcW w:w="2396" w:type="dxa"/>
            <w:tcBorders>
              <w:top w:val="nil"/>
              <w:left w:val="single" w:sz="4" w:space="0" w:color="auto"/>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w:t>
            </w:r>
          </w:p>
        </w:tc>
        <w:tc>
          <w:tcPr>
            <w:tcW w:w="1973" w:type="dxa"/>
            <w:tcBorders>
              <w:top w:val="nil"/>
              <w:left w:val="nil"/>
              <w:bottom w:val="single" w:sz="8" w:space="0" w:color="auto"/>
              <w:right w:val="single" w:sz="8" w:space="0" w:color="auto"/>
            </w:tcBorders>
            <w:shd w:val="clear" w:color="auto" w:fill="FFFFFF" w:themeFill="background1"/>
            <w:noWrap/>
            <w:vAlign w:val="center"/>
            <w:hideMark/>
          </w:tcPr>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0.00</w:t>
            </w:r>
          </w:p>
        </w:tc>
      </w:tr>
      <w:tr w:rsidR="007551D0" w:rsidRPr="00BF3C7B" w:rsidTr="00DB2B5E">
        <w:trPr>
          <w:trHeight w:val="277"/>
          <w:jc w:val="center"/>
        </w:trPr>
        <w:tc>
          <w:tcPr>
            <w:tcW w:w="1966" w:type="dxa"/>
            <w:tcBorders>
              <w:top w:val="nil"/>
              <w:left w:val="single" w:sz="8" w:space="0" w:color="auto"/>
              <w:bottom w:val="single" w:sz="8" w:space="0" w:color="auto"/>
              <w:right w:val="single" w:sz="8" w:space="0" w:color="auto"/>
            </w:tcBorders>
            <w:shd w:val="clear" w:color="auto" w:fill="DDD9C3" w:themeFill="background2" w:themeFillShade="E6"/>
            <w:noWrap/>
            <w:vAlign w:val="bottom"/>
            <w:hideMark/>
          </w:tcPr>
          <w:p w:rsidR="007551D0" w:rsidRPr="00A54188" w:rsidRDefault="007551D0" w:rsidP="00A54188">
            <w:pPr>
              <w:spacing w:after="0" w:line="240" w:lineRule="auto"/>
              <w:rPr>
                <w:rFonts w:ascii="Arial" w:eastAsia="Times New Roman" w:hAnsi="Arial" w:cs="Arial"/>
                <w:b/>
              </w:rPr>
            </w:pPr>
            <w:r w:rsidRPr="00A54188">
              <w:rPr>
                <w:rFonts w:ascii="Arial" w:eastAsia="Times New Roman" w:hAnsi="Arial" w:cs="Arial"/>
                <w:b/>
              </w:rPr>
              <w:t xml:space="preserve">Total </w:t>
            </w:r>
          </w:p>
        </w:tc>
        <w:tc>
          <w:tcPr>
            <w:tcW w:w="15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551D0" w:rsidRPr="00A54188" w:rsidRDefault="007551D0" w:rsidP="00A54188">
            <w:pPr>
              <w:spacing w:after="0" w:line="240" w:lineRule="auto"/>
              <w:jc w:val="center"/>
              <w:rPr>
                <w:rFonts w:ascii="Arial" w:eastAsia="Times New Roman" w:hAnsi="Arial" w:cs="Arial"/>
              </w:rPr>
            </w:pPr>
          </w:p>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574</w:t>
            </w:r>
          </w:p>
        </w:tc>
        <w:tc>
          <w:tcPr>
            <w:tcW w:w="2396" w:type="dxa"/>
            <w:tcBorders>
              <w:top w:val="nil"/>
              <w:left w:val="single" w:sz="4" w:space="0" w:color="auto"/>
              <w:bottom w:val="single" w:sz="8" w:space="0" w:color="auto"/>
              <w:right w:val="single" w:sz="8" w:space="0" w:color="auto"/>
            </w:tcBorders>
            <w:shd w:val="clear" w:color="auto" w:fill="DDD9C3" w:themeFill="background2" w:themeFillShade="E6"/>
            <w:noWrap/>
            <w:vAlign w:val="center"/>
            <w:hideMark/>
          </w:tcPr>
          <w:p w:rsidR="007551D0" w:rsidRPr="00A54188" w:rsidRDefault="007551D0" w:rsidP="00A54188">
            <w:pPr>
              <w:spacing w:after="0" w:line="240" w:lineRule="auto"/>
              <w:jc w:val="center"/>
              <w:rPr>
                <w:rFonts w:ascii="Arial" w:eastAsia="Times New Roman" w:hAnsi="Arial" w:cs="Arial"/>
              </w:rPr>
            </w:pPr>
          </w:p>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19</w:t>
            </w:r>
          </w:p>
        </w:tc>
        <w:tc>
          <w:tcPr>
            <w:tcW w:w="1973" w:type="dxa"/>
            <w:tcBorders>
              <w:top w:val="nil"/>
              <w:left w:val="nil"/>
              <w:bottom w:val="single" w:sz="8" w:space="0" w:color="auto"/>
              <w:right w:val="single" w:sz="8" w:space="0" w:color="auto"/>
            </w:tcBorders>
            <w:shd w:val="clear" w:color="auto" w:fill="DDD9C3" w:themeFill="background2" w:themeFillShade="E6"/>
            <w:noWrap/>
            <w:vAlign w:val="center"/>
            <w:hideMark/>
          </w:tcPr>
          <w:p w:rsidR="007551D0" w:rsidRPr="00A54188" w:rsidRDefault="007551D0" w:rsidP="00A54188">
            <w:pPr>
              <w:spacing w:after="0" w:line="240" w:lineRule="auto"/>
              <w:jc w:val="center"/>
              <w:rPr>
                <w:rFonts w:ascii="Arial" w:eastAsia="Times New Roman" w:hAnsi="Arial" w:cs="Arial"/>
              </w:rPr>
            </w:pPr>
          </w:p>
          <w:p w:rsidR="007551D0" w:rsidRPr="00A54188" w:rsidRDefault="007551D0" w:rsidP="00A54188">
            <w:pPr>
              <w:spacing w:after="0" w:line="240" w:lineRule="auto"/>
              <w:jc w:val="center"/>
              <w:rPr>
                <w:rFonts w:ascii="Arial" w:eastAsia="Times New Roman" w:hAnsi="Arial" w:cs="Arial"/>
              </w:rPr>
            </w:pPr>
            <w:r w:rsidRPr="00A54188">
              <w:rPr>
                <w:rFonts w:ascii="Arial" w:eastAsia="Times New Roman" w:hAnsi="Arial" w:cs="Arial"/>
              </w:rPr>
              <w:t>3,31</w:t>
            </w:r>
          </w:p>
        </w:tc>
      </w:tr>
    </w:tbl>
    <w:p w:rsidR="007551D0" w:rsidRPr="00BF3C7B" w:rsidRDefault="007551D0" w:rsidP="007551D0">
      <w:pPr>
        <w:rPr>
          <w:rFonts w:ascii="Arial" w:hAnsi="Arial" w:cs="Arial"/>
          <w:b/>
          <w:sz w:val="20"/>
          <w:szCs w:val="20"/>
        </w:rPr>
      </w:pPr>
    </w:p>
    <w:p w:rsidR="007551D0" w:rsidRDefault="007551D0" w:rsidP="007551D0">
      <w:pPr>
        <w:rPr>
          <w:rFonts w:ascii="Arial" w:eastAsia="Times New Roman" w:hAnsi="Arial" w:cs="Arial"/>
          <w:b/>
          <w:i/>
          <w:sz w:val="24"/>
          <w:szCs w:val="24"/>
        </w:rPr>
      </w:pPr>
      <w:r w:rsidRPr="00BF3C7B">
        <w:rPr>
          <w:rFonts w:ascii="Arial" w:hAnsi="Arial" w:cs="Arial"/>
          <w:b/>
          <w:i/>
          <w:sz w:val="24"/>
          <w:szCs w:val="24"/>
        </w:rPr>
        <w:t>Evoluția punctelor de monitorizare cu concentrație mai mare de 0,1</w:t>
      </w:r>
      <w:r w:rsidRPr="00BF3C7B">
        <w:rPr>
          <w:rFonts w:ascii="Arial" w:eastAsia="Times New Roman" w:hAnsi="Arial" w:cs="Arial"/>
          <w:b/>
          <w:i/>
          <w:sz w:val="24"/>
          <w:szCs w:val="24"/>
        </w:rPr>
        <w:t>µg/L pentru perioada 2011-2016 (%)</w:t>
      </w:r>
    </w:p>
    <w:p w:rsidR="003112DC" w:rsidRPr="003112DC" w:rsidRDefault="003112DC" w:rsidP="003112DC">
      <w:pPr>
        <w:spacing w:line="240" w:lineRule="auto"/>
        <w:jc w:val="both"/>
        <w:rPr>
          <w:rFonts w:ascii="Arial" w:eastAsia="Times New Roman" w:hAnsi="Arial" w:cs="Arial"/>
          <w:bCs/>
          <w:sz w:val="24"/>
          <w:szCs w:val="24"/>
        </w:rPr>
      </w:pPr>
      <w:r w:rsidRPr="003112DC">
        <w:rPr>
          <w:rFonts w:ascii="Arial" w:hAnsi="Arial" w:cs="Arial"/>
          <w:sz w:val="24"/>
          <w:szCs w:val="24"/>
        </w:rPr>
        <w:t>Tabel II.2.1.3. - 3 Evoluția punctelor de monitorizare cu concentrație mai mare de 0,1</w:t>
      </w:r>
      <w:r w:rsidRPr="003112DC">
        <w:rPr>
          <w:rFonts w:ascii="Arial" w:eastAsia="Times New Roman" w:hAnsi="Arial" w:cs="Arial"/>
          <w:sz w:val="24"/>
          <w:szCs w:val="24"/>
        </w:rPr>
        <w:t>µg/L pentru perioada 2011-2016 (%)</w:t>
      </w:r>
    </w:p>
    <w:tbl>
      <w:tblPr>
        <w:tblW w:w="8920" w:type="dxa"/>
        <w:jc w:val="center"/>
        <w:tblLook w:val="04A0"/>
      </w:tblPr>
      <w:tblGrid>
        <w:gridCol w:w="3532"/>
        <w:gridCol w:w="773"/>
        <w:gridCol w:w="788"/>
        <w:gridCol w:w="851"/>
        <w:gridCol w:w="992"/>
        <w:gridCol w:w="992"/>
        <w:gridCol w:w="992"/>
      </w:tblGrid>
      <w:tr w:rsidR="007551D0" w:rsidRPr="00BF3C7B" w:rsidTr="00DB2B5E">
        <w:trPr>
          <w:trHeight w:val="315"/>
          <w:jc w:val="center"/>
        </w:trPr>
        <w:tc>
          <w:tcPr>
            <w:tcW w:w="353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Anul</w:t>
            </w:r>
          </w:p>
        </w:tc>
        <w:tc>
          <w:tcPr>
            <w:tcW w:w="773"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2011</w:t>
            </w:r>
          </w:p>
        </w:tc>
        <w:tc>
          <w:tcPr>
            <w:tcW w:w="788"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2012</w:t>
            </w:r>
          </w:p>
        </w:tc>
        <w:tc>
          <w:tcPr>
            <w:tcW w:w="851"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2013</w:t>
            </w:r>
          </w:p>
        </w:tc>
        <w:tc>
          <w:tcPr>
            <w:tcW w:w="992" w:type="dxa"/>
            <w:tcBorders>
              <w:top w:val="single" w:sz="8" w:space="0" w:color="auto"/>
              <w:left w:val="nil"/>
              <w:bottom w:val="single" w:sz="8" w:space="0" w:color="auto"/>
              <w:right w:val="single" w:sz="8" w:space="0" w:color="auto"/>
            </w:tcBorders>
            <w:shd w:val="clear" w:color="auto" w:fill="DDD9C3" w:themeFill="background2" w:themeFillShade="E6"/>
            <w:noWrap/>
            <w:vAlign w:val="bottom"/>
            <w:hideMark/>
          </w:tcPr>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2014</w:t>
            </w:r>
          </w:p>
        </w:tc>
        <w:tc>
          <w:tcPr>
            <w:tcW w:w="992" w:type="dxa"/>
            <w:tcBorders>
              <w:top w:val="single" w:sz="8" w:space="0" w:color="auto"/>
              <w:left w:val="nil"/>
              <w:bottom w:val="single" w:sz="8" w:space="0" w:color="auto"/>
              <w:right w:val="single" w:sz="8" w:space="0" w:color="auto"/>
            </w:tcBorders>
            <w:shd w:val="clear" w:color="auto" w:fill="DDD9C3" w:themeFill="background2" w:themeFillShade="E6"/>
          </w:tcPr>
          <w:p w:rsidR="007551D0" w:rsidRPr="00BF3C7B" w:rsidRDefault="007551D0" w:rsidP="00DB2B5E">
            <w:pPr>
              <w:spacing w:after="0" w:line="240" w:lineRule="auto"/>
              <w:jc w:val="center"/>
              <w:rPr>
                <w:rFonts w:ascii="Arial" w:eastAsia="Times New Roman" w:hAnsi="Arial" w:cs="Arial"/>
                <w:b/>
                <w:sz w:val="20"/>
                <w:szCs w:val="20"/>
              </w:rPr>
            </w:pPr>
          </w:p>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2015</w:t>
            </w:r>
          </w:p>
        </w:tc>
        <w:tc>
          <w:tcPr>
            <w:tcW w:w="992" w:type="dxa"/>
            <w:tcBorders>
              <w:top w:val="single" w:sz="8" w:space="0" w:color="auto"/>
              <w:left w:val="nil"/>
              <w:bottom w:val="single" w:sz="8" w:space="0" w:color="auto"/>
              <w:right w:val="single" w:sz="8" w:space="0" w:color="auto"/>
            </w:tcBorders>
            <w:shd w:val="clear" w:color="auto" w:fill="DDD9C3" w:themeFill="background2" w:themeFillShade="E6"/>
          </w:tcPr>
          <w:p w:rsidR="007551D0" w:rsidRPr="00BF3C7B" w:rsidRDefault="007551D0" w:rsidP="00DB2B5E">
            <w:pPr>
              <w:spacing w:after="0" w:line="240" w:lineRule="auto"/>
              <w:jc w:val="center"/>
              <w:rPr>
                <w:rFonts w:ascii="Arial" w:eastAsia="Times New Roman" w:hAnsi="Arial" w:cs="Arial"/>
                <w:b/>
                <w:sz w:val="20"/>
                <w:szCs w:val="20"/>
              </w:rPr>
            </w:pPr>
          </w:p>
          <w:p w:rsidR="007551D0" w:rsidRPr="00BF3C7B" w:rsidRDefault="007551D0" w:rsidP="00DB2B5E">
            <w:pPr>
              <w:spacing w:after="0" w:line="240" w:lineRule="auto"/>
              <w:jc w:val="center"/>
              <w:rPr>
                <w:rFonts w:ascii="Arial" w:eastAsia="Times New Roman" w:hAnsi="Arial" w:cs="Arial"/>
                <w:b/>
                <w:sz w:val="20"/>
                <w:szCs w:val="20"/>
              </w:rPr>
            </w:pPr>
            <w:r w:rsidRPr="00BF3C7B">
              <w:rPr>
                <w:rFonts w:ascii="Arial" w:eastAsia="Times New Roman" w:hAnsi="Arial" w:cs="Arial"/>
                <w:b/>
                <w:sz w:val="20"/>
                <w:szCs w:val="20"/>
              </w:rPr>
              <w:t>2016</w:t>
            </w:r>
          </w:p>
        </w:tc>
      </w:tr>
      <w:tr w:rsidR="007551D0" w:rsidRPr="00BF3C7B" w:rsidTr="00DB2B5E">
        <w:trPr>
          <w:trHeight w:val="437"/>
          <w:jc w:val="center"/>
        </w:trPr>
        <w:tc>
          <w:tcPr>
            <w:tcW w:w="3532" w:type="dxa"/>
            <w:tcBorders>
              <w:top w:val="nil"/>
              <w:left w:val="single" w:sz="8" w:space="0" w:color="auto"/>
              <w:bottom w:val="single" w:sz="8" w:space="0" w:color="auto"/>
              <w:right w:val="single" w:sz="8" w:space="0" w:color="auto"/>
            </w:tcBorders>
            <w:shd w:val="clear" w:color="auto" w:fill="auto"/>
            <w:vAlign w:val="bottom"/>
            <w:hideMark/>
          </w:tcPr>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Număr pesticide monitorizate</w:t>
            </w:r>
          </w:p>
        </w:tc>
        <w:tc>
          <w:tcPr>
            <w:tcW w:w="773" w:type="dxa"/>
            <w:tcBorders>
              <w:top w:val="nil"/>
              <w:left w:val="nil"/>
              <w:bottom w:val="single" w:sz="8" w:space="0" w:color="auto"/>
              <w:right w:val="single" w:sz="8" w:space="0" w:color="auto"/>
            </w:tcBorders>
            <w:shd w:val="clear" w:color="auto" w:fill="auto"/>
            <w:noWrap/>
            <w:vAlign w:val="bottom"/>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20</w:t>
            </w:r>
          </w:p>
        </w:tc>
        <w:tc>
          <w:tcPr>
            <w:tcW w:w="788" w:type="dxa"/>
            <w:tcBorders>
              <w:top w:val="nil"/>
              <w:left w:val="nil"/>
              <w:bottom w:val="single" w:sz="8" w:space="0" w:color="auto"/>
              <w:right w:val="single" w:sz="8" w:space="0" w:color="auto"/>
            </w:tcBorders>
            <w:shd w:val="clear" w:color="auto" w:fill="auto"/>
            <w:noWrap/>
            <w:vAlign w:val="bottom"/>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20</w:t>
            </w:r>
          </w:p>
        </w:tc>
        <w:tc>
          <w:tcPr>
            <w:tcW w:w="851" w:type="dxa"/>
            <w:tcBorders>
              <w:top w:val="nil"/>
              <w:left w:val="nil"/>
              <w:bottom w:val="single" w:sz="8" w:space="0" w:color="auto"/>
              <w:right w:val="single" w:sz="8" w:space="0" w:color="auto"/>
            </w:tcBorders>
            <w:shd w:val="clear" w:color="auto" w:fill="auto"/>
            <w:noWrap/>
            <w:vAlign w:val="bottom"/>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19</w:t>
            </w:r>
          </w:p>
        </w:tc>
        <w:tc>
          <w:tcPr>
            <w:tcW w:w="992" w:type="dxa"/>
            <w:tcBorders>
              <w:top w:val="nil"/>
              <w:left w:val="nil"/>
              <w:bottom w:val="single" w:sz="8" w:space="0" w:color="auto"/>
              <w:right w:val="single" w:sz="8" w:space="0" w:color="auto"/>
            </w:tcBorders>
            <w:shd w:val="clear" w:color="auto" w:fill="auto"/>
            <w:noWrap/>
            <w:vAlign w:val="bottom"/>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19</w:t>
            </w:r>
          </w:p>
        </w:tc>
        <w:tc>
          <w:tcPr>
            <w:tcW w:w="992" w:type="dxa"/>
            <w:tcBorders>
              <w:top w:val="nil"/>
              <w:left w:val="nil"/>
              <w:bottom w:val="single" w:sz="8" w:space="0" w:color="auto"/>
              <w:right w:val="single" w:sz="8" w:space="0" w:color="auto"/>
            </w:tcBorders>
          </w:tcPr>
          <w:p w:rsidR="007551D0" w:rsidRPr="00BF3C7B" w:rsidRDefault="007551D0" w:rsidP="00DB2B5E">
            <w:pPr>
              <w:spacing w:after="0" w:line="240" w:lineRule="auto"/>
              <w:jc w:val="center"/>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19</w:t>
            </w:r>
          </w:p>
        </w:tc>
        <w:tc>
          <w:tcPr>
            <w:tcW w:w="992" w:type="dxa"/>
            <w:tcBorders>
              <w:top w:val="nil"/>
              <w:left w:val="nil"/>
              <w:bottom w:val="single" w:sz="8" w:space="0" w:color="auto"/>
              <w:right w:val="single" w:sz="8" w:space="0" w:color="auto"/>
            </w:tcBorders>
            <w:shd w:val="clear" w:color="auto" w:fill="FFFFFF" w:themeFill="background1"/>
          </w:tcPr>
          <w:p w:rsidR="007551D0" w:rsidRPr="00BF3C7B" w:rsidRDefault="007551D0" w:rsidP="00DB2B5E">
            <w:pPr>
              <w:spacing w:after="0" w:line="240" w:lineRule="auto"/>
              <w:jc w:val="center"/>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r>
              <w:rPr>
                <w:rFonts w:ascii="Arial" w:eastAsia="Times New Roman" w:hAnsi="Arial" w:cs="Arial"/>
                <w:sz w:val="20"/>
                <w:szCs w:val="20"/>
              </w:rPr>
              <w:t>20</w:t>
            </w:r>
          </w:p>
        </w:tc>
      </w:tr>
      <w:tr w:rsidR="007551D0" w:rsidRPr="00BF3C7B" w:rsidTr="00DB2B5E">
        <w:trPr>
          <w:trHeight w:val="402"/>
          <w:jc w:val="center"/>
        </w:trPr>
        <w:tc>
          <w:tcPr>
            <w:tcW w:w="3532" w:type="dxa"/>
            <w:tcBorders>
              <w:top w:val="nil"/>
              <w:left w:val="single" w:sz="8" w:space="0" w:color="auto"/>
              <w:bottom w:val="single" w:sz="8" w:space="0" w:color="auto"/>
              <w:right w:val="single" w:sz="8" w:space="0" w:color="auto"/>
            </w:tcBorders>
            <w:shd w:val="clear" w:color="auto" w:fill="auto"/>
            <w:vAlign w:val="bottom"/>
            <w:hideMark/>
          </w:tcPr>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Număr total de puncte monitorizate</w:t>
            </w:r>
          </w:p>
        </w:tc>
        <w:tc>
          <w:tcPr>
            <w:tcW w:w="773" w:type="dxa"/>
            <w:tcBorders>
              <w:top w:val="nil"/>
              <w:left w:val="nil"/>
              <w:bottom w:val="single" w:sz="8" w:space="0" w:color="auto"/>
              <w:right w:val="single" w:sz="8" w:space="0" w:color="auto"/>
            </w:tcBorders>
            <w:shd w:val="clear" w:color="auto" w:fill="auto"/>
            <w:noWrap/>
            <w:vAlign w:val="bottom"/>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1314</w:t>
            </w:r>
          </w:p>
        </w:tc>
        <w:tc>
          <w:tcPr>
            <w:tcW w:w="788" w:type="dxa"/>
            <w:tcBorders>
              <w:top w:val="nil"/>
              <w:left w:val="nil"/>
              <w:bottom w:val="single" w:sz="8" w:space="0" w:color="auto"/>
              <w:right w:val="single" w:sz="8" w:space="0" w:color="auto"/>
            </w:tcBorders>
            <w:shd w:val="clear" w:color="auto" w:fill="auto"/>
            <w:noWrap/>
            <w:vAlign w:val="bottom"/>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1300</w:t>
            </w:r>
          </w:p>
        </w:tc>
        <w:tc>
          <w:tcPr>
            <w:tcW w:w="851" w:type="dxa"/>
            <w:tcBorders>
              <w:top w:val="nil"/>
              <w:left w:val="nil"/>
              <w:bottom w:val="single" w:sz="8" w:space="0" w:color="auto"/>
              <w:right w:val="single" w:sz="8" w:space="0" w:color="auto"/>
            </w:tcBorders>
            <w:shd w:val="clear" w:color="auto" w:fill="auto"/>
            <w:noWrap/>
            <w:vAlign w:val="bottom"/>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1271</w:t>
            </w:r>
          </w:p>
        </w:tc>
        <w:tc>
          <w:tcPr>
            <w:tcW w:w="992" w:type="dxa"/>
            <w:tcBorders>
              <w:top w:val="nil"/>
              <w:left w:val="nil"/>
              <w:bottom w:val="single" w:sz="8" w:space="0" w:color="auto"/>
              <w:right w:val="single" w:sz="8" w:space="0" w:color="auto"/>
            </w:tcBorders>
            <w:shd w:val="clear" w:color="auto" w:fill="auto"/>
            <w:noWrap/>
            <w:vAlign w:val="bottom"/>
            <w:hideMark/>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1318</w:t>
            </w:r>
          </w:p>
        </w:tc>
        <w:tc>
          <w:tcPr>
            <w:tcW w:w="992" w:type="dxa"/>
            <w:tcBorders>
              <w:top w:val="nil"/>
              <w:left w:val="nil"/>
              <w:bottom w:val="single" w:sz="8" w:space="0" w:color="auto"/>
              <w:right w:val="single" w:sz="8" w:space="0" w:color="auto"/>
            </w:tcBorders>
          </w:tcPr>
          <w:p w:rsidR="007551D0" w:rsidRPr="00BF3C7B" w:rsidRDefault="007551D0" w:rsidP="00DB2B5E">
            <w:pPr>
              <w:spacing w:after="0" w:line="240" w:lineRule="auto"/>
              <w:jc w:val="center"/>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1310</w:t>
            </w:r>
          </w:p>
        </w:tc>
        <w:tc>
          <w:tcPr>
            <w:tcW w:w="992" w:type="dxa"/>
            <w:tcBorders>
              <w:top w:val="nil"/>
              <w:left w:val="nil"/>
              <w:bottom w:val="single" w:sz="8" w:space="0" w:color="auto"/>
              <w:right w:val="single" w:sz="8" w:space="0" w:color="auto"/>
            </w:tcBorders>
            <w:shd w:val="clear" w:color="auto" w:fill="FFFFFF" w:themeFill="background1"/>
          </w:tcPr>
          <w:p w:rsidR="007551D0" w:rsidRPr="00BF3C7B" w:rsidRDefault="007551D0" w:rsidP="00DB2B5E">
            <w:pPr>
              <w:spacing w:after="0" w:line="240" w:lineRule="auto"/>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1523</w:t>
            </w:r>
          </w:p>
        </w:tc>
      </w:tr>
      <w:tr w:rsidR="007551D0" w:rsidRPr="00BF3C7B" w:rsidTr="00DB2B5E">
        <w:trPr>
          <w:trHeight w:val="481"/>
          <w:jc w:val="center"/>
        </w:trPr>
        <w:tc>
          <w:tcPr>
            <w:tcW w:w="3532" w:type="dxa"/>
            <w:tcBorders>
              <w:top w:val="nil"/>
              <w:left w:val="single" w:sz="8" w:space="0" w:color="auto"/>
              <w:bottom w:val="single" w:sz="8" w:space="0" w:color="auto"/>
              <w:right w:val="single" w:sz="8" w:space="0" w:color="auto"/>
            </w:tcBorders>
            <w:shd w:val="clear" w:color="auto" w:fill="auto"/>
            <w:vAlign w:val="center"/>
          </w:tcPr>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 xml:space="preserve">Număr de puncte în care se  monitorizează pesticidele </w:t>
            </w:r>
          </w:p>
          <w:p w:rsidR="007551D0" w:rsidRPr="00BF3C7B" w:rsidRDefault="007551D0" w:rsidP="00DB2B5E">
            <w:pPr>
              <w:spacing w:after="0" w:line="240" w:lineRule="auto"/>
              <w:rPr>
                <w:rFonts w:ascii="Arial" w:eastAsia="Times New Roman" w:hAnsi="Arial" w:cs="Arial"/>
                <w:b/>
                <w:sz w:val="20"/>
                <w:szCs w:val="20"/>
              </w:rPr>
            </w:pPr>
          </w:p>
        </w:tc>
        <w:tc>
          <w:tcPr>
            <w:tcW w:w="773" w:type="dxa"/>
            <w:tcBorders>
              <w:top w:val="nil"/>
              <w:left w:val="nil"/>
              <w:bottom w:val="single" w:sz="8" w:space="0" w:color="auto"/>
              <w:right w:val="single" w:sz="8" w:space="0" w:color="auto"/>
            </w:tcBorders>
            <w:shd w:val="clear" w:color="auto" w:fill="auto"/>
            <w:noWrap/>
            <w:vAlign w:val="center"/>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278</w:t>
            </w:r>
          </w:p>
        </w:tc>
        <w:tc>
          <w:tcPr>
            <w:tcW w:w="788" w:type="dxa"/>
            <w:tcBorders>
              <w:top w:val="nil"/>
              <w:left w:val="nil"/>
              <w:bottom w:val="single" w:sz="8" w:space="0" w:color="auto"/>
              <w:right w:val="single" w:sz="8" w:space="0" w:color="auto"/>
            </w:tcBorders>
            <w:shd w:val="clear" w:color="000000" w:fill="FFFFFF"/>
            <w:noWrap/>
            <w:vAlign w:val="center"/>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368</w:t>
            </w:r>
          </w:p>
        </w:tc>
        <w:tc>
          <w:tcPr>
            <w:tcW w:w="851" w:type="dxa"/>
            <w:tcBorders>
              <w:top w:val="nil"/>
              <w:left w:val="nil"/>
              <w:bottom w:val="single" w:sz="8" w:space="0" w:color="auto"/>
              <w:right w:val="single" w:sz="8" w:space="0" w:color="auto"/>
            </w:tcBorders>
            <w:shd w:val="clear" w:color="auto" w:fill="auto"/>
            <w:noWrap/>
            <w:vAlign w:val="center"/>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333</w:t>
            </w:r>
          </w:p>
        </w:tc>
        <w:tc>
          <w:tcPr>
            <w:tcW w:w="992" w:type="dxa"/>
            <w:tcBorders>
              <w:top w:val="nil"/>
              <w:left w:val="nil"/>
              <w:bottom w:val="single" w:sz="8" w:space="0" w:color="auto"/>
              <w:right w:val="single" w:sz="8" w:space="0" w:color="auto"/>
            </w:tcBorders>
            <w:shd w:val="clear" w:color="auto" w:fill="auto"/>
            <w:noWrap/>
            <w:vAlign w:val="center"/>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284</w:t>
            </w:r>
          </w:p>
        </w:tc>
        <w:tc>
          <w:tcPr>
            <w:tcW w:w="992" w:type="dxa"/>
            <w:tcBorders>
              <w:top w:val="nil"/>
              <w:left w:val="nil"/>
              <w:bottom w:val="single" w:sz="8" w:space="0" w:color="auto"/>
              <w:right w:val="single" w:sz="8" w:space="0" w:color="auto"/>
            </w:tcBorders>
          </w:tcPr>
          <w:p w:rsidR="007551D0" w:rsidRPr="00BF3C7B" w:rsidRDefault="007551D0" w:rsidP="00DB2B5E">
            <w:pPr>
              <w:spacing w:after="0" w:line="240" w:lineRule="auto"/>
              <w:jc w:val="center"/>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365</w:t>
            </w:r>
          </w:p>
        </w:tc>
        <w:tc>
          <w:tcPr>
            <w:tcW w:w="992" w:type="dxa"/>
            <w:tcBorders>
              <w:top w:val="nil"/>
              <w:left w:val="nil"/>
              <w:bottom w:val="single" w:sz="8" w:space="0" w:color="auto"/>
              <w:right w:val="single" w:sz="8" w:space="0" w:color="auto"/>
            </w:tcBorders>
            <w:shd w:val="clear" w:color="auto" w:fill="FFFFFF" w:themeFill="background1"/>
          </w:tcPr>
          <w:p w:rsidR="007551D0" w:rsidRPr="00BF3C7B" w:rsidRDefault="007551D0" w:rsidP="00DB2B5E">
            <w:pPr>
              <w:spacing w:after="0" w:line="240" w:lineRule="auto"/>
              <w:jc w:val="center"/>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r>
              <w:rPr>
                <w:rFonts w:ascii="Arial" w:eastAsia="Times New Roman" w:hAnsi="Arial" w:cs="Arial"/>
                <w:sz w:val="20"/>
                <w:szCs w:val="20"/>
              </w:rPr>
              <w:t>574</w:t>
            </w:r>
          </w:p>
        </w:tc>
      </w:tr>
      <w:tr w:rsidR="007551D0" w:rsidRPr="00BF3C7B" w:rsidTr="00DB2B5E">
        <w:trPr>
          <w:trHeight w:val="867"/>
          <w:jc w:val="center"/>
        </w:trPr>
        <w:tc>
          <w:tcPr>
            <w:tcW w:w="3532" w:type="dxa"/>
            <w:tcBorders>
              <w:top w:val="nil"/>
              <w:left w:val="single" w:sz="8" w:space="0" w:color="auto"/>
              <w:bottom w:val="single" w:sz="8" w:space="0" w:color="auto"/>
              <w:right w:val="single" w:sz="8" w:space="0" w:color="auto"/>
            </w:tcBorders>
            <w:shd w:val="clear" w:color="auto" w:fill="auto"/>
            <w:vAlign w:val="bottom"/>
            <w:hideMark/>
          </w:tcPr>
          <w:p w:rsidR="007551D0" w:rsidRPr="00BF3C7B" w:rsidRDefault="007551D0" w:rsidP="00DB2B5E">
            <w:pPr>
              <w:spacing w:after="0" w:line="240" w:lineRule="auto"/>
              <w:rPr>
                <w:rFonts w:ascii="Arial" w:eastAsia="Times New Roman" w:hAnsi="Arial" w:cs="Arial"/>
                <w:b/>
                <w:sz w:val="20"/>
                <w:szCs w:val="20"/>
              </w:rPr>
            </w:pPr>
            <w:r w:rsidRPr="00BF3C7B">
              <w:rPr>
                <w:rFonts w:ascii="Arial" w:eastAsia="Times New Roman" w:hAnsi="Arial" w:cs="Arial"/>
                <w:b/>
                <w:sz w:val="20"/>
                <w:szCs w:val="20"/>
              </w:rPr>
              <w:t>Ponderea punctelor de monitorizare  cu concentrație mai mare de 0.1µg/L din nr. punctelor în care se monitorizează pesticidele (%)</w:t>
            </w:r>
          </w:p>
        </w:tc>
        <w:tc>
          <w:tcPr>
            <w:tcW w:w="773" w:type="dxa"/>
            <w:tcBorders>
              <w:top w:val="nil"/>
              <w:left w:val="nil"/>
              <w:bottom w:val="single" w:sz="8" w:space="0" w:color="auto"/>
              <w:right w:val="single" w:sz="8" w:space="0" w:color="auto"/>
            </w:tcBorders>
            <w:shd w:val="clear" w:color="auto" w:fill="auto"/>
            <w:noWrap/>
            <w:vAlign w:val="center"/>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6.12</w:t>
            </w:r>
          </w:p>
        </w:tc>
        <w:tc>
          <w:tcPr>
            <w:tcW w:w="788" w:type="dxa"/>
            <w:tcBorders>
              <w:top w:val="nil"/>
              <w:left w:val="nil"/>
              <w:bottom w:val="single" w:sz="8" w:space="0" w:color="auto"/>
              <w:right w:val="single" w:sz="8" w:space="0" w:color="auto"/>
            </w:tcBorders>
            <w:shd w:val="clear" w:color="000000" w:fill="FFFFFF"/>
            <w:noWrap/>
            <w:vAlign w:val="center"/>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2.99</w:t>
            </w:r>
          </w:p>
        </w:tc>
        <w:tc>
          <w:tcPr>
            <w:tcW w:w="851" w:type="dxa"/>
            <w:tcBorders>
              <w:top w:val="nil"/>
              <w:left w:val="nil"/>
              <w:bottom w:val="single" w:sz="8" w:space="0" w:color="auto"/>
              <w:right w:val="single" w:sz="8" w:space="0" w:color="auto"/>
            </w:tcBorders>
            <w:shd w:val="clear" w:color="auto" w:fill="auto"/>
            <w:noWrap/>
            <w:vAlign w:val="center"/>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2.7</w:t>
            </w:r>
          </w:p>
        </w:tc>
        <w:tc>
          <w:tcPr>
            <w:tcW w:w="992" w:type="dxa"/>
            <w:tcBorders>
              <w:top w:val="nil"/>
              <w:left w:val="nil"/>
              <w:bottom w:val="single" w:sz="8" w:space="0" w:color="auto"/>
              <w:right w:val="single" w:sz="8" w:space="0" w:color="auto"/>
            </w:tcBorders>
            <w:shd w:val="clear" w:color="auto" w:fill="auto"/>
            <w:noWrap/>
            <w:vAlign w:val="center"/>
          </w:tcPr>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0</w:t>
            </w:r>
          </w:p>
        </w:tc>
        <w:tc>
          <w:tcPr>
            <w:tcW w:w="992" w:type="dxa"/>
            <w:tcBorders>
              <w:top w:val="nil"/>
              <w:left w:val="nil"/>
              <w:bottom w:val="single" w:sz="8" w:space="0" w:color="auto"/>
              <w:right w:val="single" w:sz="8" w:space="0" w:color="auto"/>
            </w:tcBorders>
          </w:tcPr>
          <w:p w:rsidR="007551D0" w:rsidRPr="00BF3C7B" w:rsidRDefault="007551D0" w:rsidP="00DB2B5E">
            <w:pPr>
              <w:spacing w:after="0" w:line="240" w:lineRule="auto"/>
              <w:jc w:val="center"/>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r w:rsidRPr="00BF3C7B">
              <w:rPr>
                <w:rFonts w:ascii="Arial" w:eastAsia="Times New Roman" w:hAnsi="Arial" w:cs="Arial"/>
                <w:sz w:val="20"/>
                <w:szCs w:val="20"/>
              </w:rPr>
              <w:t>6.3</w:t>
            </w:r>
          </w:p>
        </w:tc>
        <w:tc>
          <w:tcPr>
            <w:tcW w:w="992" w:type="dxa"/>
            <w:tcBorders>
              <w:top w:val="nil"/>
              <w:left w:val="nil"/>
              <w:bottom w:val="single" w:sz="8" w:space="0" w:color="auto"/>
              <w:right w:val="single" w:sz="8" w:space="0" w:color="auto"/>
            </w:tcBorders>
            <w:shd w:val="clear" w:color="auto" w:fill="FFFFFF" w:themeFill="background1"/>
          </w:tcPr>
          <w:p w:rsidR="007551D0" w:rsidRPr="00BF3C7B" w:rsidRDefault="007551D0" w:rsidP="00DB2B5E">
            <w:pPr>
              <w:spacing w:after="0" w:line="240" w:lineRule="auto"/>
              <w:jc w:val="center"/>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p>
          <w:p w:rsidR="007551D0" w:rsidRPr="00BF3C7B" w:rsidRDefault="007551D0" w:rsidP="00DB2B5E">
            <w:pPr>
              <w:spacing w:after="0" w:line="240" w:lineRule="auto"/>
              <w:jc w:val="center"/>
              <w:rPr>
                <w:rFonts w:ascii="Arial" w:eastAsia="Times New Roman" w:hAnsi="Arial" w:cs="Arial"/>
                <w:sz w:val="20"/>
                <w:szCs w:val="20"/>
              </w:rPr>
            </w:pPr>
            <w:r>
              <w:rPr>
                <w:rFonts w:ascii="Arial" w:eastAsia="Times New Roman" w:hAnsi="Arial" w:cs="Arial"/>
                <w:sz w:val="20"/>
                <w:szCs w:val="20"/>
              </w:rPr>
              <w:t>3.31</w:t>
            </w:r>
          </w:p>
        </w:tc>
      </w:tr>
    </w:tbl>
    <w:p w:rsidR="007551D0" w:rsidRPr="00BF3C7B" w:rsidRDefault="007551D0" w:rsidP="007551D0">
      <w:pPr>
        <w:spacing w:line="240" w:lineRule="auto"/>
        <w:jc w:val="both"/>
        <w:rPr>
          <w:rFonts w:ascii="Arial" w:hAnsi="Arial" w:cs="Arial"/>
          <w:i/>
          <w:sz w:val="20"/>
          <w:szCs w:val="20"/>
          <w:lang w:val="en-US"/>
        </w:rPr>
      </w:pPr>
    </w:p>
    <w:p w:rsidR="007551D0" w:rsidRDefault="007551D0" w:rsidP="007551D0">
      <w:pPr>
        <w:ind w:firstLine="720"/>
        <w:rPr>
          <w:rFonts w:ascii="Arial" w:hAnsi="Arial" w:cs="Arial"/>
          <w:b/>
          <w:bCs/>
          <w:sz w:val="24"/>
          <w:szCs w:val="24"/>
        </w:rPr>
      </w:pPr>
      <w:r w:rsidRPr="00E92120">
        <w:rPr>
          <w:rFonts w:ascii="Arial" w:hAnsi="Arial" w:cs="Arial"/>
          <w:b/>
          <w:bCs/>
          <w:sz w:val="24"/>
          <w:szCs w:val="24"/>
        </w:rPr>
        <w:t xml:space="preserve">II.2.1.4. Calitatea apelor de îmbăiere </w:t>
      </w:r>
    </w:p>
    <w:p w:rsidR="007551D0" w:rsidRPr="00E92120" w:rsidRDefault="007551D0" w:rsidP="003112DC">
      <w:pPr>
        <w:spacing w:line="240" w:lineRule="auto"/>
        <w:ind w:firstLine="720"/>
        <w:jc w:val="both"/>
        <w:rPr>
          <w:rFonts w:ascii="Arial" w:hAnsi="Arial" w:cs="Arial"/>
          <w:b/>
          <w:bCs/>
          <w:iCs/>
        </w:rPr>
      </w:pPr>
      <w:r w:rsidRPr="00E92120">
        <w:rPr>
          <w:rFonts w:ascii="Arial" w:hAnsi="Arial" w:cs="Arial"/>
          <w:bCs/>
          <w:sz w:val="24"/>
          <w:szCs w:val="24"/>
        </w:rPr>
        <w:t xml:space="preserve">În mod tradiţional se folosesc malurile Dunării în scop recreativ,  dar în judeţul </w:t>
      </w:r>
      <w:r w:rsidR="00217620">
        <w:rPr>
          <w:rFonts w:ascii="Arial" w:hAnsi="Arial" w:cs="Arial"/>
          <w:bCs/>
          <w:sz w:val="24"/>
          <w:szCs w:val="24"/>
        </w:rPr>
        <w:t>Brăila</w:t>
      </w:r>
      <w:r w:rsidRPr="00E92120">
        <w:rPr>
          <w:rFonts w:ascii="Arial" w:hAnsi="Arial" w:cs="Arial"/>
          <w:bCs/>
          <w:sz w:val="24"/>
          <w:szCs w:val="24"/>
        </w:rPr>
        <w:t xml:space="preserve"> nu există zone naturale de îmbăiere amenajate şi autorizate sanitar. În municipiu sunt câteva piscine autorizare sanitar, acestea fiind racordate la reţeaua de apă potabilă a municipiului </w:t>
      </w:r>
      <w:r w:rsidR="00217620">
        <w:rPr>
          <w:rFonts w:ascii="Arial" w:hAnsi="Arial" w:cs="Arial"/>
          <w:bCs/>
          <w:sz w:val="24"/>
          <w:szCs w:val="24"/>
        </w:rPr>
        <w:t>Brăila</w:t>
      </w:r>
      <w:r w:rsidRPr="00E92120">
        <w:rPr>
          <w:rFonts w:ascii="Arial" w:hAnsi="Arial" w:cs="Arial"/>
          <w:bCs/>
          <w:sz w:val="24"/>
          <w:szCs w:val="24"/>
        </w:rPr>
        <w:t>. Calitatea apei din staţiunea Lacu - Sărat este monitorizată de către Institutul Naţional de Resurse Minerale şi de către Institutul Naţional de Balneologie.</w:t>
      </w:r>
    </w:p>
    <w:p w:rsidR="007551D0" w:rsidRDefault="007551D0" w:rsidP="007551D0">
      <w:pPr>
        <w:pStyle w:val="Default"/>
        <w:jc w:val="both"/>
        <w:rPr>
          <w:rFonts w:ascii="Arial" w:hAnsi="Arial" w:cs="Arial"/>
          <w:b/>
          <w:bCs/>
          <w:i/>
          <w:iCs/>
          <w:color w:val="auto"/>
          <w:u w:val="single"/>
        </w:rPr>
      </w:pPr>
      <w:r>
        <w:rPr>
          <w:rFonts w:ascii="Arial" w:hAnsi="Arial" w:cs="Arial"/>
          <w:b/>
          <w:bCs/>
          <w:iCs/>
          <w:color w:val="auto"/>
        </w:rPr>
        <w:t xml:space="preserve">     </w:t>
      </w:r>
      <w:r w:rsidRPr="00E92120">
        <w:rPr>
          <w:rFonts w:ascii="Arial" w:hAnsi="Arial" w:cs="Arial"/>
          <w:b/>
          <w:bCs/>
          <w:iCs/>
          <w:color w:val="auto"/>
        </w:rPr>
        <w:t>II.2.2. Factorii determinanţi şi presiunile care afectează starea de calitate</w:t>
      </w:r>
      <w:r w:rsidRPr="00E92120">
        <w:rPr>
          <w:rFonts w:ascii="Arial" w:hAnsi="Arial" w:cs="Arial"/>
          <w:b/>
          <w:bCs/>
          <w:i/>
          <w:iCs/>
          <w:color w:val="auto"/>
        </w:rPr>
        <w:t xml:space="preserve"> a apelor</w:t>
      </w:r>
      <w:r w:rsidRPr="00E92120">
        <w:rPr>
          <w:rFonts w:ascii="Arial" w:hAnsi="Arial" w:cs="Arial"/>
          <w:b/>
          <w:bCs/>
          <w:i/>
          <w:iCs/>
          <w:color w:val="auto"/>
          <w:u w:val="single"/>
        </w:rPr>
        <w:t xml:space="preserve"> </w:t>
      </w:r>
    </w:p>
    <w:p w:rsidR="007551D0" w:rsidRPr="00E92120" w:rsidRDefault="007551D0" w:rsidP="007551D0">
      <w:pPr>
        <w:pStyle w:val="Default"/>
        <w:jc w:val="both"/>
        <w:rPr>
          <w:rFonts w:ascii="Arial" w:hAnsi="Arial" w:cs="Arial"/>
        </w:rPr>
      </w:pPr>
    </w:p>
    <w:p w:rsidR="007551D0" w:rsidRPr="002864EB" w:rsidRDefault="007551D0" w:rsidP="007551D0">
      <w:pPr>
        <w:pStyle w:val="Default"/>
        <w:jc w:val="both"/>
        <w:rPr>
          <w:rFonts w:ascii="Arial" w:hAnsi="Arial" w:cs="Arial"/>
          <w:b/>
        </w:rPr>
      </w:pPr>
      <w:r>
        <w:rPr>
          <w:rFonts w:ascii="Arial" w:hAnsi="Arial" w:cs="Arial"/>
          <w:b/>
          <w:bCs/>
          <w:color w:val="auto"/>
        </w:rPr>
        <w:t xml:space="preserve">         </w:t>
      </w:r>
      <w:r w:rsidRPr="00E92120">
        <w:rPr>
          <w:rFonts w:ascii="Arial" w:hAnsi="Arial" w:cs="Arial"/>
          <w:b/>
          <w:bCs/>
          <w:color w:val="auto"/>
        </w:rPr>
        <w:t xml:space="preserve">II.2.2.1. Presiuni semnificative asupra resurselor de apă </w:t>
      </w:r>
    </w:p>
    <w:p w:rsidR="003112DC" w:rsidRDefault="003112DC" w:rsidP="003112DC">
      <w:pPr>
        <w:spacing w:after="0" w:line="240" w:lineRule="auto"/>
        <w:ind w:firstLine="567"/>
        <w:jc w:val="both"/>
        <w:rPr>
          <w:rFonts w:ascii="Arial" w:hAnsi="Arial" w:cs="Arial"/>
          <w:sz w:val="24"/>
          <w:szCs w:val="24"/>
        </w:rPr>
      </w:pPr>
    </w:p>
    <w:p w:rsidR="007551D0" w:rsidRDefault="007551D0" w:rsidP="003112DC">
      <w:pPr>
        <w:spacing w:after="0" w:line="240" w:lineRule="auto"/>
        <w:ind w:firstLine="567"/>
        <w:jc w:val="both"/>
        <w:rPr>
          <w:rFonts w:ascii="Arial" w:hAnsi="Arial" w:cs="Arial"/>
          <w:sz w:val="24"/>
          <w:szCs w:val="24"/>
        </w:rPr>
      </w:pPr>
      <w:r w:rsidRPr="00497FAC">
        <w:rPr>
          <w:rFonts w:ascii="Arial" w:hAnsi="Arial" w:cs="Arial"/>
          <w:sz w:val="24"/>
          <w:szCs w:val="24"/>
        </w:rPr>
        <w:t>În conformitate cu Directiva Cadru Apă</w:t>
      </w:r>
      <w:r>
        <w:rPr>
          <w:rFonts w:ascii="Arial" w:hAnsi="Arial" w:cs="Arial"/>
          <w:sz w:val="24"/>
          <w:szCs w:val="24"/>
        </w:rPr>
        <w:t xml:space="preserve"> 2000/60/CE</w:t>
      </w:r>
      <w:r w:rsidRPr="00497FAC">
        <w:rPr>
          <w:rFonts w:ascii="Arial" w:hAnsi="Arial" w:cs="Arial"/>
          <w:sz w:val="24"/>
          <w:szCs w:val="24"/>
        </w:rPr>
        <w:t xml:space="preserve">, în cadrul planurilor de management </w:t>
      </w:r>
      <w:r>
        <w:rPr>
          <w:rFonts w:ascii="Arial" w:hAnsi="Arial" w:cs="Arial"/>
          <w:sz w:val="24"/>
          <w:szCs w:val="24"/>
        </w:rPr>
        <w:t xml:space="preserve">al bazinelor/spațiilor hidrografice </w:t>
      </w:r>
      <w:r w:rsidRPr="00497FAC">
        <w:rPr>
          <w:rFonts w:ascii="Arial" w:hAnsi="Arial" w:cs="Arial"/>
          <w:sz w:val="24"/>
          <w:szCs w:val="24"/>
        </w:rPr>
        <w:t xml:space="preserve">au fost considerate presiuni semnificative acelea care au ca rezultat neatingerea obiectivelor de mediu pentru corpul de apă. După modul în care funcţionează sistemul de recepţie al corpului de apă se poate cunoaşte dacă o presiune poate cauza un impact. Această abordare corelată cu lista tuturor presiunilor și cu caracteristicile particulare ale bazinului de recepţie conduce la identificarea presiunilor semnificative. </w:t>
      </w:r>
    </w:p>
    <w:p w:rsidR="007551D0" w:rsidRDefault="007551D0" w:rsidP="003112DC">
      <w:pPr>
        <w:spacing w:after="0" w:line="240" w:lineRule="auto"/>
        <w:ind w:firstLine="567"/>
        <w:jc w:val="both"/>
        <w:rPr>
          <w:rFonts w:ascii="Arial" w:hAnsi="Arial" w:cs="Arial"/>
          <w:sz w:val="24"/>
          <w:szCs w:val="24"/>
        </w:rPr>
      </w:pPr>
      <w:r w:rsidRPr="00497FAC">
        <w:rPr>
          <w:rFonts w:ascii="Arial" w:hAnsi="Arial" w:cs="Arial"/>
          <w:sz w:val="24"/>
          <w:szCs w:val="24"/>
        </w:rPr>
        <w:t xml:space="preserve">O alternativă este aceea ca înţelegerea conceptuală să fie sintetizată într-un set simplu de reguli care indică direct dacă o presiune este semnificativă. O abordare de acest tip este de a compara magnitudinea presiunii cu un criteriu sau o valoare limită relevantă pentru corpul de apă. În acest sens, Directivele Europene prezintă limitele peste care presiunile pot fi numite semnificative şi substanţele și grupele de substanţe care trebuie luate în </w:t>
      </w:r>
      <w:r w:rsidRPr="00497FAC">
        <w:rPr>
          <w:rFonts w:ascii="Arial" w:hAnsi="Arial" w:cs="Arial"/>
          <w:sz w:val="24"/>
          <w:szCs w:val="24"/>
        </w:rPr>
        <w:lastRenderedPageBreak/>
        <w:t>considerare. Stabilirea presiunilor semnificative stă la baza identificării în continuare a legăturii dintre toate categoriile de presiuni – obiective – măsuri. S-a avut în vedere analiza presiunilor și a impactului pe baza utilizării conceptului DPSIR (Driver-Pressure-State-Impact-Response – Activitate Antropică-Presiune-Stare-Impact- Răspuns).</w:t>
      </w:r>
      <w:r>
        <w:rPr>
          <w:rFonts w:ascii="Arial" w:hAnsi="Arial" w:cs="Arial"/>
          <w:sz w:val="24"/>
          <w:szCs w:val="24"/>
        </w:rPr>
        <w:t xml:space="preserve"> </w:t>
      </w:r>
    </w:p>
    <w:p w:rsidR="007551D0" w:rsidRPr="00497FAC" w:rsidRDefault="007551D0" w:rsidP="003112DC">
      <w:pPr>
        <w:spacing w:after="0" w:line="240" w:lineRule="auto"/>
        <w:ind w:firstLine="567"/>
        <w:jc w:val="both"/>
        <w:rPr>
          <w:rFonts w:ascii="Arial" w:hAnsi="Arial" w:cs="Arial"/>
          <w:sz w:val="24"/>
          <w:szCs w:val="24"/>
        </w:rPr>
      </w:pPr>
      <w:r w:rsidRPr="00497FAC">
        <w:rPr>
          <w:rFonts w:ascii="Arial" w:hAnsi="Arial" w:cs="Arial"/>
          <w:sz w:val="24"/>
          <w:szCs w:val="24"/>
        </w:rPr>
        <w:t>Aplicarea setului de criterii a condus la identificarea presiunilor semnificative punctiforme, având în vedere evacuările de ape epurate sau neepurate în resursele de apă de suprafaţă:</w:t>
      </w:r>
    </w:p>
    <w:p w:rsidR="007551D0" w:rsidRPr="00E579A8" w:rsidRDefault="007551D0" w:rsidP="003112DC">
      <w:pPr>
        <w:numPr>
          <w:ilvl w:val="0"/>
          <w:numId w:val="76"/>
        </w:numPr>
        <w:spacing w:after="0" w:line="240" w:lineRule="auto"/>
        <w:jc w:val="both"/>
        <w:rPr>
          <w:rFonts w:ascii="Arial" w:hAnsi="Arial" w:cs="Arial"/>
          <w:bCs/>
          <w:sz w:val="24"/>
          <w:szCs w:val="24"/>
        </w:rPr>
      </w:pPr>
      <w:r w:rsidRPr="00E579A8">
        <w:rPr>
          <w:rFonts w:ascii="Arial" w:hAnsi="Arial" w:cs="Arial"/>
          <w:b/>
          <w:bCs/>
          <w:i/>
          <w:sz w:val="24"/>
          <w:szCs w:val="24"/>
        </w:rPr>
        <w:t>aglomerările umane</w:t>
      </w:r>
      <w:r w:rsidRPr="00E579A8">
        <w:rPr>
          <w:rFonts w:ascii="Arial" w:hAnsi="Arial" w:cs="Arial"/>
          <w:bCs/>
          <w:i/>
          <w:sz w:val="24"/>
          <w:szCs w:val="24"/>
        </w:rPr>
        <w:t xml:space="preserve"> (</w:t>
      </w:r>
      <w:r w:rsidRPr="00E579A8">
        <w:rPr>
          <w:rFonts w:ascii="Arial" w:hAnsi="Arial" w:cs="Arial"/>
          <w:bCs/>
          <w:sz w:val="24"/>
          <w:szCs w:val="24"/>
        </w:rPr>
        <w:t>identificate în conformitate cu cerinţele Directivei privind epurarea apelor uzate urbane - Directiva 91/271/EEC), ce au peste 2000 locuitori echivalenţi (l.e.) care au sisteme de colectare a apelor uzate cu sau fără staţii de epurare şi care evacuează în resursele de apă; de asemenea, aglomerările &lt;</w:t>
      </w:r>
      <w:smartTag w:uri="urn:schemas-microsoft-com:office:smarttags" w:element="metricconverter">
        <w:smartTagPr>
          <w:attr w:name="ProductID" w:val="2000 l"/>
        </w:smartTagPr>
        <w:r w:rsidRPr="00E579A8">
          <w:rPr>
            <w:rFonts w:ascii="Arial" w:hAnsi="Arial" w:cs="Arial"/>
            <w:bCs/>
            <w:sz w:val="24"/>
            <w:szCs w:val="24"/>
          </w:rPr>
          <w:t>2000 l</w:t>
        </w:r>
      </w:smartTag>
      <w:r w:rsidRPr="00E579A8">
        <w:rPr>
          <w:rFonts w:ascii="Arial" w:hAnsi="Arial" w:cs="Arial"/>
          <w:bCs/>
          <w:sz w:val="24"/>
          <w:szCs w:val="24"/>
        </w:rPr>
        <w:t xml:space="preserve">.e. sunt considerate surse semnificative punctiforme dacă au sistem de canalizare centralizat; de asemenea, sunt considerate surse semnificative de poluare, aglomerările umane cu sistem de canalizare unitar care nu au capacitatea de a colecta şi epura amestecul de ape uzate şi ape pluviale în perioadele cu ploi intense; </w:t>
      </w:r>
    </w:p>
    <w:p w:rsidR="007551D0" w:rsidRPr="00E579A8" w:rsidRDefault="007551D0" w:rsidP="003112DC">
      <w:pPr>
        <w:pStyle w:val="ListParagraph"/>
        <w:numPr>
          <w:ilvl w:val="0"/>
          <w:numId w:val="74"/>
        </w:numPr>
        <w:ind w:left="284" w:hanging="284"/>
        <w:jc w:val="both"/>
        <w:rPr>
          <w:rFonts w:ascii="Arial" w:hAnsi="Arial" w:cs="Arial"/>
          <w:b/>
          <w:i/>
        </w:rPr>
      </w:pPr>
      <w:r w:rsidRPr="00E579A8">
        <w:rPr>
          <w:rFonts w:ascii="Arial" w:hAnsi="Arial" w:cs="Arial"/>
          <w:b/>
          <w:i/>
        </w:rPr>
        <w:t xml:space="preserve">industria:  </w:t>
      </w:r>
    </w:p>
    <w:p w:rsidR="007551D0" w:rsidRPr="00E579A8" w:rsidRDefault="007551D0" w:rsidP="003112DC">
      <w:pPr>
        <w:pStyle w:val="ListParagraph"/>
        <w:numPr>
          <w:ilvl w:val="0"/>
          <w:numId w:val="77"/>
        </w:numPr>
        <w:ind w:left="567" w:hanging="283"/>
        <w:jc w:val="both"/>
        <w:rPr>
          <w:rFonts w:ascii="Arial" w:hAnsi="Arial" w:cs="Arial"/>
        </w:rPr>
      </w:pPr>
      <w:r>
        <w:rPr>
          <w:rFonts w:ascii="Arial" w:hAnsi="Arial" w:cs="Arial"/>
        </w:rPr>
        <w:t>i</w:t>
      </w:r>
      <w:r w:rsidRPr="00E579A8">
        <w:rPr>
          <w:rFonts w:ascii="Arial" w:hAnsi="Arial" w:cs="Arial"/>
        </w:rPr>
        <w:t>nstalaţiile care intră sub incidenţa Directiva 2010/75/CEE privind emisiile industriale (Directiva IED) - inclusiv unităţile care sunt inventariate în Registrul Polunaţilor Emişi şi Transferaţi (E-PRTR), care sunt relevante pentru factorul de mediu apă;</w:t>
      </w:r>
    </w:p>
    <w:p w:rsidR="007551D0" w:rsidRPr="00E579A8" w:rsidRDefault="007551D0" w:rsidP="003112DC">
      <w:pPr>
        <w:pStyle w:val="ListParagraph"/>
        <w:numPr>
          <w:ilvl w:val="0"/>
          <w:numId w:val="77"/>
        </w:numPr>
        <w:ind w:left="567" w:hanging="283"/>
        <w:jc w:val="both"/>
        <w:rPr>
          <w:rFonts w:ascii="Arial" w:hAnsi="Arial" w:cs="Arial"/>
        </w:rPr>
      </w:pPr>
      <w:r>
        <w:rPr>
          <w:rFonts w:ascii="Arial" w:hAnsi="Arial" w:cs="Arial"/>
        </w:rPr>
        <w:t>u</w:t>
      </w:r>
      <w:r w:rsidRPr="00E579A8">
        <w:rPr>
          <w:rFonts w:ascii="Arial" w:hAnsi="Arial" w:cs="Arial"/>
        </w:rPr>
        <w:t>nităţile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7551D0" w:rsidRPr="00E579A8" w:rsidRDefault="007551D0" w:rsidP="003112DC">
      <w:pPr>
        <w:pStyle w:val="ListParagraph"/>
        <w:numPr>
          <w:ilvl w:val="0"/>
          <w:numId w:val="77"/>
        </w:numPr>
        <w:ind w:left="567" w:hanging="283"/>
        <w:jc w:val="both"/>
        <w:rPr>
          <w:rFonts w:ascii="Arial" w:hAnsi="Arial" w:cs="Arial"/>
          <w:i/>
        </w:rPr>
      </w:pPr>
      <w:r w:rsidRPr="00E579A8">
        <w:rPr>
          <w:rFonts w:ascii="Arial" w:hAnsi="Arial" w:cs="Arial"/>
        </w:rPr>
        <w:t>alte unităţi care evacuează în resursele de apă şi care nu se conformează legislaţiei în vigoare privind factorul de mediu apă;</w:t>
      </w:r>
    </w:p>
    <w:p w:rsidR="007551D0" w:rsidRPr="00E579A8" w:rsidRDefault="007551D0" w:rsidP="003112DC">
      <w:pPr>
        <w:pStyle w:val="ListParagraph"/>
        <w:numPr>
          <w:ilvl w:val="0"/>
          <w:numId w:val="74"/>
        </w:numPr>
        <w:ind w:left="284" w:hanging="284"/>
        <w:jc w:val="both"/>
        <w:rPr>
          <w:rFonts w:ascii="Arial" w:hAnsi="Arial" w:cs="Arial"/>
          <w:b/>
          <w:i/>
        </w:rPr>
      </w:pPr>
      <w:r w:rsidRPr="00E579A8">
        <w:rPr>
          <w:rFonts w:ascii="Arial" w:hAnsi="Arial" w:cs="Arial"/>
          <w:b/>
          <w:i/>
        </w:rPr>
        <w:t>agricultura:</w:t>
      </w:r>
    </w:p>
    <w:p w:rsidR="007551D0" w:rsidRPr="00E579A8" w:rsidRDefault="007551D0" w:rsidP="003112DC">
      <w:pPr>
        <w:numPr>
          <w:ilvl w:val="0"/>
          <w:numId w:val="78"/>
        </w:numPr>
        <w:spacing w:after="0" w:line="240" w:lineRule="auto"/>
        <w:jc w:val="both"/>
        <w:rPr>
          <w:rFonts w:ascii="Arial" w:hAnsi="Arial" w:cs="Arial"/>
          <w:sz w:val="24"/>
          <w:szCs w:val="24"/>
        </w:rPr>
      </w:pPr>
      <w:r>
        <w:rPr>
          <w:rFonts w:ascii="Arial" w:hAnsi="Arial" w:cs="Arial"/>
          <w:sz w:val="24"/>
          <w:szCs w:val="24"/>
        </w:rPr>
        <w:t>f</w:t>
      </w:r>
      <w:r w:rsidRPr="00E579A8">
        <w:rPr>
          <w:rFonts w:ascii="Arial" w:hAnsi="Arial" w:cs="Arial"/>
          <w:sz w:val="24"/>
          <w:szCs w:val="24"/>
        </w:rPr>
        <w:t>ermele zootehnice care intră sub incidenţa Directivei 2010/75/CEE privind emisiile industriale (Directiva IED) - inclusiv unităţile care sunt inventariate în Registrul Polunaţilor Emişi şi Transferaţi (E-PRTR), care sunt relevante pentru factorul de mediu apă;</w:t>
      </w:r>
    </w:p>
    <w:p w:rsidR="007551D0" w:rsidRPr="00E579A8" w:rsidRDefault="007551D0" w:rsidP="003112DC">
      <w:pPr>
        <w:numPr>
          <w:ilvl w:val="0"/>
          <w:numId w:val="78"/>
        </w:numPr>
        <w:spacing w:after="0" w:line="240" w:lineRule="auto"/>
        <w:jc w:val="both"/>
        <w:rPr>
          <w:rFonts w:ascii="Arial" w:hAnsi="Arial" w:cs="Arial"/>
          <w:sz w:val="24"/>
          <w:szCs w:val="24"/>
        </w:rPr>
      </w:pPr>
      <w:r>
        <w:rPr>
          <w:rFonts w:ascii="Arial" w:hAnsi="Arial" w:cs="Arial"/>
          <w:sz w:val="24"/>
          <w:szCs w:val="24"/>
        </w:rPr>
        <w:t>f</w:t>
      </w:r>
      <w:r w:rsidRPr="00E579A8">
        <w:rPr>
          <w:rFonts w:ascii="Arial" w:hAnsi="Arial" w:cs="Arial"/>
          <w:sz w:val="24"/>
          <w:szCs w:val="24"/>
        </w:rPr>
        <w:t>ermele care evacuează substanţe periculoase (lista I şi II) şi/sau substanţe prioritare peste limitele legislaţiei în vigoare (în conformitate cu cerinţele Directivei 2006/11/EC care înlocuieşte Directiva 76/464/EEC privind poluarea cauzată de substanţele periculoase evacuate în mediul acvatic al Comunităţii);</w:t>
      </w:r>
    </w:p>
    <w:p w:rsidR="007551D0" w:rsidRDefault="007551D0" w:rsidP="003112DC">
      <w:pPr>
        <w:numPr>
          <w:ilvl w:val="0"/>
          <w:numId w:val="78"/>
        </w:numPr>
        <w:spacing w:after="0" w:line="240" w:lineRule="auto"/>
        <w:jc w:val="both"/>
        <w:rPr>
          <w:rFonts w:ascii="Arial" w:hAnsi="Arial" w:cs="Arial"/>
          <w:sz w:val="24"/>
          <w:szCs w:val="24"/>
        </w:rPr>
      </w:pPr>
      <w:r w:rsidRPr="00E579A8">
        <w:rPr>
          <w:rFonts w:ascii="Arial" w:hAnsi="Arial" w:cs="Arial"/>
          <w:sz w:val="24"/>
          <w:szCs w:val="24"/>
        </w:rPr>
        <w:t>alte unităţi agricole cu evacuare punctiformă şi care nu se conformează legislaţiei în vigoare privind factorul de mediu apă;</w:t>
      </w:r>
    </w:p>
    <w:p w:rsidR="007551D0" w:rsidRPr="003112DC" w:rsidRDefault="007551D0" w:rsidP="003112DC">
      <w:pPr>
        <w:spacing w:after="0" w:line="240" w:lineRule="auto"/>
        <w:ind w:firstLine="567"/>
        <w:jc w:val="both"/>
        <w:rPr>
          <w:rFonts w:ascii="Arial" w:hAnsi="Arial" w:cs="Arial"/>
          <w:sz w:val="24"/>
          <w:szCs w:val="24"/>
        </w:rPr>
      </w:pPr>
      <w:r>
        <w:rPr>
          <w:rFonts w:ascii="Arial" w:hAnsi="Arial" w:cs="Arial"/>
          <w:sz w:val="24"/>
          <w:szCs w:val="24"/>
        </w:rPr>
        <w:t>Î</w:t>
      </w:r>
      <w:r w:rsidRPr="00497FAC">
        <w:rPr>
          <w:rFonts w:ascii="Arial" w:hAnsi="Arial" w:cs="Arial"/>
          <w:sz w:val="24"/>
          <w:szCs w:val="24"/>
        </w:rPr>
        <w:t xml:space="preserve">n </w:t>
      </w:r>
      <w:r>
        <w:rPr>
          <w:rFonts w:ascii="Arial" w:hAnsi="Arial" w:cs="Arial"/>
          <w:sz w:val="24"/>
          <w:szCs w:val="24"/>
        </w:rPr>
        <w:t>Planul Național de Management al bazinelor/spațiilor hidrografice din România, actualizat și aprobat prin HG nr. 859/2016, au fost inventariate l</w:t>
      </w:r>
      <w:r w:rsidRPr="00E579A8">
        <w:rPr>
          <w:rFonts w:ascii="Arial" w:hAnsi="Arial" w:cs="Arial"/>
          <w:sz w:val="24"/>
          <w:szCs w:val="24"/>
        </w:rPr>
        <w:t xml:space="preserve">a nivel naţional un număr </w:t>
      </w:r>
      <w:r>
        <w:rPr>
          <w:rFonts w:ascii="Arial" w:hAnsi="Arial" w:cs="Arial"/>
          <w:sz w:val="24"/>
          <w:szCs w:val="24"/>
        </w:rPr>
        <w:t xml:space="preserve">total </w:t>
      </w:r>
      <w:r w:rsidRPr="00E579A8">
        <w:rPr>
          <w:rFonts w:ascii="Arial" w:hAnsi="Arial" w:cs="Arial"/>
          <w:sz w:val="24"/>
          <w:szCs w:val="24"/>
        </w:rPr>
        <w:t xml:space="preserve">de </w:t>
      </w:r>
      <w:r>
        <w:rPr>
          <w:rFonts w:ascii="Arial" w:hAnsi="Arial" w:cs="Arial"/>
          <w:sz w:val="24"/>
          <w:szCs w:val="24"/>
        </w:rPr>
        <w:t>2970</w:t>
      </w:r>
      <w:r w:rsidRPr="00E579A8">
        <w:rPr>
          <w:rFonts w:ascii="Arial" w:hAnsi="Arial" w:cs="Arial"/>
          <w:sz w:val="24"/>
          <w:szCs w:val="24"/>
        </w:rPr>
        <w:t xml:space="preserve"> utilizatori de apă care folosesc resursele de apă de suprafaţă ca receptor al apelor evacuate</w:t>
      </w:r>
      <w:r>
        <w:rPr>
          <w:rFonts w:ascii="Arial" w:hAnsi="Arial" w:cs="Arial"/>
          <w:sz w:val="24"/>
          <w:szCs w:val="24"/>
        </w:rPr>
        <w:t>, din care, ți</w:t>
      </w:r>
      <w:r w:rsidRPr="00E579A8">
        <w:rPr>
          <w:rFonts w:ascii="Arial" w:hAnsi="Arial" w:cs="Arial"/>
          <w:sz w:val="24"/>
          <w:szCs w:val="24"/>
        </w:rPr>
        <w:t xml:space="preserve">nând seama de criteriile menţionate mai sus, au rezultat un număr total de </w:t>
      </w:r>
      <w:r w:rsidRPr="003112DC">
        <w:rPr>
          <w:rFonts w:ascii="Arial" w:hAnsi="Arial" w:cs="Arial"/>
          <w:sz w:val="24"/>
          <w:szCs w:val="24"/>
        </w:rPr>
        <w:t>1409 surse punctiforme potențial semnificative (626 urbane, 563 industriale, 106 agricole și 114 alte presiuni de tipul exploatărilor forestiere, acvacultură, etc.).</w:t>
      </w:r>
    </w:p>
    <w:p w:rsidR="007551D0" w:rsidRDefault="007551D0" w:rsidP="007551D0">
      <w:pPr>
        <w:spacing w:after="0" w:line="240" w:lineRule="auto"/>
        <w:ind w:firstLine="567"/>
        <w:jc w:val="both"/>
        <w:rPr>
          <w:rFonts w:ascii="Arial" w:hAnsi="Arial" w:cs="Arial"/>
          <w:b/>
          <w:sz w:val="24"/>
          <w:szCs w:val="24"/>
        </w:rPr>
      </w:pPr>
    </w:p>
    <w:p w:rsidR="007551D0" w:rsidRDefault="007551D0" w:rsidP="003112DC">
      <w:pPr>
        <w:spacing w:after="0" w:line="240" w:lineRule="auto"/>
        <w:ind w:firstLine="567"/>
        <w:rPr>
          <w:rFonts w:ascii="Arial" w:hAnsi="Arial" w:cs="Arial"/>
          <w:b/>
          <w:sz w:val="24"/>
          <w:szCs w:val="24"/>
        </w:rPr>
      </w:pPr>
      <w:r w:rsidRPr="002E19F4">
        <w:rPr>
          <w:rFonts w:ascii="Arial" w:hAnsi="Arial" w:cs="Arial"/>
          <w:b/>
          <w:sz w:val="24"/>
          <w:szCs w:val="24"/>
        </w:rPr>
        <w:t>Ponderea presiunilor puncti</w:t>
      </w:r>
      <w:r>
        <w:rPr>
          <w:rFonts w:ascii="Arial" w:hAnsi="Arial" w:cs="Arial"/>
          <w:b/>
          <w:sz w:val="24"/>
          <w:szCs w:val="24"/>
        </w:rPr>
        <w:t>forme</w:t>
      </w:r>
      <w:r w:rsidRPr="002E19F4">
        <w:rPr>
          <w:rFonts w:ascii="Arial" w:hAnsi="Arial" w:cs="Arial"/>
          <w:b/>
          <w:sz w:val="24"/>
          <w:szCs w:val="24"/>
        </w:rPr>
        <w:t xml:space="preserve"> potențial semnificative </w:t>
      </w:r>
    </w:p>
    <w:p w:rsidR="007551D0" w:rsidRDefault="007551D0" w:rsidP="007551D0">
      <w:pPr>
        <w:spacing w:before="120" w:after="120" w:line="240" w:lineRule="auto"/>
        <w:jc w:val="center"/>
        <w:rPr>
          <w:rFonts w:ascii="Arial" w:hAnsi="Arial" w:cs="Arial"/>
          <w:b/>
          <w:sz w:val="24"/>
          <w:szCs w:val="24"/>
        </w:rPr>
      </w:pPr>
      <w:r>
        <w:rPr>
          <w:noProof/>
          <w:lang w:eastAsia="ro-RO"/>
        </w:rPr>
        <w:lastRenderedPageBreak/>
        <w:drawing>
          <wp:inline distT="0" distB="0" distL="0" distR="0">
            <wp:extent cx="4276725" cy="1895475"/>
            <wp:effectExtent l="19050" t="0" r="9525" b="0"/>
            <wp:docPr id="20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551D0" w:rsidRPr="003112DC" w:rsidRDefault="007551D0" w:rsidP="007551D0">
      <w:pPr>
        <w:spacing w:before="120" w:after="120" w:line="240" w:lineRule="auto"/>
        <w:rPr>
          <w:rFonts w:ascii="Arial" w:hAnsi="Arial" w:cs="Arial"/>
          <w:sz w:val="24"/>
          <w:szCs w:val="24"/>
        </w:rPr>
      </w:pPr>
      <w:r w:rsidRPr="003112DC">
        <w:rPr>
          <w:rFonts w:ascii="Arial" w:hAnsi="Arial" w:cs="Arial"/>
          <w:sz w:val="24"/>
          <w:szCs w:val="24"/>
        </w:rPr>
        <w:t xml:space="preserve">                                                               Figura II.2.2.1.1</w:t>
      </w:r>
    </w:p>
    <w:p w:rsidR="007551D0" w:rsidRPr="002E19F4" w:rsidRDefault="007551D0" w:rsidP="007551D0">
      <w:pPr>
        <w:spacing w:before="120" w:after="120" w:line="240" w:lineRule="auto"/>
        <w:jc w:val="both"/>
        <w:rPr>
          <w:rFonts w:ascii="Arial" w:hAnsi="Arial" w:cs="Arial"/>
          <w:i/>
          <w:sz w:val="24"/>
          <w:szCs w:val="24"/>
        </w:rPr>
      </w:pPr>
      <w:r>
        <w:rPr>
          <w:rFonts w:ascii="Arial" w:hAnsi="Arial" w:cs="Arial"/>
          <w:i/>
          <w:sz w:val="24"/>
          <w:szCs w:val="24"/>
        </w:rPr>
        <w:t>(</w:t>
      </w:r>
      <w:r w:rsidRPr="002E19F4">
        <w:rPr>
          <w:rFonts w:ascii="Arial" w:hAnsi="Arial" w:cs="Arial"/>
          <w:i/>
          <w:sz w:val="24"/>
          <w:szCs w:val="24"/>
        </w:rPr>
        <w:t xml:space="preserve">Sursa datelor: Administrația Națională </w:t>
      </w:r>
      <w:r>
        <w:rPr>
          <w:rFonts w:ascii="Arial" w:hAnsi="Arial" w:cs="Arial"/>
          <w:i/>
          <w:sz w:val="24"/>
          <w:szCs w:val="24"/>
        </w:rPr>
        <w:t>„</w:t>
      </w:r>
      <w:r w:rsidRPr="002E19F4">
        <w:rPr>
          <w:rFonts w:ascii="Arial" w:hAnsi="Arial" w:cs="Arial"/>
          <w:i/>
          <w:sz w:val="24"/>
          <w:szCs w:val="24"/>
        </w:rPr>
        <w:t>Apele Române</w:t>
      </w:r>
      <w:r>
        <w:rPr>
          <w:rFonts w:ascii="Arial" w:hAnsi="Arial" w:cs="Arial"/>
          <w:i/>
          <w:sz w:val="24"/>
          <w:szCs w:val="24"/>
        </w:rPr>
        <w:t>”</w:t>
      </w:r>
      <w:r w:rsidRPr="002E19F4">
        <w:rPr>
          <w:rFonts w:ascii="Arial" w:hAnsi="Arial" w:cs="Arial"/>
          <w:i/>
          <w:sz w:val="24"/>
          <w:szCs w:val="24"/>
        </w:rPr>
        <w:t xml:space="preserve">,  </w:t>
      </w:r>
      <w:r w:rsidRPr="00405CE5">
        <w:rPr>
          <w:rFonts w:ascii="Arial" w:hAnsi="Arial" w:cs="Arial"/>
          <w:i/>
          <w:sz w:val="24"/>
          <w:szCs w:val="24"/>
        </w:rPr>
        <w:t>Plan</w:t>
      </w:r>
      <w:r>
        <w:rPr>
          <w:rFonts w:ascii="Arial" w:hAnsi="Arial" w:cs="Arial"/>
          <w:i/>
          <w:sz w:val="24"/>
          <w:szCs w:val="24"/>
        </w:rPr>
        <w:t>ul</w:t>
      </w:r>
      <w:r w:rsidRPr="00405CE5">
        <w:rPr>
          <w:rFonts w:ascii="Arial" w:hAnsi="Arial" w:cs="Arial"/>
          <w:i/>
          <w:sz w:val="24"/>
          <w:szCs w:val="24"/>
        </w:rPr>
        <w:t xml:space="preserve"> Național de Management </w:t>
      </w:r>
      <w:r w:rsidRPr="0013224A">
        <w:rPr>
          <w:rFonts w:ascii="Arial" w:hAnsi="Arial" w:cs="Arial"/>
          <w:i/>
          <w:sz w:val="24"/>
          <w:szCs w:val="24"/>
        </w:rPr>
        <w:t>aprobat prin HG nr. 859/2016 pentru aprobarea Planului naţional de management actualizat aferent porţiunii din bazinul hidrografic internaţional al fluviului Dunărea care este cuprinsă în teritoriul României</w:t>
      </w:r>
      <w:r w:rsidRPr="00E17FB2">
        <w:rPr>
          <w:rFonts w:ascii="Arial" w:hAnsi="Arial" w:cs="Arial"/>
          <w:i/>
        </w:rPr>
        <w:t>)</w:t>
      </w:r>
    </w:p>
    <w:p w:rsidR="007551D0" w:rsidRPr="002E19F4" w:rsidRDefault="007551D0" w:rsidP="003112DC">
      <w:pPr>
        <w:spacing w:after="0" w:line="240" w:lineRule="auto"/>
        <w:ind w:firstLine="567"/>
        <w:jc w:val="both"/>
        <w:rPr>
          <w:rFonts w:ascii="Arial" w:hAnsi="Arial" w:cs="Arial"/>
          <w:sz w:val="24"/>
          <w:szCs w:val="24"/>
        </w:rPr>
      </w:pPr>
      <w:r w:rsidRPr="002E19F4">
        <w:rPr>
          <w:rFonts w:ascii="Arial" w:hAnsi="Arial" w:cs="Arial"/>
          <w:sz w:val="24"/>
          <w:szCs w:val="24"/>
        </w:rPr>
        <w:t xml:space="preserve">Se constată că ponderea cea mai mare a presiunilor </w:t>
      </w:r>
      <w:r>
        <w:rPr>
          <w:rFonts w:ascii="Arial" w:hAnsi="Arial" w:cs="Arial"/>
          <w:sz w:val="24"/>
          <w:szCs w:val="24"/>
        </w:rPr>
        <w:t xml:space="preserve">punctiforme </w:t>
      </w:r>
      <w:r w:rsidRPr="002E19F4">
        <w:rPr>
          <w:rFonts w:ascii="Arial" w:hAnsi="Arial" w:cs="Arial"/>
          <w:sz w:val="24"/>
          <w:szCs w:val="24"/>
        </w:rPr>
        <w:t>este reprezentată de aglomerări umane</w:t>
      </w:r>
      <w:r>
        <w:rPr>
          <w:rFonts w:ascii="Arial" w:hAnsi="Arial" w:cs="Arial"/>
          <w:sz w:val="24"/>
          <w:szCs w:val="24"/>
        </w:rPr>
        <w:t>, cu cca. 45%, respectiv</w:t>
      </w:r>
      <w:r w:rsidRPr="002E19F4">
        <w:rPr>
          <w:rFonts w:ascii="Arial" w:hAnsi="Arial" w:cs="Arial"/>
          <w:sz w:val="24"/>
          <w:szCs w:val="24"/>
        </w:rPr>
        <w:t xml:space="preserve"> ape</w:t>
      </w:r>
      <w:r>
        <w:rPr>
          <w:rFonts w:ascii="Arial" w:hAnsi="Arial" w:cs="Arial"/>
          <w:sz w:val="24"/>
          <w:szCs w:val="24"/>
        </w:rPr>
        <w:t>le</w:t>
      </w:r>
      <w:r w:rsidRPr="002E19F4">
        <w:rPr>
          <w:rFonts w:ascii="Arial" w:hAnsi="Arial" w:cs="Arial"/>
          <w:sz w:val="24"/>
          <w:szCs w:val="24"/>
        </w:rPr>
        <w:t xml:space="preserve"> uzate evacuate de la sistemele de colectare și epurare a aglomerărilor</w:t>
      </w:r>
      <w:r>
        <w:rPr>
          <w:rFonts w:ascii="Arial" w:hAnsi="Arial" w:cs="Arial"/>
          <w:sz w:val="24"/>
          <w:szCs w:val="24"/>
        </w:rPr>
        <w:t xml:space="preserve"> urbane</w:t>
      </w:r>
      <w:r w:rsidRPr="002E19F4">
        <w:rPr>
          <w:rFonts w:ascii="Arial" w:hAnsi="Arial" w:cs="Arial"/>
          <w:sz w:val="24"/>
          <w:szCs w:val="24"/>
        </w:rPr>
        <w:t>.</w:t>
      </w:r>
    </w:p>
    <w:p w:rsidR="007551D0" w:rsidRPr="00497FAC" w:rsidRDefault="007551D0" w:rsidP="003112DC">
      <w:pPr>
        <w:spacing w:after="0" w:line="240" w:lineRule="auto"/>
        <w:ind w:firstLine="567"/>
        <w:jc w:val="both"/>
        <w:rPr>
          <w:rFonts w:ascii="Arial" w:hAnsi="Arial" w:cs="Arial"/>
          <w:sz w:val="24"/>
          <w:szCs w:val="24"/>
        </w:rPr>
      </w:pPr>
      <w:r w:rsidRPr="00497FAC">
        <w:rPr>
          <w:rFonts w:ascii="Arial" w:hAnsi="Arial" w:cs="Arial"/>
          <w:sz w:val="24"/>
          <w:szCs w:val="24"/>
        </w:rPr>
        <w:t xml:space="preserve">În ceea ce priveşte </w:t>
      </w:r>
      <w:r w:rsidRPr="00497FAC">
        <w:rPr>
          <w:rFonts w:ascii="Arial" w:hAnsi="Arial" w:cs="Arial"/>
          <w:b/>
          <w:i/>
          <w:sz w:val="24"/>
          <w:szCs w:val="24"/>
        </w:rPr>
        <w:t>sursele difuze de poluare semnificativă</w:t>
      </w:r>
      <w:r w:rsidRPr="00497FAC">
        <w:rPr>
          <w:rFonts w:ascii="Arial" w:hAnsi="Arial" w:cs="Arial"/>
          <w:sz w:val="24"/>
          <w:szCs w:val="24"/>
        </w:rPr>
        <w:t>, identificate cu referire la modul de utilizare al terenului, se pot menţiona:</w:t>
      </w:r>
    </w:p>
    <w:p w:rsidR="007551D0" w:rsidRPr="00497FAC" w:rsidRDefault="007551D0" w:rsidP="00252ED3">
      <w:pPr>
        <w:pStyle w:val="ListParagraph"/>
        <w:numPr>
          <w:ilvl w:val="0"/>
          <w:numId w:val="75"/>
        </w:numPr>
        <w:ind w:left="284" w:hanging="284"/>
        <w:jc w:val="both"/>
        <w:rPr>
          <w:rFonts w:ascii="Arial" w:hAnsi="Arial" w:cs="Arial"/>
        </w:rPr>
      </w:pPr>
      <w:r w:rsidRPr="00497FAC">
        <w:rPr>
          <w:rFonts w:ascii="Arial" w:hAnsi="Arial" w:cs="Arial"/>
        </w:rPr>
        <w:t>aglomerările umane/localităţile care nu au sisteme de colectare a apelor uzate sau sisteme corespunzătoare de colectare şi eliminare a nămolului din staţiile de epurare, precum şi localităţile care au depozite de deşeuri menajere neconforme;</w:t>
      </w:r>
    </w:p>
    <w:p w:rsidR="007551D0" w:rsidRPr="00497FAC" w:rsidRDefault="007551D0" w:rsidP="00252ED3">
      <w:pPr>
        <w:pStyle w:val="ListParagraph"/>
        <w:numPr>
          <w:ilvl w:val="0"/>
          <w:numId w:val="75"/>
        </w:numPr>
        <w:ind w:left="284" w:hanging="284"/>
        <w:jc w:val="both"/>
        <w:rPr>
          <w:rFonts w:ascii="Arial" w:hAnsi="Arial" w:cs="Arial"/>
        </w:rPr>
      </w:pPr>
      <w:r w:rsidRPr="00497FAC">
        <w:rPr>
          <w:rFonts w:ascii="Arial" w:hAnsi="Arial" w:cs="Arial"/>
        </w:rPr>
        <w:t>fermele agro</w:t>
      </w:r>
      <w:r>
        <w:rPr>
          <w:rFonts w:ascii="Arial" w:hAnsi="Arial" w:cs="Arial"/>
        </w:rPr>
        <w:t>-</w:t>
      </w:r>
      <w:r w:rsidRPr="00497FAC">
        <w:rPr>
          <w:rFonts w:ascii="Arial" w:hAnsi="Arial" w:cs="Arial"/>
        </w:rPr>
        <w:t>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rsidR="007551D0" w:rsidRDefault="007551D0" w:rsidP="00252ED3">
      <w:pPr>
        <w:pStyle w:val="ListParagraph"/>
        <w:numPr>
          <w:ilvl w:val="0"/>
          <w:numId w:val="75"/>
        </w:numPr>
        <w:ind w:left="284" w:hanging="284"/>
        <w:jc w:val="both"/>
        <w:rPr>
          <w:rFonts w:ascii="Arial" w:hAnsi="Arial" w:cs="Arial"/>
        </w:rPr>
      </w:pPr>
      <w:r w:rsidRPr="00497FAC">
        <w:rPr>
          <w:rFonts w:ascii="Arial" w:hAnsi="Arial" w:cs="Arial"/>
        </w:rPr>
        <w:t>depozitele de materii prime, produse finite, produse auxiliare, stocare de deşeuri neconforme, unităţi ce produc poluări accidentale difuze, situri industriale abandonate.</w:t>
      </w:r>
    </w:p>
    <w:p w:rsidR="007551D0" w:rsidRPr="00DD2B00" w:rsidRDefault="007551D0" w:rsidP="003112DC">
      <w:pPr>
        <w:spacing w:after="0" w:line="240" w:lineRule="auto"/>
        <w:ind w:firstLine="567"/>
        <w:jc w:val="both"/>
        <w:rPr>
          <w:rFonts w:ascii="Arial" w:hAnsi="Arial" w:cs="Arial"/>
          <w:sz w:val="24"/>
          <w:szCs w:val="24"/>
        </w:rPr>
      </w:pPr>
      <w:r w:rsidRPr="00DD2B00">
        <w:rPr>
          <w:rFonts w:ascii="Arial" w:hAnsi="Arial" w:cs="Arial"/>
          <w:sz w:val="24"/>
          <w:szCs w:val="24"/>
        </w:rPr>
        <w:t>Presiunile difuze provenite din activităţile agricole sunt dificil de cuantificat. Totuşi, cantităţile de poluanţi emise de sursele difuze de poluare pot fi estimate prin aplicarea unor modele matematice</w:t>
      </w:r>
      <w:r w:rsidR="003112DC">
        <w:rPr>
          <w:rFonts w:ascii="Arial" w:hAnsi="Arial" w:cs="Arial"/>
          <w:sz w:val="24"/>
          <w:szCs w:val="24"/>
        </w:rPr>
        <w:t>,</w:t>
      </w:r>
      <w:r w:rsidRPr="00DD2B00">
        <w:rPr>
          <w:rFonts w:ascii="Arial" w:hAnsi="Arial" w:cs="Arial"/>
          <w:sz w:val="24"/>
          <w:szCs w:val="24"/>
        </w:rPr>
        <w:t>luând în consideraţie şase căi de producere a poluării difuze: scurgerea pe suprafaţă, scurgerea din reţele de drenaje, scurgerea subterană, scurgerea din zone impermeabile orăşeneşti, depuneri din atmosferă şi eroziunea solului.</w:t>
      </w:r>
    </w:p>
    <w:p w:rsidR="005E7A5C" w:rsidRDefault="005E7A5C" w:rsidP="005E7A5C">
      <w:pPr>
        <w:spacing w:after="0" w:line="240" w:lineRule="auto"/>
        <w:ind w:firstLine="567"/>
        <w:jc w:val="both"/>
        <w:rPr>
          <w:rFonts w:ascii="Arial" w:hAnsi="Arial" w:cs="Arial"/>
          <w:sz w:val="24"/>
          <w:szCs w:val="24"/>
        </w:rPr>
      </w:pPr>
    </w:p>
    <w:p w:rsidR="007551D0" w:rsidRDefault="007551D0" w:rsidP="005E7A5C">
      <w:pPr>
        <w:spacing w:after="0" w:line="240" w:lineRule="auto"/>
        <w:ind w:firstLine="567"/>
        <w:jc w:val="both"/>
        <w:rPr>
          <w:rFonts w:ascii="Arial" w:hAnsi="Arial" w:cs="Arial"/>
          <w:sz w:val="24"/>
          <w:szCs w:val="24"/>
        </w:rPr>
      </w:pPr>
      <w:r>
        <w:rPr>
          <w:rFonts w:ascii="Arial" w:hAnsi="Arial" w:cs="Arial"/>
          <w:sz w:val="24"/>
          <w:szCs w:val="24"/>
        </w:rPr>
        <w:t xml:space="preserve">În ceea ce privește </w:t>
      </w:r>
      <w:r w:rsidRPr="00560422">
        <w:rPr>
          <w:rFonts w:ascii="Arial" w:hAnsi="Arial" w:cs="Arial"/>
          <w:sz w:val="24"/>
          <w:szCs w:val="24"/>
        </w:rPr>
        <w:t xml:space="preserve">tipul şi mărimea presiunilor antropice </w:t>
      </w:r>
      <w:r w:rsidRPr="00C81179">
        <w:rPr>
          <w:rFonts w:ascii="Arial" w:hAnsi="Arial" w:cs="Arial"/>
          <w:sz w:val="24"/>
          <w:szCs w:val="24"/>
        </w:rPr>
        <w:t xml:space="preserve">care pot afecta </w:t>
      </w:r>
      <w:r w:rsidRPr="00C81179">
        <w:rPr>
          <w:rFonts w:ascii="Arial" w:hAnsi="Arial" w:cs="Arial"/>
          <w:b/>
          <w:sz w:val="24"/>
          <w:szCs w:val="24"/>
        </w:rPr>
        <w:t>corpurile de apă subterană</w:t>
      </w:r>
      <w:r w:rsidRPr="00560422">
        <w:rPr>
          <w:rFonts w:ascii="Arial" w:hAnsi="Arial" w:cs="Arial"/>
          <w:sz w:val="24"/>
          <w:szCs w:val="24"/>
        </w:rPr>
        <w:t xml:space="preserve"> (</w:t>
      </w:r>
      <w:r>
        <w:rPr>
          <w:rFonts w:ascii="Arial" w:hAnsi="Arial" w:cs="Arial"/>
          <w:sz w:val="24"/>
          <w:szCs w:val="24"/>
        </w:rPr>
        <w:t xml:space="preserve">conform </w:t>
      </w:r>
      <w:r w:rsidRPr="00560422">
        <w:rPr>
          <w:rFonts w:ascii="Arial" w:hAnsi="Arial" w:cs="Arial"/>
          <w:sz w:val="24"/>
          <w:szCs w:val="24"/>
        </w:rPr>
        <w:t>Directiv</w:t>
      </w:r>
      <w:r>
        <w:rPr>
          <w:rFonts w:ascii="Arial" w:hAnsi="Arial" w:cs="Arial"/>
          <w:sz w:val="24"/>
          <w:szCs w:val="24"/>
        </w:rPr>
        <w:t>ei</w:t>
      </w:r>
      <w:r w:rsidRPr="00560422">
        <w:rPr>
          <w:rFonts w:ascii="Arial" w:hAnsi="Arial" w:cs="Arial"/>
          <w:sz w:val="24"/>
          <w:szCs w:val="24"/>
        </w:rPr>
        <w:t xml:space="preserve"> Cadru 2000/60/EC – anexa II – 2.1), </w:t>
      </w:r>
      <w:r>
        <w:rPr>
          <w:rFonts w:ascii="Arial" w:hAnsi="Arial" w:cs="Arial"/>
          <w:sz w:val="24"/>
          <w:szCs w:val="24"/>
        </w:rPr>
        <w:t>se au în vedere:</w:t>
      </w:r>
    </w:p>
    <w:p w:rsidR="007551D0" w:rsidRPr="00C81179" w:rsidRDefault="007551D0" w:rsidP="005E7A5C">
      <w:pPr>
        <w:numPr>
          <w:ilvl w:val="0"/>
          <w:numId w:val="80"/>
        </w:numPr>
        <w:spacing w:after="0" w:line="240" w:lineRule="auto"/>
        <w:ind w:left="284" w:hanging="284"/>
        <w:jc w:val="both"/>
        <w:rPr>
          <w:rFonts w:ascii="Arial" w:hAnsi="Arial" w:cs="Arial"/>
          <w:i/>
          <w:sz w:val="24"/>
          <w:szCs w:val="24"/>
        </w:rPr>
      </w:pPr>
      <w:r w:rsidRPr="00C81179">
        <w:rPr>
          <w:rFonts w:ascii="Arial" w:hAnsi="Arial" w:cs="Arial"/>
          <w:i/>
          <w:sz w:val="24"/>
          <w:szCs w:val="24"/>
        </w:rPr>
        <w:t>surse de poluare punctiforme și difuze:</w:t>
      </w:r>
    </w:p>
    <w:p w:rsidR="007551D0" w:rsidRPr="00E13D07" w:rsidRDefault="007551D0" w:rsidP="005E7A5C">
      <w:pPr>
        <w:numPr>
          <w:ilvl w:val="0"/>
          <w:numId w:val="81"/>
        </w:numPr>
        <w:spacing w:after="0" w:line="240" w:lineRule="auto"/>
        <w:jc w:val="both"/>
        <w:rPr>
          <w:rFonts w:ascii="Arial" w:hAnsi="Arial" w:cs="Arial"/>
          <w:sz w:val="24"/>
          <w:szCs w:val="24"/>
        </w:rPr>
      </w:pPr>
      <w:r w:rsidRPr="00E13D07">
        <w:rPr>
          <w:rFonts w:ascii="Arial" w:hAnsi="Arial" w:cs="Arial"/>
          <w:sz w:val="24"/>
          <w:szCs w:val="24"/>
        </w:rPr>
        <w:t>sursele de poluare datorate aglomerărilor umane fără sisteme de colectare şi epurare a apele uzate (menajere, industriale, agricole, etc.) sau fără sisteme corespunzătoare de colectare a deşeurilor;</w:t>
      </w:r>
    </w:p>
    <w:p w:rsidR="007551D0" w:rsidRPr="00E13D07" w:rsidRDefault="007551D0" w:rsidP="005E7A5C">
      <w:pPr>
        <w:numPr>
          <w:ilvl w:val="0"/>
          <w:numId w:val="81"/>
        </w:numPr>
        <w:spacing w:after="0" w:line="240" w:lineRule="auto"/>
        <w:jc w:val="both"/>
        <w:rPr>
          <w:rFonts w:ascii="Arial" w:hAnsi="Arial" w:cs="Arial"/>
          <w:sz w:val="24"/>
          <w:szCs w:val="24"/>
        </w:rPr>
      </w:pPr>
      <w:r w:rsidRPr="00E13D07">
        <w:rPr>
          <w:rFonts w:ascii="Arial" w:hAnsi="Arial" w:cs="Arial"/>
          <w:sz w:val="24"/>
          <w:szCs w:val="24"/>
        </w:rPr>
        <w:t>surse de poluare difuză determinate de activităţile agricole (ferme agrozootehnice care nu au sisteme corespunzătoare de stocare a gunoiului de grajd, etc) şi activităţile industriale prin depozitele de deşeuri neconforme (deşeuri industriale, menajere, din construcţii, etc);</w:t>
      </w:r>
    </w:p>
    <w:p w:rsidR="007551D0" w:rsidRDefault="007551D0" w:rsidP="005E7A5C">
      <w:pPr>
        <w:numPr>
          <w:ilvl w:val="0"/>
          <w:numId w:val="81"/>
        </w:numPr>
        <w:spacing w:after="0" w:line="240" w:lineRule="auto"/>
        <w:jc w:val="both"/>
        <w:rPr>
          <w:rFonts w:ascii="Arial" w:hAnsi="Arial" w:cs="Arial"/>
          <w:sz w:val="24"/>
          <w:szCs w:val="24"/>
        </w:rPr>
      </w:pPr>
      <w:r w:rsidRPr="00C81179">
        <w:rPr>
          <w:rFonts w:ascii="Arial" w:hAnsi="Arial" w:cs="Arial"/>
          <w:sz w:val="24"/>
          <w:szCs w:val="24"/>
        </w:rPr>
        <w:t>alte activităţi antropice potenţial poluatoare</w:t>
      </w:r>
      <w:r>
        <w:rPr>
          <w:rFonts w:ascii="Arial" w:hAnsi="Arial" w:cs="Arial"/>
          <w:sz w:val="24"/>
          <w:szCs w:val="24"/>
        </w:rPr>
        <w:t>.</w:t>
      </w:r>
    </w:p>
    <w:p w:rsidR="007551D0" w:rsidRPr="00C81179" w:rsidRDefault="007551D0" w:rsidP="005E7A5C">
      <w:pPr>
        <w:spacing w:after="0" w:line="240" w:lineRule="auto"/>
        <w:ind w:left="360"/>
        <w:jc w:val="both"/>
        <w:rPr>
          <w:rFonts w:ascii="Arial" w:hAnsi="Arial" w:cs="Arial"/>
          <w:sz w:val="24"/>
          <w:szCs w:val="24"/>
        </w:rPr>
      </w:pPr>
      <w:r w:rsidRPr="00C81179">
        <w:rPr>
          <w:rFonts w:ascii="Arial" w:hAnsi="Arial" w:cs="Arial"/>
          <w:sz w:val="24"/>
          <w:szCs w:val="24"/>
        </w:rPr>
        <w:t>Din punct de vedere al impactului asupra stării cantitative a corpurilor de apă subterane, presiunile cantitative sunt considerate captările de apă semnificative, care pot depăşi rata naturală de reînc</w:t>
      </w:r>
      <w:r>
        <w:rPr>
          <w:rFonts w:ascii="Arial" w:hAnsi="Arial" w:cs="Arial"/>
          <w:sz w:val="24"/>
          <w:szCs w:val="24"/>
        </w:rPr>
        <w:t>ă</w:t>
      </w:r>
      <w:r w:rsidRPr="00C81179">
        <w:rPr>
          <w:rFonts w:ascii="Arial" w:hAnsi="Arial" w:cs="Arial"/>
          <w:sz w:val="24"/>
          <w:szCs w:val="24"/>
        </w:rPr>
        <w:t xml:space="preserve">rcare a acviferului. </w:t>
      </w:r>
    </w:p>
    <w:p w:rsidR="007551D0" w:rsidRPr="00C81179" w:rsidRDefault="007551D0" w:rsidP="005E7A5C">
      <w:pPr>
        <w:numPr>
          <w:ilvl w:val="0"/>
          <w:numId w:val="80"/>
        </w:numPr>
        <w:spacing w:after="0" w:line="240" w:lineRule="auto"/>
        <w:ind w:left="284" w:hanging="284"/>
        <w:jc w:val="both"/>
        <w:rPr>
          <w:rFonts w:ascii="Arial" w:hAnsi="Arial" w:cs="Arial"/>
          <w:i/>
          <w:sz w:val="24"/>
          <w:szCs w:val="24"/>
        </w:rPr>
      </w:pPr>
      <w:r w:rsidRPr="00C81179">
        <w:rPr>
          <w:rFonts w:ascii="Arial" w:hAnsi="Arial" w:cs="Arial"/>
          <w:i/>
          <w:sz w:val="24"/>
          <w:szCs w:val="24"/>
        </w:rPr>
        <w:t>prelevări de apă şi reîncărcarea corpurilor de apă subterană</w:t>
      </w:r>
      <w:r>
        <w:rPr>
          <w:rFonts w:ascii="Arial" w:hAnsi="Arial" w:cs="Arial"/>
          <w:i/>
          <w:sz w:val="24"/>
          <w:szCs w:val="24"/>
        </w:rPr>
        <w:t>:</w:t>
      </w:r>
    </w:p>
    <w:p w:rsidR="007551D0" w:rsidRDefault="007551D0" w:rsidP="005E7A5C">
      <w:pPr>
        <w:spacing w:after="0" w:line="240" w:lineRule="auto"/>
        <w:ind w:firstLine="567"/>
        <w:jc w:val="both"/>
        <w:rPr>
          <w:rFonts w:ascii="Arial" w:hAnsi="Arial" w:cs="Arial"/>
          <w:sz w:val="24"/>
          <w:szCs w:val="24"/>
        </w:rPr>
      </w:pPr>
      <w:r w:rsidRPr="00C81179">
        <w:rPr>
          <w:rFonts w:ascii="Arial" w:hAnsi="Arial" w:cs="Arial"/>
          <w:sz w:val="24"/>
          <w:szCs w:val="24"/>
        </w:rPr>
        <w:lastRenderedPageBreak/>
        <w:t>În ceea ce priveşte balanţa prelevări/reîncarcare, care conduce la evaluarea corpului de apă subterană din punct de vedere cantitativ, nu se semnalează probleme deosebite, prelevările fiind inferioare ratei naturale de realimentare.</w:t>
      </w:r>
    </w:p>
    <w:p w:rsidR="007551D0" w:rsidRPr="00E92120" w:rsidRDefault="007551D0" w:rsidP="005E7A5C">
      <w:pPr>
        <w:spacing w:after="0" w:line="240" w:lineRule="auto"/>
        <w:jc w:val="both"/>
        <w:rPr>
          <w:rFonts w:ascii="Arial" w:hAnsi="Arial" w:cs="Arial"/>
          <w:b/>
          <w:bCs/>
          <w:sz w:val="24"/>
          <w:szCs w:val="24"/>
        </w:rPr>
      </w:pPr>
      <w:r w:rsidRPr="00E92120">
        <w:rPr>
          <w:rFonts w:ascii="Arial" w:hAnsi="Arial" w:cs="Arial"/>
          <w:b/>
          <w:bCs/>
          <w:sz w:val="24"/>
          <w:szCs w:val="24"/>
        </w:rPr>
        <w:t xml:space="preserve">     </w:t>
      </w:r>
    </w:p>
    <w:p w:rsidR="007551D0" w:rsidRDefault="007551D0" w:rsidP="007551D0">
      <w:pPr>
        <w:rPr>
          <w:rFonts w:ascii="Arial" w:hAnsi="Arial" w:cs="Arial"/>
          <w:sz w:val="24"/>
          <w:szCs w:val="24"/>
        </w:rPr>
      </w:pPr>
      <w:r w:rsidRPr="00E92120">
        <w:rPr>
          <w:rFonts w:ascii="Arial" w:hAnsi="Arial" w:cs="Arial"/>
          <w:b/>
          <w:bCs/>
          <w:sz w:val="24"/>
          <w:szCs w:val="24"/>
        </w:rPr>
        <w:t xml:space="preserve">   II.2.2.2. </w:t>
      </w:r>
      <w:r w:rsidRPr="00E92120">
        <w:rPr>
          <w:rFonts w:ascii="Arial" w:hAnsi="Arial" w:cs="Arial"/>
          <w:b/>
          <w:sz w:val="24"/>
          <w:szCs w:val="24"/>
        </w:rPr>
        <w:t>Apele uzate şi reţelele de canalizare</w:t>
      </w:r>
      <w:r w:rsidRPr="00E92120">
        <w:rPr>
          <w:rFonts w:ascii="Arial" w:hAnsi="Arial" w:cs="Arial"/>
          <w:sz w:val="24"/>
          <w:szCs w:val="24"/>
        </w:rPr>
        <w:t xml:space="preserve"> </w:t>
      </w:r>
    </w:p>
    <w:p w:rsidR="007551D0" w:rsidRPr="00E92120" w:rsidRDefault="007551D0" w:rsidP="009209C1">
      <w:pPr>
        <w:spacing w:line="240" w:lineRule="auto"/>
        <w:jc w:val="both"/>
        <w:rPr>
          <w:rFonts w:ascii="Arial" w:hAnsi="Arial" w:cs="Arial"/>
          <w:sz w:val="24"/>
          <w:szCs w:val="24"/>
        </w:rPr>
      </w:pPr>
      <w:r w:rsidRPr="00E92120">
        <w:rPr>
          <w:rFonts w:ascii="Arial" w:hAnsi="Arial" w:cs="Arial"/>
          <w:sz w:val="24"/>
          <w:szCs w:val="24"/>
        </w:rPr>
        <w:t xml:space="preserve"> Racordarea aglomerărilor umane la  la sistemele de colectare şi epurare a apelor uzate în județul </w:t>
      </w:r>
      <w:r w:rsidR="00217620">
        <w:rPr>
          <w:rFonts w:ascii="Arial" w:hAnsi="Arial" w:cs="Arial"/>
          <w:sz w:val="24"/>
          <w:szCs w:val="24"/>
        </w:rPr>
        <w:t>Brăila</w:t>
      </w:r>
      <w:r w:rsidRPr="00E92120">
        <w:rPr>
          <w:rFonts w:ascii="Arial" w:hAnsi="Arial" w:cs="Arial"/>
          <w:sz w:val="24"/>
          <w:szCs w:val="24"/>
        </w:rPr>
        <w:t xml:space="preserve"> pentru anul 201</w:t>
      </w:r>
      <w:r>
        <w:rPr>
          <w:rFonts w:ascii="Arial" w:hAnsi="Arial" w:cs="Arial"/>
          <w:sz w:val="24"/>
          <w:szCs w:val="24"/>
        </w:rPr>
        <w:t>6</w:t>
      </w:r>
      <w:r w:rsidR="009209C1">
        <w:rPr>
          <w:rFonts w:ascii="Arial" w:hAnsi="Arial" w:cs="Arial"/>
          <w:sz w:val="24"/>
          <w:szCs w:val="24"/>
        </w:rPr>
        <w:t xml:space="preserve">  </w:t>
      </w:r>
      <w:r w:rsidRPr="00E92120">
        <w:rPr>
          <w:rFonts w:ascii="Arial" w:hAnsi="Arial" w:cs="Arial"/>
          <w:sz w:val="24"/>
          <w:szCs w:val="24"/>
        </w:rPr>
        <w:t>(referitor la facilități/proiecte finalizate)</w:t>
      </w:r>
      <w:r w:rsidR="009209C1">
        <w:rPr>
          <w:rFonts w:ascii="Arial" w:hAnsi="Arial" w:cs="Arial"/>
          <w:sz w:val="24"/>
          <w:szCs w:val="24"/>
        </w:rPr>
        <w:t>.</w:t>
      </w:r>
      <w:r w:rsidRPr="00E92120">
        <w:rPr>
          <w:rFonts w:ascii="Arial" w:hAnsi="Arial" w:cs="Arial"/>
          <w:sz w:val="24"/>
          <w:szCs w:val="24"/>
        </w:rPr>
        <w:t xml:space="preserve"> </w:t>
      </w:r>
    </w:p>
    <w:p w:rsidR="007551D0" w:rsidRPr="003208A3" w:rsidRDefault="007551D0" w:rsidP="0093284E">
      <w:pPr>
        <w:spacing w:after="0" w:line="240" w:lineRule="auto"/>
        <w:rPr>
          <w:rFonts w:ascii="Arial" w:hAnsi="Arial" w:cs="Arial"/>
          <w:color w:val="00B0F0"/>
          <w:sz w:val="24"/>
          <w:szCs w:val="24"/>
        </w:rPr>
      </w:pPr>
      <w:r w:rsidRPr="009209C1">
        <w:rPr>
          <w:rFonts w:ascii="Arial" w:hAnsi="Arial" w:cs="Arial"/>
          <w:sz w:val="24"/>
          <w:szCs w:val="24"/>
        </w:rPr>
        <w:t>Tabel 2.2.2 - 1</w:t>
      </w:r>
      <w:r w:rsidRPr="00E92120">
        <w:rPr>
          <w:rFonts w:ascii="Arial" w:hAnsi="Arial" w:cs="Arial"/>
          <w:sz w:val="24"/>
          <w:szCs w:val="24"/>
        </w:rPr>
        <w:t xml:space="preserve"> - Racordarea aglomerărilor umane la sistemele de colectare şi epurare a apelor uzate în județul </w:t>
      </w:r>
      <w:r w:rsidR="00217620">
        <w:rPr>
          <w:rFonts w:ascii="Arial" w:hAnsi="Arial" w:cs="Arial"/>
          <w:sz w:val="24"/>
          <w:szCs w:val="24"/>
        </w:rPr>
        <w:t>Brăila</w:t>
      </w:r>
      <w:r w:rsidRPr="00E92120">
        <w:rPr>
          <w:rFonts w:ascii="Arial" w:hAnsi="Arial" w:cs="Arial"/>
          <w:sz w:val="24"/>
          <w:szCs w:val="24"/>
        </w:rPr>
        <w:t xml:space="preserve"> pentru anul </w:t>
      </w:r>
      <w:r w:rsidRPr="000E0B8A">
        <w:rPr>
          <w:rFonts w:ascii="Arial" w:hAnsi="Arial" w:cs="Arial"/>
          <w:sz w:val="24"/>
          <w:szCs w:val="24"/>
        </w:rPr>
        <w:t>2016</w:t>
      </w:r>
      <w:r w:rsidRPr="00E92120">
        <w:rPr>
          <w:rFonts w:ascii="Arial" w:hAnsi="Arial" w:cs="Arial"/>
          <w:sz w:val="24"/>
          <w:szCs w:val="24"/>
        </w:rPr>
        <w:t>(referitor la facilități/proiecte finalizate</w:t>
      </w:r>
      <w:r>
        <w:rPr>
          <w:rFonts w:ascii="Arial" w:hAnsi="Arial" w:cs="Arial"/>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2"/>
        <w:gridCol w:w="1559"/>
        <w:gridCol w:w="1778"/>
        <w:gridCol w:w="3177"/>
      </w:tblGrid>
      <w:tr w:rsidR="007551D0" w:rsidRPr="00E92120" w:rsidTr="00DB2B5E">
        <w:trPr>
          <w:jc w:val="center"/>
        </w:trPr>
        <w:tc>
          <w:tcPr>
            <w:tcW w:w="2502" w:type="dxa"/>
            <w:shd w:val="clear" w:color="auto" w:fill="CCC0D9" w:themeFill="accent4" w:themeFillTint="66"/>
          </w:tcPr>
          <w:p w:rsidR="007551D0" w:rsidRPr="00E92120" w:rsidRDefault="007551D0" w:rsidP="0093284E">
            <w:pPr>
              <w:tabs>
                <w:tab w:val="center" w:pos="4680"/>
                <w:tab w:val="right" w:pos="9360"/>
              </w:tabs>
              <w:spacing w:after="0" w:line="240" w:lineRule="auto"/>
              <w:rPr>
                <w:rFonts w:ascii="Arial" w:hAnsi="Arial" w:cs="Arial"/>
                <w:sz w:val="24"/>
                <w:szCs w:val="24"/>
              </w:rPr>
            </w:pPr>
            <w:r w:rsidRPr="00E92120">
              <w:rPr>
                <w:rFonts w:ascii="Arial" w:hAnsi="Arial" w:cs="Arial"/>
                <w:sz w:val="24"/>
                <w:szCs w:val="24"/>
              </w:rPr>
              <w:t>Tip  de aglomerare/locuitori echivalenți (l.e.)</w:t>
            </w:r>
          </w:p>
        </w:tc>
        <w:tc>
          <w:tcPr>
            <w:tcW w:w="1559" w:type="dxa"/>
            <w:shd w:val="clear" w:color="auto" w:fill="CCC0D9" w:themeFill="accent4" w:themeFillTint="66"/>
          </w:tcPr>
          <w:p w:rsidR="007551D0" w:rsidRPr="00E92120" w:rsidRDefault="007551D0" w:rsidP="00DB2B5E">
            <w:pPr>
              <w:tabs>
                <w:tab w:val="center" w:pos="4680"/>
                <w:tab w:val="right" w:pos="9360"/>
              </w:tabs>
              <w:spacing w:after="0" w:line="240" w:lineRule="auto"/>
              <w:rPr>
                <w:rFonts w:ascii="Arial" w:hAnsi="Arial" w:cs="Arial"/>
                <w:sz w:val="24"/>
                <w:szCs w:val="24"/>
              </w:rPr>
            </w:pPr>
            <w:r w:rsidRPr="00E92120">
              <w:rPr>
                <w:rFonts w:ascii="Arial" w:hAnsi="Arial" w:cs="Arial"/>
                <w:sz w:val="24"/>
                <w:szCs w:val="24"/>
              </w:rPr>
              <w:t>Număr localități</w:t>
            </w:r>
          </w:p>
        </w:tc>
        <w:tc>
          <w:tcPr>
            <w:tcW w:w="1778" w:type="dxa"/>
            <w:shd w:val="clear" w:color="auto" w:fill="CCC0D9" w:themeFill="accent4" w:themeFillTint="66"/>
          </w:tcPr>
          <w:p w:rsidR="007551D0" w:rsidRPr="00E92120" w:rsidRDefault="007551D0" w:rsidP="00DB2B5E">
            <w:pPr>
              <w:tabs>
                <w:tab w:val="center" w:pos="4680"/>
                <w:tab w:val="right" w:pos="9360"/>
              </w:tabs>
              <w:spacing w:after="0" w:line="240" w:lineRule="auto"/>
              <w:rPr>
                <w:rFonts w:ascii="Arial" w:hAnsi="Arial" w:cs="Arial"/>
                <w:sz w:val="24"/>
                <w:szCs w:val="24"/>
              </w:rPr>
            </w:pPr>
            <w:r w:rsidRPr="00E92120">
              <w:rPr>
                <w:rFonts w:ascii="Arial" w:hAnsi="Arial" w:cs="Arial"/>
                <w:sz w:val="24"/>
                <w:szCs w:val="24"/>
              </w:rPr>
              <w:t>Număr locuitori echivalenți</w:t>
            </w:r>
          </w:p>
        </w:tc>
        <w:tc>
          <w:tcPr>
            <w:tcW w:w="3177" w:type="dxa"/>
            <w:shd w:val="clear" w:color="auto" w:fill="CCC0D9" w:themeFill="accent4" w:themeFillTint="66"/>
          </w:tcPr>
          <w:p w:rsidR="007551D0" w:rsidRPr="000E0B8A" w:rsidRDefault="007551D0" w:rsidP="00DB2B5E">
            <w:pPr>
              <w:tabs>
                <w:tab w:val="center" w:pos="4680"/>
                <w:tab w:val="right" w:pos="9360"/>
              </w:tabs>
              <w:suppressAutoHyphens/>
              <w:spacing w:after="0" w:line="240" w:lineRule="auto"/>
              <w:rPr>
                <w:rFonts w:ascii="Times New Roman" w:eastAsia="Calibri" w:hAnsi="Times New Roman" w:cs="Times New Roman"/>
                <w:sz w:val="28"/>
                <w:szCs w:val="28"/>
                <w:lang w:eastAsia="ar-SA"/>
              </w:rPr>
            </w:pPr>
            <w:r w:rsidRPr="000E0B8A">
              <w:rPr>
                <w:rFonts w:ascii="Times New Roman" w:eastAsia="Calibri" w:hAnsi="Times New Roman" w:cs="Times New Roman"/>
                <w:sz w:val="28"/>
                <w:szCs w:val="28"/>
                <w:lang w:eastAsia="ar-SA"/>
              </w:rPr>
              <w:t>Numele localităților</w:t>
            </w:r>
          </w:p>
          <w:p w:rsidR="007551D0" w:rsidRPr="00E92120" w:rsidRDefault="007551D0" w:rsidP="00DB2B5E">
            <w:pPr>
              <w:tabs>
                <w:tab w:val="center" w:pos="4680"/>
                <w:tab w:val="right" w:pos="9360"/>
              </w:tabs>
              <w:spacing w:after="0" w:line="240" w:lineRule="auto"/>
              <w:rPr>
                <w:rFonts w:ascii="Arial" w:hAnsi="Arial" w:cs="Arial"/>
                <w:sz w:val="24"/>
                <w:szCs w:val="24"/>
              </w:rPr>
            </w:pPr>
            <w:r w:rsidRPr="000E0B8A">
              <w:rPr>
                <w:rFonts w:ascii="Times New Roman" w:eastAsia="Calibri" w:hAnsi="Times New Roman" w:cs="Times New Roman"/>
                <w:sz w:val="28"/>
                <w:szCs w:val="28"/>
                <w:lang w:eastAsia="ar-SA"/>
              </w:rPr>
              <w:t>racordate</w:t>
            </w:r>
          </w:p>
        </w:tc>
      </w:tr>
      <w:tr w:rsidR="007551D0" w:rsidRPr="00E92120" w:rsidTr="00DB2B5E">
        <w:trPr>
          <w:jc w:val="center"/>
        </w:trPr>
        <w:tc>
          <w:tcPr>
            <w:tcW w:w="2502" w:type="dxa"/>
            <w:shd w:val="clear" w:color="auto" w:fill="E5DFEC" w:themeFill="accent4" w:themeFillTint="33"/>
          </w:tcPr>
          <w:p w:rsidR="007551D0" w:rsidRPr="00E92120" w:rsidRDefault="007551D0" w:rsidP="00DB2B5E">
            <w:pPr>
              <w:tabs>
                <w:tab w:val="center" w:pos="4680"/>
                <w:tab w:val="right" w:pos="9360"/>
              </w:tabs>
              <w:spacing w:after="0" w:line="240" w:lineRule="auto"/>
              <w:rPr>
                <w:rFonts w:ascii="Arial" w:hAnsi="Arial" w:cs="Arial"/>
                <w:sz w:val="24"/>
                <w:szCs w:val="24"/>
              </w:rPr>
            </w:pPr>
            <w:r w:rsidRPr="00E92120">
              <w:rPr>
                <w:rFonts w:ascii="Arial" w:hAnsi="Arial" w:cs="Arial"/>
                <w:sz w:val="24"/>
                <w:szCs w:val="24"/>
              </w:rPr>
              <w:t>&gt;150 000 l.e.</w:t>
            </w:r>
          </w:p>
        </w:tc>
        <w:tc>
          <w:tcPr>
            <w:tcW w:w="1559" w:type="dxa"/>
            <w:shd w:val="clear" w:color="auto" w:fill="E5DFEC" w:themeFill="accent4" w:themeFillTint="33"/>
          </w:tcPr>
          <w:p w:rsidR="007551D0" w:rsidRPr="00E92120" w:rsidRDefault="007551D0" w:rsidP="00DB2B5E">
            <w:pPr>
              <w:tabs>
                <w:tab w:val="center" w:pos="4680"/>
                <w:tab w:val="right" w:pos="9360"/>
              </w:tabs>
              <w:spacing w:after="0" w:line="240" w:lineRule="auto"/>
              <w:jc w:val="center"/>
              <w:rPr>
                <w:rFonts w:ascii="Arial" w:hAnsi="Arial" w:cs="Arial"/>
                <w:sz w:val="24"/>
                <w:szCs w:val="24"/>
              </w:rPr>
            </w:pPr>
            <w:r>
              <w:rPr>
                <w:rFonts w:ascii="Arial" w:hAnsi="Arial" w:cs="Arial"/>
                <w:sz w:val="24"/>
                <w:szCs w:val="24"/>
              </w:rPr>
              <w:t>-</w:t>
            </w:r>
          </w:p>
        </w:tc>
        <w:tc>
          <w:tcPr>
            <w:tcW w:w="1778" w:type="dxa"/>
            <w:shd w:val="clear" w:color="auto" w:fill="E5DFEC" w:themeFill="accent4" w:themeFillTint="33"/>
          </w:tcPr>
          <w:p w:rsidR="007551D0" w:rsidRPr="00E92120" w:rsidRDefault="007551D0" w:rsidP="00DB2B5E">
            <w:pPr>
              <w:tabs>
                <w:tab w:val="center" w:pos="4680"/>
                <w:tab w:val="right" w:pos="9360"/>
              </w:tabs>
              <w:spacing w:after="0" w:line="240" w:lineRule="auto"/>
              <w:jc w:val="center"/>
              <w:rPr>
                <w:rFonts w:ascii="Arial" w:hAnsi="Arial" w:cs="Arial"/>
                <w:sz w:val="24"/>
                <w:szCs w:val="24"/>
              </w:rPr>
            </w:pPr>
            <w:r>
              <w:rPr>
                <w:rFonts w:ascii="Arial" w:hAnsi="Arial" w:cs="Arial"/>
                <w:sz w:val="24"/>
                <w:szCs w:val="24"/>
              </w:rPr>
              <w:t>-</w:t>
            </w:r>
          </w:p>
        </w:tc>
        <w:tc>
          <w:tcPr>
            <w:tcW w:w="3177" w:type="dxa"/>
            <w:shd w:val="clear" w:color="auto" w:fill="E5DFEC" w:themeFill="accent4" w:themeFillTint="33"/>
          </w:tcPr>
          <w:p w:rsidR="007551D0" w:rsidRPr="00E92120" w:rsidRDefault="007551D0" w:rsidP="00DB2B5E">
            <w:pPr>
              <w:tabs>
                <w:tab w:val="center" w:pos="4680"/>
                <w:tab w:val="right" w:pos="9360"/>
              </w:tabs>
              <w:spacing w:after="0" w:line="240" w:lineRule="auto"/>
              <w:jc w:val="center"/>
              <w:rPr>
                <w:rFonts w:ascii="Arial" w:hAnsi="Arial" w:cs="Arial"/>
                <w:sz w:val="24"/>
                <w:szCs w:val="24"/>
              </w:rPr>
            </w:pPr>
            <w:r>
              <w:rPr>
                <w:rFonts w:ascii="Arial" w:hAnsi="Arial" w:cs="Arial"/>
                <w:sz w:val="24"/>
                <w:szCs w:val="24"/>
              </w:rPr>
              <w:t>-</w:t>
            </w:r>
          </w:p>
        </w:tc>
      </w:tr>
      <w:tr w:rsidR="007551D0" w:rsidRPr="00E92120" w:rsidTr="00DB2B5E">
        <w:trPr>
          <w:jc w:val="center"/>
        </w:trPr>
        <w:tc>
          <w:tcPr>
            <w:tcW w:w="2502" w:type="dxa"/>
            <w:shd w:val="clear" w:color="auto" w:fill="E5DFEC" w:themeFill="accent4" w:themeFillTint="33"/>
          </w:tcPr>
          <w:p w:rsidR="007551D0" w:rsidRDefault="007551D0" w:rsidP="00DB2B5E">
            <w:pPr>
              <w:tabs>
                <w:tab w:val="center" w:pos="4680"/>
                <w:tab w:val="right" w:pos="9360"/>
              </w:tabs>
              <w:spacing w:after="0" w:line="240" w:lineRule="auto"/>
              <w:rPr>
                <w:rFonts w:ascii="Arial" w:hAnsi="Arial" w:cs="Arial"/>
                <w:sz w:val="24"/>
                <w:szCs w:val="24"/>
              </w:rPr>
            </w:pPr>
            <w:r w:rsidRPr="00E92120">
              <w:rPr>
                <w:rFonts w:ascii="Arial" w:hAnsi="Arial" w:cs="Arial"/>
                <w:sz w:val="24"/>
                <w:szCs w:val="24"/>
              </w:rPr>
              <w:t>10 000-150 000 l.e</w:t>
            </w:r>
          </w:p>
          <w:p w:rsidR="007551D0" w:rsidRPr="000E0B8A" w:rsidRDefault="00217620" w:rsidP="00DB2B5E">
            <w:pPr>
              <w:tabs>
                <w:tab w:val="center" w:pos="4680"/>
                <w:tab w:val="right" w:pos="9360"/>
              </w:tabs>
              <w:spacing w:after="0" w:line="240" w:lineRule="auto"/>
              <w:rPr>
                <w:rFonts w:ascii="Arial" w:hAnsi="Arial" w:cs="Arial"/>
                <w:sz w:val="24"/>
                <w:szCs w:val="24"/>
              </w:rPr>
            </w:pPr>
            <w:r>
              <w:rPr>
                <w:rFonts w:ascii="Arial" w:hAnsi="Arial" w:cs="Arial"/>
                <w:sz w:val="24"/>
                <w:szCs w:val="24"/>
              </w:rPr>
              <w:t>Brăila</w:t>
            </w:r>
          </w:p>
          <w:p w:rsidR="007551D0" w:rsidRPr="000E0B8A" w:rsidRDefault="007551D0" w:rsidP="00DB2B5E">
            <w:pPr>
              <w:tabs>
                <w:tab w:val="center" w:pos="4680"/>
                <w:tab w:val="right" w:pos="9360"/>
              </w:tabs>
              <w:spacing w:after="0" w:line="240" w:lineRule="auto"/>
              <w:rPr>
                <w:rFonts w:ascii="Arial" w:hAnsi="Arial" w:cs="Arial"/>
                <w:sz w:val="24"/>
                <w:szCs w:val="24"/>
              </w:rPr>
            </w:pPr>
          </w:p>
          <w:p w:rsidR="007551D0" w:rsidRPr="000E0B8A" w:rsidRDefault="007551D0" w:rsidP="00DB2B5E">
            <w:pPr>
              <w:tabs>
                <w:tab w:val="center" w:pos="4680"/>
                <w:tab w:val="right" w:pos="9360"/>
              </w:tabs>
              <w:spacing w:after="0" w:line="240" w:lineRule="auto"/>
              <w:rPr>
                <w:rFonts w:ascii="Arial" w:hAnsi="Arial" w:cs="Arial"/>
                <w:sz w:val="24"/>
                <w:szCs w:val="24"/>
              </w:rPr>
            </w:pPr>
          </w:p>
          <w:p w:rsidR="007551D0" w:rsidRPr="000E0B8A" w:rsidRDefault="007551D0" w:rsidP="00DB2B5E">
            <w:pPr>
              <w:tabs>
                <w:tab w:val="center" w:pos="4680"/>
                <w:tab w:val="right" w:pos="9360"/>
              </w:tabs>
              <w:spacing w:after="0" w:line="240" w:lineRule="auto"/>
              <w:rPr>
                <w:rFonts w:ascii="Arial" w:hAnsi="Arial" w:cs="Arial"/>
                <w:sz w:val="24"/>
                <w:szCs w:val="24"/>
              </w:rPr>
            </w:pPr>
            <w:r w:rsidRPr="000E0B8A">
              <w:rPr>
                <w:rFonts w:ascii="Arial" w:hAnsi="Arial" w:cs="Arial"/>
                <w:sz w:val="24"/>
                <w:szCs w:val="24"/>
              </w:rPr>
              <w:t>Însurăței</w:t>
            </w:r>
          </w:p>
          <w:p w:rsidR="007551D0" w:rsidRPr="000E0B8A" w:rsidRDefault="007551D0" w:rsidP="00DB2B5E">
            <w:pPr>
              <w:tabs>
                <w:tab w:val="center" w:pos="4680"/>
                <w:tab w:val="right" w:pos="9360"/>
              </w:tabs>
              <w:spacing w:after="0" w:line="240" w:lineRule="auto"/>
              <w:rPr>
                <w:rFonts w:ascii="Arial" w:hAnsi="Arial" w:cs="Arial"/>
                <w:sz w:val="24"/>
                <w:szCs w:val="24"/>
              </w:rPr>
            </w:pPr>
          </w:p>
          <w:p w:rsidR="007551D0" w:rsidRPr="00E92120" w:rsidRDefault="007551D0" w:rsidP="00DB2B5E">
            <w:pPr>
              <w:tabs>
                <w:tab w:val="center" w:pos="4680"/>
                <w:tab w:val="right" w:pos="9360"/>
              </w:tabs>
              <w:spacing w:after="0" w:line="240" w:lineRule="auto"/>
              <w:rPr>
                <w:rFonts w:ascii="Arial" w:hAnsi="Arial" w:cs="Arial"/>
                <w:sz w:val="24"/>
                <w:szCs w:val="24"/>
              </w:rPr>
            </w:pPr>
            <w:r w:rsidRPr="000E0B8A">
              <w:rPr>
                <w:rFonts w:ascii="Arial" w:hAnsi="Arial" w:cs="Arial"/>
                <w:sz w:val="24"/>
                <w:szCs w:val="24"/>
              </w:rPr>
              <w:t>Făurei</w:t>
            </w:r>
          </w:p>
        </w:tc>
        <w:tc>
          <w:tcPr>
            <w:tcW w:w="1559" w:type="dxa"/>
            <w:shd w:val="clear" w:color="auto" w:fill="E5DFEC" w:themeFill="accent4" w:themeFillTint="33"/>
          </w:tcPr>
          <w:p w:rsidR="007551D0" w:rsidRPr="004923B9" w:rsidRDefault="007551D0" w:rsidP="00DB2B5E">
            <w:pPr>
              <w:tabs>
                <w:tab w:val="center" w:pos="4680"/>
                <w:tab w:val="right" w:pos="9360"/>
              </w:tabs>
              <w:spacing w:after="0" w:line="240" w:lineRule="auto"/>
              <w:jc w:val="center"/>
              <w:rPr>
                <w:rFonts w:ascii="Arial" w:hAnsi="Arial" w:cs="Arial"/>
                <w:color w:val="FF0000"/>
                <w:sz w:val="24"/>
                <w:szCs w:val="24"/>
              </w:rPr>
            </w:pPr>
          </w:p>
        </w:tc>
        <w:tc>
          <w:tcPr>
            <w:tcW w:w="1778" w:type="dxa"/>
            <w:shd w:val="clear" w:color="auto" w:fill="E5DFEC" w:themeFill="accent4" w:themeFillTint="33"/>
          </w:tcPr>
          <w:p w:rsidR="007551D0" w:rsidRPr="000E0B8A" w:rsidRDefault="007551D0" w:rsidP="00DB2B5E">
            <w:pPr>
              <w:tabs>
                <w:tab w:val="center" w:pos="4680"/>
                <w:tab w:val="right" w:pos="9360"/>
              </w:tabs>
              <w:spacing w:after="0" w:line="240" w:lineRule="auto"/>
              <w:jc w:val="center"/>
              <w:rPr>
                <w:rFonts w:ascii="Arial" w:hAnsi="Arial" w:cs="Arial"/>
                <w:sz w:val="24"/>
                <w:szCs w:val="24"/>
              </w:rPr>
            </w:pPr>
            <w:r w:rsidRPr="000E0B8A">
              <w:rPr>
                <w:rFonts w:ascii="Arial" w:hAnsi="Arial" w:cs="Arial"/>
                <w:sz w:val="24"/>
                <w:szCs w:val="24"/>
              </w:rPr>
              <w:t>143.333</w:t>
            </w:r>
          </w:p>
          <w:p w:rsidR="007551D0" w:rsidRPr="000E0B8A" w:rsidRDefault="007551D0" w:rsidP="00DB2B5E">
            <w:pPr>
              <w:tabs>
                <w:tab w:val="center" w:pos="4680"/>
                <w:tab w:val="right" w:pos="9360"/>
              </w:tabs>
              <w:spacing w:after="0" w:line="240" w:lineRule="auto"/>
              <w:jc w:val="center"/>
              <w:rPr>
                <w:rFonts w:ascii="Arial" w:hAnsi="Arial" w:cs="Arial"/>
                <w:sz w:val="24"/>
                <w:szCs w:val="24"/>
              </w:rPr>
            </w:pPr>
          </w:p>
          <w:p w:rsidR="007551D0" w:rsidRPr="000E0B8A" w:rsidRDefault="007551D0" w:rsidP="00DB2B5E">
            <w:pPr>
              <w:tabs>
                <w:tab w:val="center" w:pos="4680"/>
                <w:tab w:val="right" w:pos="9360"/>
              </w:tabs>
              <w:spacing w:after="0" w:line="240" w:lineRule="auto"/>
              <w:jc w:val="center"/>
              <w:rPr>
                <w:rFonts w:ascii="Arial" w:hAnsi="Arial" w:cs="Arial"/>
                <w:sz w:val="24"/>
                <w:szCs w:val="24"/>
              </w:rPr>
            </w:pPr>
          </w:p>
          <w:p w:rsidR="007551D0" w:rsidRPr="000E0B8A" w:rsidRDefault="007551D0" w:rsidP="00DB2B5E">
            <w:pPr>
              <w:tabs>
                <w:tab w:val="center" w:pos="4680"/>
                <w:tab w:val="right" w:pos="9360"/>
              </w:tabs>
              <w:spacing w:after="0" w:line="240" w:lineRule="auto"/>
              <w:jc w:val="center"/>
              <w:rPr>
                <w:rFonts w:ascii="Arial" w:hAnsi="Arial" w:cs="Arial"/>
                <w:sz w:val="24"/>
                <w:szCs w:val="24"/>
              </w:rPr>
            </w:pPr>
          </w:p>
          <w:p w:rsidR="007551D0" w:rsidRPr="000E0B8A" w:rsidRDefault="007551D0" w:rsidP="00DB2B5E">
            <w:pPr>
              <w:tabs>
                <w:tab w:val="center" w:pos="4680"/>
                <w:tab w:val="right" w:pos="9360"/>
              </w:tabs>
              <w:spacing w:after="0" w:line="240" w:lineRule="auto"/>
              <w:jc w:val="center"/>
              <w:rPr>
                <w:rFonts w:ascii="Arial" w:hAnsi="Arial" w:cs="Arial"/>
                <w:sz w:val="24"/>
                <w:szCs w:val="24"/>
              </w:rPr>
            </w:pPr>
            <w:r w:rsidRPr="000E0B8A">
              <w:rPr>
                <w:rFonts w:ascii="Arial" w:hAnsi="Arial" w:cs="Arial"/>
                <w:sz w:val="24"/>
                <w:szCs w:val="24"/>
              </w:rPr>
              <w:t>22.466</w:t>
            </w:r>
          </w:p>
          <w:p w:rsidR="007551D0" w:rsidRPr="000E0B8A" w:rsidRDefault="007551D0" w:rsidP="00DB2B5E">
            <w:pPr>
              <w:tabs>
                <w:tab w:val="center" w:pos="4680"/>
                <w:tab w:val="right" w:pos="9360"/>
              </w:tabs>
              <w:spacing w:after="0" w:line="240" w:lineRule="auto"/>
              <w:jc w:val="center"/>
              <w:rPr>
                <w:rFonts w:ascii="Arial" w:hAnsi="Arial" w:cs="Arial"/>
                <w:sz w:val="24"/>
                <w:szCs w:val="24"/>
              </w:rPr>
            </w:pPr>
          </w:p>
          <w:p w:rsidR="007551D0" w:rsidRPr="000E0B8A" w:rsidRDefault="007551D0" w:rsidP="00DB2B5E">
            <w:pPr>
              <w:tabs>
                <w:tab w:val="center" w:pos="4680"/>
                <w:tab w:val="right" w:pos="9360"/>
              </w:tabs>
              <w:spacing w:after="0" w:line="240" w:lineRule="auto"/>
              <w:jc w:val="center"/>
              <w:rPr>
                <w:rFonts w:ascii="Arial" w:hAnsi="Arial" w:cs="Arial"/>
                <w:sz w:val="24"/>
                <w:szCs w:val="24"/>
              </w:rPr>
            </w:pPr>
            <w:r w:rsidRPr="000E0B8A">
              <w:rPr>
                <w:rFonts w:ascii="Arial" w:hAnsi="Arial" w:cs="Arial"/>
                <w:sz w:val="24"/>
                <w:szCs w:val="24"/>
              </w:rPr>
              <w:t>20.238</w:t>
            </w:r>
          </w:p>
        </w:tc>
        <w:tc>
          <w:tcPr>
            <w:tcW w:w="3177" w:type="dxa"/>
            <w:shd w:val="clear" w:color="auto" w:fill="E5DFEC" w:themeFill="accent4" w:themeFillTint="33"/>
          </w:tcPr>
          <w:p w:rsidR="007551D0" w:rsidRPr="000E0B8A" w:rsidRDefault="007551D0" w:rsidP="00DB2B5E">
            <w:pPr>
              <w:tabs>
                <w:tab w:val="center" w:pos="4680"/>
                <w:tab w:val="right" w:pos="9360"/>
              </w:tabs>
              <w:spacing w:after="0" w:line="240" w:lineRule="auto"/>
              <w:rPr>
                <w:rFonts w:ascii="Arial" w:hAnsi="Arial" w:cs="Arial"/>
                <w:sz w:val="24"/>
                <w:szCs w:val="24"/>
              </w:rPr>
            </w:pPr>
            <w:r w:rsidRPr="000E0B8A">
              <w:rPr>
                <w:rFonts w:ascii="Arial" w:hAnsi="Arial" w:cs="Arial"/>
                <w:sz w:val="24"/>
                <w:szCs w:val="24"/>
              </w:rPr>
              <w:t>Mun.</w:t>
            </w:r>
            <w:r w:rsidR="00217620">
              <w:rPr>
                <w:rFonts w:ascii="Arial" w:hAnsi="Arial" w:cs="Arial"/>
                <w:sz w:val="24"/>
                <w:szCs w:val="24"/>
              </w:rPr>
              <w:t>Brăila</w:t>
            </w:r>
            <w:r w:rsidRPr="000E0B8A">
              <w:rPr>
                <w:rFonts w:ascii="Arial" w:hAnsi="Arial" w:cs="Arial"/>
                <w:sz w:val="24"/>
                <w:szCs w:val="24"/>
              </w:rPr>
              <w:t>,Stațiunea Lacu Sărat,Baldovinești</w:t>
            </w:r>
          </w:p>
          <w:p w:rsidR="007551D0" w:rsidRPr="000E0B8A" w:rsidRDefault="007551D0" w:rsidP="00DB2B5E">
            <w:pPr>
              <w:tabs>
                <w:tab w:val="center" w:pos="4680"/>
                <w:tab w:val="right" w:pos="9360"/>
              </w:tabs>
              <w:spacing w:after="0" w:line="240" w:lineRule="auto"/>
              <w:rPr>
                <w:rFonts w:ascii="Arial" w:hAnsi="Arial" w:cs="Arial"/>
                <w:sz w:val="24"/>
                <w:szCs w:val="24"/>
              </w:rPr>
            </w:pPr>
            <w:r w:rsidRPr="000E0B8A">
              <w:rPr>
                <w:rFonts w:ascii="Arial" w:hAnsi="Arial" w:cs="Arial"/>
                <w:sz w:val="24"/>
                <w:szCs w:val="24"/>
              </w:rPr>
              <w:t>Vărsătura</w:t>
            </w:r>
          </w:p>
          <w:p w:rsidR="007551D0" w:rsidRPr="000E0B8A" w:rsidRDefault="007551D0" w:rsidP="00DB2B5E">
            <w:pPr>
              <w:tabs>
                <w:tab w:val="center" w:pos="4680"/>
                <w:tab w:val="right" w:pos="9360"/>
              </w:tabs>
              <w:spacing w:after="0" w:line="240" w:lineRule="auto"/>
              <w:rPr>
                <w:rFonts w:ascii="Arial" w:hAnsi="Arial" w:cs="Arial"/>
                <w:sz w:val="24"/>
                <w:szCs w:val="24"/>
              </w:rPr>
            </w:pPr>
          </w:p>
          <w:p w:rsidR="007551D0" w:rsidRPr="000E0B8A" w:rsidRDefault="007551D0" w:rsidP="00DB2B5E">
            <w:pPr>
              <w:tabs>
                <w:tab w:val="center" w:pos="4680"/>
                <w:tab w:val="right" w:pos="9360"/>
              </w:tabs>
              <w:spacing w:after="0" w:line="240" w:lineRule="auto"/>
              <w:rPr>
                <w:rFonts w:ascii="Arial" w:hAnsi="Arial" w:cs="Arial"/>
                <w:sz w:val="24"/>
                <w:szCs w:val="24"/>
              </w:rPr>
            </w:pPr>
            <w:r w:rsidRPr="000E0B8A">
              <w:rPr>
                <w:rFonts w:ascii="Arial" w:hAnsi="Arial" w:cs="Arial"/>
                <w:sz w:val="24"/>
                <w:szCs w:val="24"/>
              </w:rPr>
              <w:t>Însurăței,Tufești,Viziru</w:t>
            </w:r>
          </w:p>
          <w:p w:rsidR="007551D0" w:rsidRPr="000E0B8A" w:rsidRDefault="007551D0" w:rsidP="00DB2B5E">
            <w:pPr>
              <w:tabs>
                <w:tab w:val="center" w:pos="4680"/>
                <w:tab w:val="right" w:pos="9360"/>
              </w:tabs>
              <w:spacing w:after="0" w:line="240" w:lineRule="auto"/>
              <w:rPr>
                <w:rFonts w:ascii="Arial" w:hAnsi="Arial" w:cs="Arial"/>
                <w:sz w:val="24"/>
                <w:szCs w:val="24"/>
              </w:rPr>
            </w:pPr>
          </w:p>
          <w:p w:rsidR="007551D0" w:rsidRPr="000E0B8A" w:rsidRDefault="007551D0" w:rsidP="00DB2B5E">
            <w:pPr>
              <w:tabs>
                <w:tab w:val="center" w:pos="4680"/>
                <w:tab w:val="right" w:pos="9360"/>
              </w:tabs>
              <w:spacing w:after="0" w:line="240" w:lineRule="auto"/>
              <w:rPr>
                <w:rFonts w:ascii="Arial" w:hAnsi="Arial" w:cs="Arial"/>
                <w:sz w:val="24"/>
                <w:szCs w:val="24"/>
              </w:rPr>
            </w:pPr>
            <w:r w:rsidRPr="000E0B8A">
              <w:rPr>
                <w:rFonts w:ascii="Arial" w:hAnsi="Arial" w:cs="Arial"/>
                <w:sz w:val="24"/>
                <w:szCs w:val="24"/>
              </w:rPr>
              <w:t>Făurei</w:t>
            </w:r>
            <w:r>
              <w:rPr>
                <w:rFonts w:ascii="Arial" w:hAnsi="Arial" w:cs="Arial"/>
                <w:sz w:val="24"/>
                <w:szCs w:val="24"/>
              </w:rPr>
              <w:t>,</w:t>
            </w:r>
            <w:r w:rsidRPr="000E0B8A">
              <w:rPr>
                <w:rFonts w:ascii="Arial" w:hAnsi="Arial" w:cs="Arial"/>
                <w:sz w:val="24"/>
                <w:szCs w:val="24"/>
              </w:rPr>
              <w:t xml:space="preserve"> Ianca,</w:t>
            </w:r>
          </w:p>
        </w:tc>
      </w:tr>
      <w:tr w:rsidR="007551D0" w:rsidRPr="00E92120" w:rsidTr="00DB2B5E">
        <w:trPr>
          <w:jc w:val="center"/>
        </w:trPr>
        <w:tc>
          <w:tcPr>
            <w:tcW w:w="2502" w:type="dxa"/>
            <w:shd w:val="clear" w:color="auto" w:fill="E5DFEC" w:themeFill="accent4" w:themeFillTint="33"/>
            <w:vAlign w:val="center"/>
          </w:tcPr>
          <w:p w:rsidR="007551D0" w:rsidRPr="00E92120" w:rsidRDefault="007551D0" w:rsidP="00DB2B5E">
            <w:pPr>
              <w:tabs>
                <w:tab w:val="center" w:pos="4680"/>
                <w:tab w:val="right" w:pos="9360"/>
              </w:tabs>
              <w:spacing w:after="0" w:line="240" w:lineRule="auto"/>
              <w:jc w:val="center"/>
              <w:rPr>
                <w:rFonts w:ascii="Arial" w:hAnsi="Arial" w:cs="Arial"/>
                <w:sz w:val="24"/>
                <w:szCs w:val="24"/>
              </w:rPr>
            </w:pPr>
            <w:r w:rsidRPr="00E92120">
              <w:rPr>
                <w:rFonts w:ascii="Arial" w:hAnsi="Arial" w:cs="Arial"/>
                <w:sz w:val="24"/>
                <w:szCs w:val="24"/>
              </w:rPr>
              <w:t>2 000</w:t>
            </w:r>
            <w:r>
              <w:rPr>
                <w:rFonts w:ascii="Arial" w:hAnsi="Arial" w:cs="Arial"/>
                <w:sz w:val="24"/>
                <w:szCs w:val="24"/>
              </w:rPr>
              <w:t xml:space="preserve"> </w:t>
            </w:r>
            <w:r w:rsidRPr="00E92120">
              <w:rPr>
                <w:rFonts w:ascii="Arial" w:hAnsi="Arial" w:cs="Arial"/>
                <w:sz w:val="24"/>
                <w:szCs w:val="24"/>
              </w:rPr>
              <w:t>-10 000 l.e</w:t>
            </w:r>
          </w:p>
        </w:tc>
        <w:tc>
          <w:tcPr>
            <w:tcW w:w="1559" w:type="dxa"/>
            <w:shd w:val="clear" w:color="auto" w:fill="E5DFEC" w:themeFill="accent4" w:themeFillTint="33"/>
            <w:vAlign w:val="center"/>
          </w:tcPr>
          <w:p w:rsidR="007551D0" w:rsidRPr="00E92120" w:rsidRDefault="007551D0" w:rsidP="00DB2B5E">
            <w:pPr>
              <w:tabs>
                <w:tab w:val="center" w:pos="4680"/>
                <w:tab w:val="right" w:pos="9360"/>
              </w:tabs>
              <w:spacing w:after="0" w:line="240" w:lineRule="auto"/>
              <w:jc w:val="center"/>
              <w:rPr>
                <w:rFonts w:ascii="Arial" w:hAnsi="Arial" w:cs="Arial"/>
                <w:sz w:val="24"/>
                <w:szCs w:val="24"/>
              </w:rPr>
            </w:pPr>
          </w:p>
        </w:tc>
        <w:tc>
          <w:tcPr>
            <w:tcW w:w="1778" w:type="dxa"/>
            <w:shd w:val="clear" w:color="auto" w:fill="E5DFEC" w:themeFill="accent4" w:themeFillTint="33"/>
            <w:vAlign w:val="center"/>
          </w:tcPr>
          <w:p w:rsidR="007551D0" w:rsidRPr="00095802" w:rsidRDefault="007551D0" w:rsidP="00DB2B5E">
            <w:pPr>
              <w:tabs>
                <w:tab w:val="center" w:pos="4680"/>
                <w:tab w:val="right" w:pos="9360"/>
              </w:tabs>
              <w:spacing w:after="0" w:line="240" w:lineRule="auto"/>
              <w:jc w:val="center"/>
              <w:rPr>
                <w:rFonts w:ascii="Arial" w:hAnsi="Arial" w:cs="Arial"/>
                <w:sz w:val="24"/>
                <w:szCs w:val="24"/>
              </w:rPr>
            </w:pPr>
            <w:r w:rsidRPr="00095802">
              <w:rPr>
                <w:rFonts w:ascii="Arial" w:hAnsi="Arial" w:cs="Arial"/>
                <w:sz w:val="24"/>
                <w:szCs w:val="24"/>
              </w:rPr>
              <w:t>4.051</w:t>
            </w:r>
          </w:p>
        </w:tc>
        <w:tc>
          <w:tcPr>
            <w:tcW w:w="3177" w:type="dxa"/>
            <w:shd w:val="clear" w:color="auto" w:fill="E5DFEC" w:themeFill="accent4" w:themeFillTint="33"/>
            <w:vAlign w:val="center"/>
          </w:tcPr>
          <w:p w:rsidR="007551D0" w:rsidRPr="000E0B8A" w:rsidRDefault="007551D0" w:rsidP="00DB2B5E">
            <w:pPr>
              <w:tabs>
                <w:tab w:val="center" w:pos="4680"/>
                <w:tab w:val="right" w:pos="9360"/>
              </w:tabs>
              <w:spacing w:after="0" w:line="240" w:lineRule="auto"/>
              <w:jc w:val="center"/>
              <w:rPr>
                <w:rFonts w:ascii="Arial" w:hAnsi="Arial" w:cs="Arial"/>
                <w:sz w:val="24"/>
                <w:szCs w:val="24"/>
              </w:rPr>
            </w:pPr>
            <w:r w:rsidRPr="000E0B8A">
              <w:rPr>
                <w:rFonts w:ascii="Arial" w:hAnsi="Arial" w:cs="Arial"/>
                <w:sz w:val="24"/>
                <w:szCs w:val="24"/>
              </w:rPr>
              <w:t>Movila Miresii</w:t>
            </w:r>
          </w:p>
          <w:p w:rsidR="007551D0" w:rsidRPr="00E92120" w:rsidRDefault="007551D0" w:rsidP="00DB2B5E">
            <w:pPr>
              <w:tabs>
                <w:tab w:val="center" w:pos="4680"/>
                <w:tab w:val="right" w:pos="9360"/>
              </w:tabs>
              <w:spacing w:after="0" w:line="240" w:lineRule="auto"/>
              <w:jc w:val="center"/>
              <w:rPr>
                <w:rFonts w:ascii="Arial" w:hAnsi="Arial" w:cs="Arial"/>
                <w:sz w:val="24"/>
                <w:szCs w:val="24"/>
              </w:rPr>
            </w:pPr>
          </w:p>
        </w:tc>
      </w:tr>
      <w:tr w:rsidR="007551D0" w:rsidRPr="00E92120" w:rsidTr="00DB2B5E">
        <w:trPr>
          <w:jc w:val="center"/>
        </w:trPr>
        <w:tc>
          <w:tcPr>
            <w:tcW w:w="2502" w:type="dxa"/>
            <w:shd w:val="clear" w:color="auto" w:fill="E5DFEC" w:themeFill="accent4" w:themeFillTint="33"/>
          </w:tcPr>
          <w:p w:rsidR="007551D0" w:rsidRPr="00E92120" w:rsidRDefault="007551D0" w:rsidP="00DB2B5E">
            <w:pPr>
              <w:tabs>
                <w:tab w:val="center" w:pos="4680"/>
                <w:tab w:val="right" w:pos="9360"/>
              </w:tabs>
              <w:spacing w:after="0" w:line="240" w:lineRule="auto"/>
              <w:rPr>
                <w:rFonts w:ascii="Arial" w:hAnsi="Arial" w:cs="Arial"/>
                <w:sz w:val="24"/>
                <w:szCs w:val="24"/>
              </w:rPr>
            </w:pPr>
            <w:r w:rsidRPr="00E92120">
              <w:rPr>
                <w:rFonts w:ascii="Arial" w:hAnsi="Arial" w:cs="Arial"/>
                <w:sz w:val="24"/>
                <w:szCs w:val="24"/>
              </w:rPr>
              <w:t>≤ 2000 l.e</w:t>
            </w:r>
          </w:p>
        </w:tc>
        <w:tc>
          <w:tcPr>
            <w:tcW w:w="1559" w:type="dxa"/>
            <w:shd w:val="clear" w:color="auto" w:fill="E5DFEC" w:themeFill="accent4" w:themeFillTint="33"/>
          </w:tcPr>
          <w:p w:rsidR="007551D0" w:rsidRPr="00E92120" w:rsidRDefault="007551D0" w:rsidP="00DB2B5E">
            <w:pPr>
              <w:tabs>
                <w:tab w:val="center" w:pos="4680"/>
                <w:tab w:val="right" w:pos="9360"/>
              </w:tabs>
              <w:spacing w:after="0" w:line="240" w:lineRule="auto"/>
              <w:jc w:val="center"/>
              <w:rPr>
                <w:rFonts w:ascii="Arial" w:hAnsi="Arial" w:cs="Arial"/>
                <w:sz w:val="24"/>
                <w:szCs w:val="24"/>
              </w:rPr>
            </w:pPr>
            <w:r>
              <w:rPr>
                <w:rFonts w:ascii="Arial" w:hAnsi="Arial" w:cs="Arial"/>
                <w:sz w:val="24"/>
                <w:szCs w:val="24"/>
              </w:rPr>
              <w:t>-</w:t>
            </w:r>
          </w:p>
        </w:tc>
        <w:tc>
          <w:tcPr>
            <w:tcW w:w="1778" w:type="dxa"/>
            <w:shd w:val="clear" w:color="auto" w:fill="E5DFEC" w:themeFill="accent4" w:themeFillTint="33"/>
          </w:tcPr>
          <w:p w:rsidR="007551D0" w:rsidRPr="00E92120" w:rsidRDefault="007551D0" w:rsidP="00DB2B5E">
            <w:pPr>
              <w:tabs>
                <w:tab w:val="center" w:pos="4680"/>
                <w:tab w:val="right" w:pos="9360"/>
              </w:tabs>
              <w:spacing w:after="0" w:line="240" w:lineRule="auto"/>
              <w:jc w:val="center"/>
              <w:rPr>
                <w:rFonts w:ascii="Arial" w:hAnsi="Arial" w:cs="Arial"/>
                <w:sz w:val="24"/>
                <w:szCs w:val="24"/>
              </w:rPr>
            </w:pPr>
            <w:r>
              <w:rPr>
                <w:rFonts w:ascii="Arial" w:hAnsi="Arial" w:cs="Arial"/>
                <w:sz w:val="24"/>
                <w:szCs w:val="24"/>
              </w:rPr>
              <w:t>-</w:t>
            </w:r>
          </w:p>
        </w:tc>
        <w:tc>
          <w:tcPr>
            <w:tcW w:w="3177" w:type="dxa"/>
            <w:shd w:val="clear" w:color="auto" w:fill="E5DFEC" w:themeFill="accent4" w:themeFillTint="33"/>
          </w:tcPr>
          <w:p w:rsidR="007551D0" w:rsidRPr="00E92120" w:rsidRDefault="007551D0" w:rsidP="00DB2B5E">
            <w:pPr>
              <w:tabs>
                <w:tab w:val="center" w:pos="4680"/>
                <w:tab w:val="right" w:pos="9360"/>
              </w:tabs>
              <w:spacing w:after="0" w:line="240" w:lineRule="auto"/>
              <w:jc w:val="center"/>
              <w:rPr>
                <w:rFonts w:ascii="Arial" w:hAnsi="Arial" w:cs="Arial"/>
                <w:sz w:val="24"/>
                <w:szCs w:val="24"/>
              </w:rPr>
            </w:pPr>
            <w:r>
              <w:rPr>
                <w:rFonts w:ascii="Arial" w:hAnsi="Arial" w:cs="Arial"/>
                <w:sz w:val="24"/>
                <w:szCs w:val="24"/>
              </w:rPr>
              <w:t>-</w:t>
            </w:r>
          </w:p>
        </w:tc>
      </w:tr>
    </w:tbl>
    <w:p w:rsidR="007551D0" w:rsidRPr="009A1552" w:rsidRDefault="007551D0" w:rsidP="007551D0">
      <w:pPr>
        <w:rPr>
          <w:rFonts w:ascii="Arial" w:hAnsi="Arial" w:cs="Arial"/>
          <w:b/>
          <w:sz w:val="20"/>
          <w:szCs w:val="20"/>
        </w:rPr>
      </w:pPr>
      <w:r>
        <w:rPr>
          <w:rFonts w:ascii="Arial" w:hAnsi="Arial" w:cs="Arial"/>
          <w:b/>
          <w:sz w:val="20"/>
          <w:szCs w:val="20"/>
        </w:rPr>
        <w:t xml:space="preserve">       </w:t>
      </w:r>
      <w:r w:rsidRPr="009A1552">
        <w:rPr>
          <w:rFonts w:ascii="Arial" w:hAnsi="Arial" w:cs="Arial"/>
          <w:b/>
          <w:sz w:val="20"/>
          <w:szCs w:val="20"/>
        </w:rPr>
        <w:t xml:space="preserve">Sursă date : Compania de Utilități Publice Dunărea </w:t>
      </w:r>
      <w:r w:rsidR="00217620">
        <w:rPr>
          <w:rFonts w:ascii="Arial" w:hAnsi="Arial" w:cs="Arial"/>
          <w:b/>
          <w:sz w:val="20"/>
          <w:szCs w:val="20"/>
        </w:rPr>
        <w:t>Brăila</w:t>
      </w:r>
      <w:r w:rsidRPr="009A1552">
        <w:rPr>
          <w:rFonts w:ascii="Arial" w:hAnsi="Arial" w:cs="Arial"/>
          <w:b/>
          <w:sz w:val="20"/>
          <w:szCs w:val="20"/>
        </w:rPr>
        <w:t xml:space="preserve"> SA</w:t>
      </w:r>
    </w:p>
    <w:p w:rsidR="009209C1" w:rsidRDefault="007551D0" w:rsidP="009209C1">
      <w:pPr>
        <w:spacing w:after="0" w:line="240" w:lineRule="auto"/>
        <w:rPr>
          <w:rFonts w:ascii="Arial" w:hAnsi="Arial" w:cs="Arial"/>
          <w:b/>
          <w:bCs/>
          <w:sz w:val="24"/>
          <w:szCs w:val="24"/>
        </w:rPr>
      </w:pPr>
      <w:r w:rsidRPr="009209C1">
        <w:rPr>
          <w:rFonts w:ascii="Arial" w:eastAsia="Calibri" w:hAnsi="Arial" w:cs="Arial"/>
          <w:sz w:val="24"/>
          <w:szCs w:val="24"/>
          <w:lang w:eastAsia="ar-SA"/>
        </w:rPr>
        <w:t>Tabel 2.2.2 -2 - Evoluţia gradului de epurare  la sistemele de colectare şi epurare a apelor uzate funcționale</w:t>
      </w:r>
      <w:r w:rsidRPr="00FF09F1">
        <w:rPr>
          <w:rFonts w:ascii="Arial" w:eastAsia="Calibri" w:hAnsi="Arial" w:cs="Arial"/>
          <w:sz w:val="24"/>
          <w:szCs w:val="24"/>
          <w:lang w:eastAsia="ar-SA"/>
        </w:rPr>
        <w:t xml:space="preserve"> deservite de CUP în jud. </w:t>
      </w:r>
      <w:r w:rsidR="00217620">
        <w:rPr>
          <w:rFonts w:ascii="Arial" w:eastAsia="Calibri" w:hAnsi="Arial" w:cs="Arial"/>
          <w:sz w:val="24"/>
          <w:szCs w:val="24"/>
          <w:lang w:eastAsia="ar-SA"/>
        </w:rPr>
        <w:t>Brăila</w:t>
      </w:r>
      <w:r w:rsidRPr="00FF09F1">
        <w:rPr>
          <w:rFonts w:ascii="Arial" w:eastAsia="Calibri" w:hAnsi="Arial" w:cs="Arial"/>
          <w:sz w:val="24"/>
          <w:szCs w:val="24"/>
          <w:lang w:eastAsia="ar-SA"/>
        </w:rPr>
        <w:t xml:space="preserve"> -  numărul de stații de epurare în funcțiune pe anii de referință și pe grad de epurare ( terțiară, secundară , primară</w:t>
      </w:r>
      <w:r>
        <w:rPr>
          <w:rFonts w:ascii="Arial" w:eastAsia="Calibri" w:hAnsi="Arial" w:cs="Arial"/>
          <w:sz w:val="24"/>
          <w:szCs w:val="24"/>
          <w:lang w:eastAsia="ar-SA"/>
        </w:rPr>
        <w:t>)</w:t>
      </w:r>
      <w:r w:rsidRPr="00FF09F1">
        <w:rPr>
          <w:rFonts w:ascii="Arial" w:hAnsi="Arial" w:cs="Arial"/>
          <w:b/>
          <w:bCs/>
          <w:sz w:val="24"/>
          <w:szCs w:val="24"/>
        </w:rPr>
        <w:t xml:space="preserve"> </w:t>
      </w:r>
    </w:p>
    <w:p w:rsidR="007551D0" w:rsidRPr="00FF09F1" w:rsidRDefault="007551D0" w:rsidP="009209C1">
      <w:pPr>
        <w:spacing w:after="0" w:line="240" w:lineRule="auto"/>
        <w:rPr>
          <w:rFonts w:ascii="Arial" w:hAnsi="Arial" w:cs="Arial"/>
          <w:sz w:val="24"/>
          <w:szCs w:val="24"/>
        </w:rPr>
      </w:pPr>
      <w:r>
        <w:rPr>
          <w:rFonts w:ascii="Arial" w:hAnsi="Arial" w:cs="Arial"/>
          <w:sz w:val="24"/>
          <w:szCs w:val="24"/>
        </w:rPr>
        <w:t xml:space="preserve">                                                               </w:t>
      </w:r>
    </w:p>
    <w:tbl>
      <w:tblPr>
        <w:tblW w:w="7626" w:type="dxa"/>
        <w:jc w:val="center"/>
        <w:tblInd w:w="-5" w:type="dxa"/>
        <w:tblLayout w:type="fixed"/>
        <w:tblLook w:val="0000"/>
      </w:tblPr>
      <w:tblGrid>
        <w:gridCol w:w="3388"/>
        <w:gridCol w:w="787"/>
        <w:gridCol w:w="836"/>
        <w:gridCol w:w="923"/>
        <w:gridCol w:w="869"/>
        <w:gridCol w:w="823"/>
      </w:tblGrid>
      <w:tr w:rsidR="007551D0" w:rsidRPr="00FF09F1" w:rsidTr="00DB2B5E">
        <w:trPr>
          <w:jc w:val="center"/>
        </w:trPr>
        <w:tc>
          <w:tcPr>
            <w:tcW w:w="3388" w:type="dxa"/>
            <w:tcBorders>
              <w:top w:val="single" w:sz="4" w:space="0" w:color="000000"/>
              <w:left w:val="single" w:sz="4" w:space="0" w:color="000000"/>
              <w:bottom w:val="single" w:sz="4" w:space="0" w:color="000000"/>
            </w:tcBorders>
            <w:shd w:val="clear" w:color="auto" w:fill="B8CCE4" w:themeFill="accent1" w:themeFillTint="66"/>
          </w:tcPr>
          <w:p w:rsidR="007551D0" w:rsidRPr="00FF09F1" w:rsidRDefault="007551D0" w:rsidP="00DB2B5E">
            <w:pPr>
              <w:tabs>
                <w:tab w:val="center" w:pos="4680"/>
                <w:tab w:val="right" w:pos="9360"/>
              </w:tabs>
              <w:suppressAutoHyphens/>
              <w:spacing w:after="0" w:line="240" w:lineRule="auto"/>
              <w:rPr>
                <w:rFonts w:ascii="Arial" w:eastAsia="Calibri" w:hAnsi="Arial" w:cs="Arial"/>
                <w:b/>
                <w:sz w:val="24"/>
                <w:szCs w:val="24"/>
                <w:lang w:eastAsia="ar-SA"/>
              </w:rPr>
            </w:pPr>
            <w:r w:rsidRPr="00FF09F1">
              <w:rPr>
                <w:rFonts w:ascii="Arial" w:hAnsi="Arial" w:cs="Arial"/>
                <w:b/>
                <w:sz w:val="24"/>
                <w:szCs w:val="24"/>
              </w:rPr>
              <w:t xml:space="preserve">Județul </w:t>
            </w:r>
            <w:r w:rsidR="00217620">
              <w:rPr>
                <w:rFonts w:ascii="Arial" w:hAnsi="Arial" w:cs="Arial"/>
                <w:b/>
                <w:sz w:val="24"/>
                <w:szCs w:val="24"/>
              </w:rPr>
              <w:t>Brăila</w:t>
            </w:r>
            <w:r w:rsidRPr="00FF09F1">
              <w:rPr>
                <w:rFonts w:ascii="Arial" w:hAnsi="Arial" w:cs="Arial"/>
                <w:sz w:val="24"/>
                <w:szCs w:val="24"/>
              </w:rPr>
              <w:tab/>
            </w:r>
            <w:r w:rsidRPr="00FF09F1">
              <w:rPr>
                <w:rFonts w:ascii="Arial" w:eastAsia="Calibri" w:hAnsi="Arial" w:cs="Arial"/>
                <w:b/>
                <w:sz w:val="24"/>
                <w:szCs w:val="24"/>
                <w:lang w:eastAsia="ar-SA"/>
              </w:rPr>
              <w:t xml:space="preserve">Județul </w:t>
            </w:r>
            <w:r w:rsidR="00217620">
              <w:rPr>
                <w:rFonts w:ascii="Arial" w:eastAsia="Calibri" w:hAnsi="Arial" w:cs="Arial"/>
                <w:b/>
                <w:sz w:val="24"/>
                <w:szCs w:val="24"/>
                <w:lang w:eastAsia="ar-SA"/>
              </w:rPr>
              <w:t>Brăila</w:t>
            </w:r>
          </w:p>
        </w:tc>
        <w:tc>
          <w:tcPr>
            <w:tcW w:w="787" w:type="dxa"/>
            <w:tcBorders>
              <w:top w:val="single" w:sz="4" w:space="0" w:color="000000"/>
              <w:left w:val="single" w:sz="4" w:space="0" w:color="000000"/>
              <w:bottom w:val="single" w:sz="4" w:space="0" w:color="000000"/>
            </w:tcBorders>
            <w:shd w:val="clear" w:color="auto" w:fill="B8CCE4" w:themeFill="accent1" w:themeFillTint="66"/>
          </w:tcPr>
          <w:p w:rsidR="007551D0" w:rsidRPr="00FF09F1" w:rsidRDefault="007551D0" w:rsidP="00DB2B5E">
            <w:pPr>
              <w:tabs>
                <w:tab w:val="center" w:pos="4680"/>
                <w:tab w:val="right" w:pos="9360"/>
              </w:tabs>
              <w:suppressAutoHyphens/>
              <w:spacing w:after="0" w:line="240" w:lineRule="auto"/>
              <w:rPr>
                <w:rFonts w:ascii="Arial" w:eastAsia="Calibri" w:hAnsi="Arial" w:cs="Arial"/>
                <w:b/>
                <w:sz w:val="24"/>
                <w:szCs w:val="24"/>
                <w:lang w:eastAsia="ar-SA"/>
              </w:rPr>
            </w:pPr>
            <w:r w:rsidRPr="00FF09F1">
              <w:rPr>
                <w:rFonts w:ascii="Arial" w:eastAsia="Calibri" w:hAnsi="Arial" w:cs="Arial"/>
                <w:b/>
                <w:sz w:val="24"/>
                <w:szCs w:val="24"/>
                <w:lang w:eastAsia="ar-SA"/>
              </w:rPr>
              <w:t>2012</w:t>
            </w:r>
          </w:p>
        </w:tc>
        <w:tc>
          <w:tcPr>
            <w:tcW w:w="836" w:type="dxa"/>
            <w:tcBorders>
              <w:top w:val="single" w:sz="4" w:space="0" w:color="000000"/>
              <w:left w:val="single" w:sz="4" w:space="0" w:color="000000"/>
              <w:bottom w:val="single" w:sz="4" w:space="0" w:color="000000"/>
            </w:tcBorders>
            <w:shd w:val="clear" w:color="auto" w:fill="B8CCE4" w:themeFill="accent1" w:themeFillTint="66"/>
          </w:tcPr>
          <w:p w:rsidR="007551D0" w:rsidRPr="00FF09F1" w:rsidRDefault="007551D0" w:rsidP="00DB2B5E">
            <w:pPr>
              <w:tabs>
                <w:tab w:val="center" w:pos="4680"/>
                <w:tab w:val="right" w:pos="9360"/>
              </w:tabs>
              <w:suppressAutoHyphens/>
              <w:spacing w:after="0" w:line="240" w:lineRule="auto"/>
              <w:rPr>
                <w:rFonts w:ascii="Arial" w:eastAsia="Calibri" w:hAnsi="Arial" w:cs="Arial"/>
                <w:b/>
                <w:sz w:val="24"/>
                <w:szCs w:val="24"/>
                <w:lang w:eastAsia="ar-SA"/>
              </w:rPr>
            </w:pPr>
            <w:r w:rsidRPr="00FF09F1">
              <w:rPr>
                <w:rFonts w:ascii="Arial" w:eastAsia="Calibri" w:hAnsi="Arial" w:cs="Arial"/>
                <w:b/>
                <w:sz w:val="24"/>
                <w:szCs w:val="24"/>
                <w:lang w:eastAsia="ar-SA"/>
              </w:rPr>
              <w:t>2013</w:t>
            </w:r>
          </w:p>
        </w:tc>
        <w:tc>
          <w:tcPr>
            <w:tcW w:w="923" w:type="dxa"/>
            <w:tcBorders>
              <w:top w:val="single" w:sz="4" w:space="0" w:color="000000"/>
              <w:left w:val="single" w:sz="4" w:space="0" w:color="000000"/>
              <w:bottom w:val="single" w:sz="4" w:space="0" w:color="000000"/>
            </w:tcBorders>
            <w:shd w:val="clear" w:color="auto" w:fill="B8CCE4" w:themeFill="accent1" w:themeFillTint="66"/>
          </w:tcPr>
          <w:p w:rsidR="007551D0" w:rsidRPr="00FF09F1" w:rsidRDefault="007551D0" w:rsidP="00DB2B5E">
            <w:pPr>
              <w:tabs>
                <w:tab w:val="center" w:pos="4680"/>
                <w:tab w:val="right" w:pos="9360"/>
              </w:tabs>
              <w:suppressAutoHyphens/>
              <w:spacing w:after="0" w:line="240" w:lineRule="auto"/>
              <w:rPr>
                <w:rFonts w:ascii="Arial" w:eastAsia="Calibri" w:hAnsi="Arial" w:cs="Arial"/>
                <w:b/>
                <w:sz w:val="24"/>
                <w:szCs w:val="24"/>
                <w:lang w:eastAsia="ar-SA"/>
              </w:rPr>
            </w:pPr>
            <w:r w:rsidRPr="00FF09F1">
              <w:rPr>
                <w:rFonts w:ascii="Arial" w:eastAsia="Calibri" w:hAnsi="Arial" w:cs="Arial"/>
                <w:b/>
                <w:sz w:val="24"/>
                <w:szCs w:val="24"/>
                <w:lang w:eastAsia="ar-SA"/>
              </w:rPr>
              <w:t>2014</w:t>
            </w:r>
          </w:p>
        </w:tc>
        <w:tc>
          <w:tcPr>
            <w:tcW w:w="869" w:type="dxa"/>
            <w:tcBorders>
              <w:top w:val="single" w:sz="4" w:space="0" w:color="000000"/>
              <w:left w:val="single" w:sz="4" w:space="0" w:color="000000"/>
              <w:bottom w:val="single" w:sz="4" w:space="0" w:color="000000"/>
            </w:tcBorders>
            <w:shd w:val="clear" w:color="auto" w:fill="B8CCE4" w:themeFill="accent1" w:themeFillTint="66"/>
          </w:tcPr>
          <w:p w:rsidR="007551D0" w:rsidRPr="00FF09F1" w:rsidRDefault="007551D0" w:rsidP="00DB2B5E">
            <w:pPr>
              <w:tabs>
                <w:tab w:val="center" w:pos="4680"/>
                <w:tab w:val="right" w:pos="9360"/>
              </w:tabs>
              <w:suppressAutoHyphens/>
              <w:spacing w:after="0" w:line="240" w:lineRule="auto"/>
              <w:rPr>
                <w:rFonts w:ascii="Arial" w:eastAsia="Calibri" w:hAnsi="Arial" w:cs="Arial"/>
                <w:b/>
                <w:sz w:val="24"/>
                <w:szCs w:val="24"/>
                <w:lang w:eastAsia="ar-SA"/>
              </w:rPr>
            </w:pPr>
            <w:r w:rsidRPr="00FF09F1">
              <w:rPr>
                <w:rFonts w:ascii="Arial" w:eastAsia="Calibri" w:hAnsi="Arial" w:cs="Arial"/>
                <w:b/>
                <w:sz w:val="24"/>
                <w:szCs w:val="24"/>
                <w:lang w:eastAsia="ar-SA"/>
              </w:rPr>
              <w:t>2015</w:t>
            </w:r>
          </w:p>
        </w:tc>
        <w:tc>
          <w:tcPr>
            <w:tcW w:w="82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7551D0" w:rsidRPr="00FF09F1" w:rsidRDefault="007551D0" w:rsidP="00DB2B5E">
            <w:pPr>
              <w:tabs>
                <w:tab w:val="center" w:pos="4680"/>
                <w:tab w:val="right" w:pos="9360"/>
              </w:tabs>
              <w:suppressAutoHyphens/>
              <w:spacing w:after="0" w:line="240" w:lineRule="auto"/>
              <w:rPr>
                <w:rFonts w:ascii="Arial" w:eastAsia="Calibri" w:hAnsi="Arial" w:cs="Arial"/>
                <w:b/>
                <w:sz w:val="24"/>
                <w:szCs w:val="24"/>
                <w:lang w:eastAsia="ar-SA"/>
              </w:rPr>
            </w:pPr>
            <w:r w:rsidRPr="00FF09F1">
              <w:rPr>
                <w:rFonts w:ascii="Arial" w:eastAsia="Calibri" w:hAnsi="Arial" w:cs="Arial"/>
                <w:b/>
                <w:sz w:val="24"/>
                <w:szCs w:val="24"/>
                <w:lang w:eastAsia="ar-SA"/>
              </w:rPr>
              <w:t>2016</w:t>
            </w:r>
          </w:p>
        </w:tc>
      </w:tr>
      <w:tr w:rsidR="007551D0" w:rsidRPr="00FF09F1" w:rsidTr="00DB2B5E">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rPr>
                <w:rFonts w:ascii="Arial" w:eastAsia="Calibri" w:hAnsi="Arial" w:cs="Arial"/>
                <w:b/>
                <w:i/>
                <w:sz w:val="24"/>
                <w:szCs w:val="24"/>
                <w:lang w:eastAsia="ar-SA"/>
              </w:rPr>
            </w:pPr>
            <w:r w:rsidRPr="00FF09F1">
              <w:rPr>
                <w:rFonts w:ascii="Arial" w:eastAsia="Calibri" w:hAnsi="Arial" w:cs="Arial"/>
                <w:sz w:val="24"/>
                <w:szCs w:val="24"/>
                <w:lang w:eastAsia="ar-SA"/>
              </w:rPr>
              <w:t>Colectare cu epurare terţiară</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836"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923"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2</w:t>
            </w:r>
          </w:p>
        </w:tc>
        <w:tc>
          <w:tcPr>
            <w:tcW w:w="869"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2</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2</w:t>
            </w:r>
          </w:p>
        </w:tc>
      </w:tr>
      <w:tr w:rsidR="007551D0" w:rsidRPr="00FF09F1" w:rsidTr="00DB2B5E">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rPr>
                <w:rFonts w:ascii="Arial" w:eastAsia="Calibri" w:hAnsi="Arial" w:cs="Arial"/>
                <w:b/>
                <w:i/>
                <w:sz w:val="24"/>
                <w:szCs w:val="24"/>
                <w:lang w:eastAsia="ar-SA"/>
              </w:rPr>
            </w:pPr>
            <w:r w:rsidRPr="00FF09F1">
              <w:rPr>
                <w:rFonts w:ascii="Arial" w:eastAsia="Calibri" w:hAnsi="Arial" w:cs="Arial"/>
                <w:sz w:val="24"/>
                <w:szCs w:val="24"/>
                <w:lang w:eastAsia="ar-SA"/>
              </w:rPr>
              <w:t>Colectare cu epurare secundară</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36"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923"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69"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r>
      <w:tr w:rsidR="007551D0" w:rsidRPr="00FF09F1" w:rsidTr="00DB2B5E">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rPr>
                <w:rFonts w:ascii="Arial" w:eastAsia="Calibri" w:hAnsi="Arial" w:cs="Arial"/>
                <w:b/>
                <w:i/>
                <w:sz w:val="24"/>
                <w:szCs w:val="24"/>
                <w:lang w:eastAsia="ar-SA"/>
              </w:rPr>
            </w:pPr>
            <w:r w:rsidRPr="00FF09F1">
              <w:rPr>
                <w:rFonts w:ascii="Arial" w:eastAsia="Calibri" w:hAnsi="Arial" w:cs="Arial"/>
                <w:sz w:val="24"/>
                <w:szCs w:val="24"/>
                <w:lang w:eastAsia="ar-SA"/>
              </w:rPr>
              <w:t>Colectare cu epurare primară</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36"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923"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69"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1</w:t>
            </w:r>
          </w:p>
        </w:tc>
      </w:tr>
      <w:tr w:rsidR="007551D0" w:rsidRPr="00FF09F1" w:rsidTr="00DB2B5E">
        <w:trPr>
          <w:jc w:val="center"/>
        </w:trPr>
        <w:tc>
          <w:tcPr>
            <w:tcW w:w="3388"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rPr>
                <w:rFonts w:ascii="Arial" w:eastAsia="Calibri" w:hAnsi="Arial" w:cs="Arial"/>
                <w:sz w:val="24"/>
                <w:szCs w:val="24"/>
                <w:lang w:eastAsia="ar-SA"/>
              </w:rPr>
            </w:pPr>
            <w:r w:rsidRPr="00FF09F1">
              <w:rPr>
                <w:rFonts w:ascii="Arial" w:eastAsia="Calibri" w:hAnsi="Arial" w:cs="Arial"/>
                <w:sz w:val="24"/>
                <w:szCs w:val="24"/>
                <w:lang w:eastAsia="ar-SA"/>
              </w:rPr>
              <w:t>Colectare fără epurare</w:t>
            </w:r>
          </w:p>
        </w:tc>
        <w:tc>
          <w:tcPr>
            <w:tcW w:w="787"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836"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923"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869" w:type="dxa"/>
            <w:tcBorders>
              <w:top w:val="single" w:sz="4" w:space="0" w:color="000000"/>
              <w:left w:val="single" w:sz="4" w:space="0" w:color="000000"/>
              <w:bottom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w:t>
            </w:r>
          </w:p>
        </w:tc>
        <w:tc>
          <w:tcPr>
            <w:tcW w:w="82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7551D0" w:rsidRPr="00FF09F1" w:rsidRDefault="007551D0" w:rsidP="00DB2B5E">
            <w:pPr>
              <w:tabs>
                <w:tab w:val="center" w:pos="4680"/>
                <w:tab w:val="right" w:pos="9360"/>
              </w:tabs>
              <w:suppressAutoHyphens/>
              <w:spacing w:after="0" w:line="240" w:lineRule="auto"/>
              <w:jc w:val="center"/>
              <w:rPr>
                <w:rFonts w:ascii="Arial" w:eastAsia="Calibri" w:hAnsi="Arial" w:cs="Arial"/>
                <w:sz w:val="24"/>
                <w:szCs w:val="24"/>
                <w:lang w:eastAsia="ar-SA"/>
              </w:rPr>
            </w:pPr>
            <w:r w:rsidRPr="00FF09F1">
              <w:rPr>
                <w:rFonts w:ascii="Arial" w:eastAsia="Calibri" w:hAnsi="Arial" w:cs="Arial"/>
                <w:sz w:val="24"/>
                <w:szCs w:val="24"/>
                <w:lang w:eastAsia="ar-SA"/>
              </w:rPr>
              <w:t>-</w:t>
            </w:r>
          </w:p>
        </w:tc>
      </w:tr>
    </w:tbl>
    <w:p w:rsidR="007551D0" w:rsidRPr="009A1552" w:rsidRDefault="007551D0" w:rsidP="007551D0">
      <w:pPr>
        <w:rPr>
          <w:rFonts w:ascii="Arial" w:hAnsi="Arial" w:cs="Arial"/>
          <w:b/>
          <w:sz w:val="20"/>
          <w:szCs w:val="20"/>
        </w:rPr>
      </w:pPr>
      <w:r>
        <w:rPr>
          <w:rFonts w:ascii="Arial" w:hAnsi="Arial" w:cs="Arial"/>
          <w:b/>
          <w:sz w:val="20"/>
          <w:szCs w:val="20"/>
        </w:rPr>
        <w:t xml:space="preserve">                   </w:t>
      </w:r>
      <w:r w:rsidRPr="009A1552">
        <w:rPr>
          <w:rFonts w:ascii="Arial" w:hAnsi="Arial" w:cs="Arial"/>
          <w:b/>
          <w:sz w:val="20"/>
          <w:szCs w:val="20"/>
        </w:rPr>
        <w:t xml:space="preserve">Sursă date : Compania de Utilități Publice Dunărea </w:t>
      </w:r>
      <w:r w:rsidR="00217620">
        <w:rPr>
          <w:rFonts w:ascii="Arial" w:hAnsi="Arial" w:cs="Arial"/>
          <w:b/>
          <w:sz w:val="20"/>
          <w:szCs w:val="20"/>
        </w:rPr>
        <w:t>Brăila</w:t>
      </w:r>
      <w:r w:rsidRPr="009A1552">
        <w:rPr>
          <w:rFonts w:ascii="Arial" w:hAnsi="Arial" w:cs="Arial"/>
          <w:b/>
          <w:sz w:val="20"/>
          <w:szCs w:val="20"/>
        </w:rPr>
        <w:t xml:space="preserve"> SA</w:t>
      </w:r>
    </w:p>
    <w:p w:rsidR="007551D0" w:rsidRPr="004F0797" w:rsidRDefault="007551D0" w:rsidP="009209C1">
      <w:r w:rsidRPr="009209C1">
        <w:rPr>
          <w:rFonts w:ascii="Arial" w:eastAsia="Calibri" w:hAnsi="Arial" w:cs="Arial"/>
          <w:sz w:val="24"/>
          <w:szCs w:val="24"/>
          <w:lang w:eastAsia="ar-SA"/>
        </w:rPr>
        <w:t>Tabel 2.2.2 – 3</w:t>
      </w:r>
      <w:r>
        <w:rPr>
          <w:rFonts w:ascii="Arial" w:eastAsia="Calibri" w:hAnsi="Arial" w:cs="Arial"/>
          <w:b/>
          <w:sz w:val="24"/>
          <w:szCs w:val="24"/>
          <w:lang w:eastAsia="ar-SA"/>
        </w:rPr>
        <w:t xml:space="preserve"> </w:t>
      </w:r>
      <w:r w:rsidRPr="004161A1">
        <w:rPr>
          <w:rFonts w:ascii="Arial" w:hAnsi="Arial" w:cs="Arial"/>
          <w:sz w:val="24"/>
          <w:szCs w:val="24"/>
        </w:rPr>
        <w:t>Popula</w:t>
      </w:r>
      <w:r>
        <w:rPr>
          <w:rFonts w:ascii="Arial" w:hAnsi="Arial" w:cs="Arial"/>
          <w:sz w:val="24"/>
          <w:szCs w:val="24"/>
        </w:rPr>
        <w:t>ț</w:t>
      </w:r>
      <w:r w:rsidRPr="004161A1">
        <w:rPr>
          <w:rFonts w:ascii="Arial" w:hAnsi="Arial" w:cs="Arial"/>
          <w:sz w:val="24"/>
          <w:szCs w:val="24"/>
        </w:rPr>
        <w:t>ia conectat</w:t>
      </w:r>
      <w:r>
        <w:rPr>
          <w:rFonts w:ascii="Arial" w:hAnsi="Arial" w:cs="Arial"/>
          <w:sz w:val="24"/>
          <w:szCs w:val="24"/>
        </w:rPr>
        <w:t>ă</w:t>
      </w:r>
      <w:r w:rsidRPr="004161A1">
        <w:rPr>
          <w:rFonts w:ascii="Arial" w:hAnsi="Arial" w:cs="Arial"/>
          <w:sz w:val="24"/>
          <w:szCs w:val="24"/>
        </w:rPr>
        <w:t xml:space="preserve"> la sta</w:t>
      </w:r>
      <w:r>
        <w:rPr>
          <w:rFonts w:ascii="Arial" w:hAnsi="Arial" w:cs="Arial"/>
          <w:sz w:val="24"/>
          <w:szCs w:val="24"/>
        </w:rPr>
        <w:t>ț</w:t>
      </w:r>
      <w:r w:rsidRPr="004161A1">
        <w:rPr>
          <w:rFonts w:ascii="Arial" w:hAnsi="Arial" w:cs="Arial"/>
          <w:sz w:val="24"/>
          <w:szCs w:val="24"/>
        </w:rPr>
        <w:t>iile de epurare a apelor</w:t>
      </w:r>
      <w:r>
        <w:rPr>
          <w:rFonts w:ascii="Arial" w:hAnsi="Arial" w:cs="Arial"/>
          <w:sz w:val="24"/>
          <w:szCs w:val="24"/>
        </w:rPr>
        <w:t xml:space="preserve"> </w:t>
      </w:r>
      <w:r w:rsidRPr="004161A1">
        <w:rPr>
          <w:rFonts w:ascii="Arial" w:hAnsi="Arial" w:cs="Arial"/>
          <w:sz w:val="24"/>
          <w:szCs w:val="24"/>
        </w:rPr>
        <w:t>uzate</w:t>
      </w:r>
    </w:p>
    <w:tbl>
      <w:tblPr>
        <w:tblStyle w:val="TableGrid"/>
        <w:tblW w:w="7999" w:type="dxa"/>
        <w:jc w:val="center"/>
        <w:tblLook w:val="04A0"/>
      </w:tblPr>
      <w:tblGrid>
        <w:gridCol w:w="1670"/>
        <w:gridCol w:w="1017"/>
        <w:gridCol w:w="1018"/>
        <w:gridCol w:w="1019"/>
        <w:gridCol w:w="1019"/>
        <w:gridCol w:w="1017"/>
        <w:gridCol w:w="1017"/>
        <w:gridCol w:w="222"/>
      </w:tblGrid>
      <w:tr w:rsidR="007551D0" w:rsidRPr="004161A1" w:rsidTr="00DB2B5E">
        <w:trPr>
          <w:gridAfter w:val="1"/>
          <w:wAfter w:w="236" w:type="dxa"/>
          <w:jc w:val="center"/>
        </w:trPr>
        <w:tc>
          <w:tcPr>
            <w:tcW w:w="1472" w:type="dxa"/>
            <w:shd w:val="clear" w:color="auto" w:fill="B8CCE4" w:themeFill="accent1" w:themeFillTint="66"/>
          </w:tcPr>
          <w:p w:rsidR="007551D0" w:rsidRPr="004161A1" w:rsidRDefault="007551D0" w:rsidP="00DB2B5E">
            <w:pPr>
              <w:rPr>
                <w:rFonts w:ascii="Arial" w:hAnsi="Arial" w:cs="Arial"/>
                <w:sz w:val="24"/>
                <w:szCs w:val="24"/>
              </w:rPr>
            </w:pPr>
            <w:r w:rsidRPr="004161A1">
              <w:rPr>
                <w:rFonts w:ascii="Arial" w:hAnsi="Arial" w:cs="Arial"/>
                <w:sz w:val="24"/>
                <w:szCs w:val="24"/>
              </w:rPr>
              <w:t>Macroregiuni, regiuni de dezvoltare si jude</w:t>
            </w:r>
            <w:r>
              <w:rPr>
                <w:rFonts w:ascii="Arial" w:hAnsi="Arial" w:cs="Arial"/>
                <w:sz w:val="24"/>
                <w:szCs w:val="24"/>
              </w:rPr>
              <w:t>ț</w:t>
            </w:r>
            <w:r w:rsidRPr="004161A1">
              <w:rPr>
                <w:rFonts w:ascii="Arial" w:hAnsi="Arial" w:cs="Arial"/>
                <w:sz w:val="24"/>
                <w:szCs w:val="24"/>
              </w:rPr>
              <w:t>e</w:t>
            </w:r>
          </w:p>
        </w:tc>
        <w:tc>
          <w:tcPr>
            <w:tcW w:w="6291" w:type="dxa"/>
            <w:gridSpan w:val="6"/>
            <w:shd w:val="clear" w:color="auto" w:fill="B8CCE4" w:themeFill="accent1" w:themeFillTint="66"/>
          </w:tcPr>
          <w:p w:rsidR="007551D0" w:rsidRPr="004161A1" w:rsidRDefault="007551D0" w:rsidP="00DB2B5E">
            <w:pPr>
              <w:jc w:val="center"/>
              <w:rPr>
                <w:rFonts w:ascii="Arial" w:hAnsi="Arial" w:cs="Arial"/>
                <w:sz w:val="24"/>
                <w:szCs w:val="24"/>
              </w:rPr>
            </w:pPr>
            <w:r w:rsidRPr="004161A1">
              <w:rPr>
                <w:rFonts w:ascii="Arial" w:hAnsi="Arial" w:cs="Arial"/>
                <w:sz w:val="24"/>
                <w:szCs w:val="24"/>
              </w:rPr>
              <w:t>Popula</w:t>
            </w:r>
            <w:r>
              <w:rPr>
                <w:rFonts w:ascii="Arial" w:hAnsi="Arial" w:cs="Arial"/>
                <w:sz w:val="24"/>
                <w:szCs w:val="24"/>
              </w:rPr>
              <w:t>ț</w:t>
            </w:r>
            <w:r w:rsidRPr="004161A1">
              <w:rPr>
                <w:rFonts w:ascii="Arial" w:hAnsi="Arial" w:cs="Arial"/>
                <w:sz w:val="24"/>
                <w:szCs w:val="24"/>
              </w:rPr>
              <w:t>ia conectat</w:t>
            </w:r>
            <w:r>
              <w:rPr>
                <w:rFonts w:ascii="Arial" w:hAnsi="Arial" w:cs="Arial"/>
                <w:sz w:val="24"/>
                <w:szCs w:val="24"/>
              </w:rPr>
              <w:t>ă</w:t>
            </w:r>
            <w:r w:rsidRPr="004161A1">
              <w:rPr>
                <w:rFonts w:ascii="Arial" w:hAnsi="Arial" w:cs="Arial"/>
                <w:sz w:val="24"/>
                <w:szCs w:val="24"/>
              </w:rPr>
              <w:t xml:space="preserve"> la sta</w:t>
            </w:r>
            <w:r>
              <w:rPr>
                <w:rFonts w:ascii="Arial" w:hAnsi="Arial" w:cs="Arial"/>
                <w:sz w:val="24"/>
                <w:szCs w:val="24"/>
              </w:rPr>
              <w:t>ț</w:t>
            </w:r>
            <w:r w:rsidRPr="004161A1">
              <w:rPr>
                <w:rFonts w:ascii="Arial" w:hAnsi="Arial" w:cs="Arial"/>
                <w:sz w:val="24"/>
                <w:szCs w:val="24"/>
              </w:rPr>
              <w:t xml:space="preserve">iile de epurare a apelor </w:t>
            </w:r>
            <w:r>
              <w:rPr>
                <w:rFonts w:ascii="Arial" w:hAnsi="Arial" w:cs="Arial"/>
                <w:sz w:val="24"/>
                <w:szCs w:val="24"/>
              </w:rPr>
              <w:t xml:space="preserve">                    </w:t>
            </w:r>
            <w:r w:rsidRPr="004161A1">
              <w:rPr>
                <w:rFonts w:ascii="Arial" w:hAnsi="Arial" w:cs="Arial"/>
                <w:sz w:val="24"/>
                <w:szCs w:val="24"/>
              </w:rPr>
              <w:t>uzate</w:t>
            </w:r>
          </w:p>
          <w:p w:rsidR="007551D0" w:rsidRPr="004161A1" w:rsidRDefault="007551D0" w:rsidP="00DB2B5E">
            <w:pPr>
              <w:rPr>
                <w:rFonts w:ascii="Arial" w:hAnsi="Arial" w:cs="Arial"/>
                <w:sz w:val="24"/>
                <w:szCs w:val="24"/>
              </w:rPr>
            </w:pPr>
          </w:p>
          <w:p w:rsidR="007551D0" w:rsidRPr="004161A1" w:rsidRDefault="007551D0" w:rsidP="00DB2B5E">
            <w:pPr>
              <w:rPr>
                <w:rFonts w:ascii="Arial" w:hAnsi="Arial" w:cs="Arial"/>
                <w:sz w:val="24"/>
                <w:szCs w:val="24"/>
              </w:rPr>
            </w:pPr>
            <w:r>
              <w:rPr>
                <w:rFonts w:ascii="Arial" w:hAnsi="Arial" w:cs="Arial"/>
                <w:sz w:val="24"/>
                <w:szCs w:val="24"/>
              </w:rPr>
              <w:t xml:space="preserve">                       (</w:t>
            </w:r>
            <w:r w:rsidRPr="004161A1">
              <w:rPr>
                <w:rFonts w:ascii="Arial" w:hAnsi="Arial" w:cs="Arial"/>
                <w:sz w:val="24"/>
                <w:szCs w:val="24"/>
              </w:rPr>
              <w:t>Num</w:t>
            </w:r>
            <w:r>
              <w:rPr>
                <w:rFonts w:ascii="Arial" w:hAnsi="Arial" w:cs="Arial"/>
                <w:sz w:val="24"/>
                <w:szCs w:val="24"/>
              </w:rPr>
              <w:t>ă</w:t>
            </w:r>
            <w:r w:rsidRPr="004161A1">
              <w:rPr>
                <w:rFonts w:ascii="Arial" w:hAnsi="Arial" w:cs="Arial"/>
                <w:sz w:val="24"/>
                <w:szCs w:val="24"/>
              </w:rPr>
              <w:t>r persoane</w:t>
            </w:r>
            <w:r>
              <w:rPr>
                <w:rFonts w:ascii="Arial" w:hAnsi="Arial" w:cs="Arial"/>
                <w:sz w:val="24"/>
                <w:szCs w:val="24"/>
              </w:rPr>
              <w:t>)</w:t>
            </w:r>
          </w:p>
        </w:tc>
      </w:tr>
      <w:tr w:rsidR="007551D0" w:rsidRPr="004161A1" w:rsidTr="00DB2B5E">
        <w:trPr>
          <w:jc w:val="center"/>
        </w:trPr>
        <w:tc>
          <w:tcPr>
            <w:tcW w:w="1472" w:type="dxa"/>
            <w:shd w:val="clear" w:color="auto" w:fill="EAF1DD" w:themeFill="accent3" w:themeFillTint="33"/>
          </w:tcPr>
          <w:p w:rsidR="007551D0" w:rsidRPr="004161A1" w:rsidRDefault="007551D0" w:rsidP="00DB2B5E">
            <w:pPr>
              <w:rPr>
                <w:rFonts w:ascii="Arial" w:hAnsi="Arial" w:cs="Arial"/>
                <w:sz w:val="24"/>
                <w:szCs w:val="24"/>
              </w:rPr>
            </w:pPr>
          </w:p>
        </w:tc>
        <w:tc>
          <w:tcPr>
            <w:tcW w:w="996" w:type="dxa"/>
            <w:shd w:val="clear" w:color="auto" w:fill="EAF1DD" w:themeFill="accent3" w:themeFillTint="33"/>
          </w:tcPr>
          <w:p w:rsidR="007551D0" w:rsidRPr="005C1C76" w:rsidRDefault="007551D0" w:rsidP="00DB2B5E">
            <w:pPr>
              <w:rPr>
                <w:rFonts w:ascii="Arial" w:hAnsi="Arial" w:cs="Arial"/>
                <w:b/>
                <w:sz w:val="24"/>
                <w:szCs w:val="24"/>
              </w:rPr>
            </w:pPr>
            <w:r w:rsidRPr="005C1C76">
              <w:rPr>
                <w:rFonts w:ascii="Arial" w:hAnsi="Arial" w:cs="Arial"/>
                <w:b/>
                <w:sz w:val="24"/>
                <w:szCs w:val="24"/>
              </w:rPr>
              <w:t>2011</w:t>
            </w:r>
          </w:p>
        </w:tc>
        <w:tc>
          <w:tcPr>
            <w:tcW w:w="1107" w:type="dxa"/>
            <w:shd w:val="clear" w:color="auto" w:fill="EAF1DD" w:themeFill="accent3" w:themeFillTint="33"/>
          </w:tcPr>
          <w:p w:rsidR="007551D0" w:rsidRPr="005C1C76" w:rsidRDefault="007551D0" w:rsidP="00DB2B5E">
            <w:pPr>
              <w:rPr>
                <w:rFonts w:ascii="Arial" w:hAnsi="Arial" w:cs="Arial"/>
                <w:b/>
                <w:sz w:val="24"/>
                <w:szCs w:val="24"/>
              </w:rPr>
            </w:pPr>
            <w:r w:rsidRPr="005C1C76">
              <w:rPr>
                <w:rFonts w:ascii="Arial" w:hAnsi="Arial" w:cs="Arial"/>
                <w:b/>
                <w:sz w:val="24"/>
                <w:szCs w:val="24"/>
              </w:rPr>
              <w:t>2012</w:t>
            </w:r>
          </w:p>
        </w:tc>
        <w:tc>
          <w:tcPr>
            <w:tcW w:w="1107" w:type="dxa"/>
            <w:shd w:val="clear" w:color="auto" w:fill="EAF1DD" w:themeFill="accent3" w:themeFillTint="33"/>
          </w:tcPr>
          <w:p w:rsidR="007551D0" w:rsidRPr="005C1C76" w:rsidRDefault="007551D0" w:rsidP="00DB2B5E">
            <w:pPr>
              <w:rPr>
                <w:rFonts w:ascii="Arial" w:hAnsi="Arial" w:cs="Arial"/>
                <w:b/>
                <w:sz w:val="24"/>
                <w:szCs w:val="24"/>
              </w:rPr>
            </w:pPr>
            <w:r w:rsidRPr="005C1C76">
              <w:rPr>
                <w:rFonts w:ascii="Arial" w:hAnsi="Arial" w:cs="Arial"/>
                <w:b/>
                <w:sz w:val="24"/>
                <w:szCs w:val="24"/>
              </w:rPr>
              <w:t>2013</w:t>
            </w:r>
          </w:p>
        </w:tc>
        <w:tc>
          <w:tcPr>
            <w:tcW w:w="1107" w:type="dxa"/>
            <w:shd w:val="clear" w:color="auto" w:fill="EAF1DD" w:themeFill="accent3" w:themeFillTint="33"/>
          </w:tcPr>
          <w:p w:rsidR="007551D0" w:rsidRPr="005C1C76" w:rsidRDefault="007551D0" w:rsidP="00DB2B5E">
            <w:pPr>
              <w:rPr>
                <w:rFonts w:ascii="Arial" w:hAnsi="Arial" w:cs="Arial"/>
                <w:b/>
                <w:sz w:val="24"/>
                <w:szCs w:val="24"/>
              </w:rPr>
            </w:pPr>
            <w:r w:rsidRPr="005C1C76">
              <w:rPr>
                <w:rFonts w:ascii="Arial" w:hAnsi="Arial" w:cs="Arial"/>
                <w:b/>
                <w:sz w:val="24"/>
                <w:szCs w:val="24"/>
              </w:rPr>
              <w:t>2014</w:t>
            </w:r>
          </w:p>
        </w:tc>
        <w:tc>
          <w:tcPr>
            <w:tcW w:w="982" w:type="dxa"/>
            <w:shd w:val="clear" w:color="auto" w:fill="EAF1DD" w:themeFill="accent3" w:themeFillTint="33"/>
          </w:tcPr>
          <w:p w:rsidR="007551D0" w:rsidRPr="005C1C76" w:rsidRDefault="007551D0" w:rsidP="00DB2B5E">
            <w:pPr>
              <w:rPr>
                <w:rFonts w:ascii="Arial" w:hAnsi="Arial" w:cs="Arial"/>
                <w:b/>
                <w:sz w:val="24"/>
                <w:szCs w:val="24"/>
              </w:rPr>
            </w:pPr>
            <w:r w:rsidRPr="005C1C76">
              <w:rPr>
                <w:rFonts w:ascii="Arial" w:hAnsi="Arial" w:cs="Arial"/>
                <w:b/>
                <w:sz w:val="24"/>
                <w:szCs w:val="24"/>
              </w:rPr>
              <w:t>2015</w:t>
            </w:r>
          </w:p>
        </w:tc>
        <w:tc>
          <w:tcPr>
            <w:tcW w:w="992" w:type="dxa"/>
            <w:tcBorders>
              <w:right w:val="single" w:sz="4" w:space="0" w:color="auto"/>
            </w:tcBorders>
            <w:shd w:val="clear" w:color="auto" w:fill="EAF1DD" w:themeFill="accent3" w:themeFillTint="33"/>
          </w:tcPr>
          <w:p w:rsidR="007551D0" w:rsidRPr="005C1C76" w:rsidRDefault="007551D0" w:rsidP="00DB2B5E">
            <w:pPr>
              <w:rPr>
                <w:rFonts w:ascii="Arial" w:hAnsi="Arial" w:cs="Arial"/>
                <w:b/>
                <w:sz w:val="24"/>
                <w:szCs w:val="24"/>
              </w:rPr>
            </w:pPr>
            <w:r w:rsidRPr="005C1C76">
              <w:rPr>
                <w:rFonts w:ascii="Arial" w:hAnsi="Arial" w:cs="Arial"/>
                <w:b/>
                <w:sz w:val="24"/>
                <w:szCs w:val="24"/>
              </w:rPr>
              <w:t>2016</w:t>
            </w:r>
          </w:p>
        </w:tc>
        <w:tc>
          <w:tcPr>
            <w:tcW w:w="236" w:type="dxa"/>
            <w:vMerge w:val="restart"/>
            <w:tcBorders>
              <w:top w:val="nil"/>
              <w:left w:val="single" w:sz="4" w:space="0" w:color="auto"/>
              <w:bottom w:val="nil"/>
              <w:right w:val="nil"/>
            </w:tcBorders>
          </w:tcPr>
          <w:p w:rsidR="007551D0" w:rsidRPr="004161A1" w:rsidRDefault="007551D0" w:rsidP="00DB2B5E">
            <w:pPr>
              <w:rPr>
                <w:rFonts w:ascii="Arial" w:hAnsi="Arial" w:cs="Arial"/>
                <w:sz w:val="24"/>
                <w:szCs w:val="24"/>
              </w:rPr>
            </w:pPr>
          </w:p>
        </w:tc>
      </w:tr>
      <w:tr w:rsidR="007551D0" w:rsidRPr="004161A1" w:rsidTr="00DB2B5E">
        <w:trPr>
          <w:trHeight w:val="756"/>
          <w:jc w:val="center"/>
        </w:trPr>
        <w:tc>
          <w:tcPr>
            <w:tcW w:w="1472" w:type="dxa"/>
            <w:shd w:val="clear" w:color="auto" w:fill="EAF1DD" w:themeFill="accent3" w:themeFillTint="33"/>
          </w:tcPr>
          <w:p w:rsidR="007551D0" w:rsidRPr="004161A1" w:rsidRDefault="00217620" w:rsidP="00DB2B5E">
            <w:pPr>
              <w:rPr>
                <w:rFonts w:ascii="Arial" w:hAnsi="Arial" w:cs="Arial"/>
                <w:sz w:val="24"/>
                <w:szCs w:val="24"/>
              </w:rPr>
            </w:pPr>
            <w:r>
              <w:rPr>
                <w:rFonts w:ascii="Arial" w:hAnsi="Arial" w:cs="Arial"/>
                <w:sz w:val="24"/>
                <w:szCs w:val="24"/>
              </w:rPr>
              <w:t>Brăila</w:t>
            </w:r>
          </w:p>
        </w:tc>
        <w:tc>
          <w:tcPr>
            <w:tcW w:w="996" w:type="dxa"/>
            <w:shd w:val="clear" w:color="auto" w:fill="EAF1DD" w:themeFill="accent3" w:themeFillTint="33"/>
            <w:vAlign w:val="center"/>
          </w:tcPr>
          <w:p w:rsidR="007551D0" w:rsidRPr="004161A1" w:rsidRDefault="007551D0" w:rsidP="00DB2B5E">
            <w:pPr>
              <w:jc w:val="right"/>
              <w:rPr>
                <w:rFonts w:ascii="Arial" w:hAnsi="Arial" w:cs="Arial"/>
                <w:sz w:val="24"/>
                <w:szCs w:val="24"/>
              </w:rPr>
            </w:pPr>
            <w:r w:rsidRPr="004161A1">
              <w:rPr>
                <w:rFonts w:ascii="Arial" w:hAnsi="Arial" w:cs="Arial"/>
                <w:sz w:val="24"/>
                <w:szCs w:val="24"/>
              </w:rPr>
              <w:t>146938</w:t>
            </w:r>
          </w:p>
        </w:tc>
        <w:tc>
          <w:tcPr>
            <w:tcW w:w="1107" w:type="dxa"/>
            <w:shd w:val="clear" w:color="auto" w:fill="EAF1DD" w:themeFill="accent3" w:themeFillTint="33"/>
            <w:vAlign w:val="center"/>
          </w:tcPr>
          <w:p w:rsidR="007551D0" w:rsidRPr="004161A1" w:rsidRDefault="007551D0" w:rsidP="00DB2B5E">
            <w:pPr>
              <w:jc w:val="right"/>
              <w:rPr>
                <w:rFonts w:ascii="Arial" w:hAnsi="Arial" w:cs="Arial"/>
                <w:sz w:val="24"/>
                <w:szCs w:val="24"/>
              </w:rPr>
            </w:pPr>
            <w:r w:rsidRPr="004161A1">
              <w:rPr>
                <w:rFonts w:ascii="Arial" w:hAnsi="Arial" w:cs="Arial"/>
                <w:sz w:val="24"/>
                <w:szCs w:val="24"/>
              </w:rPr>
              <w:t>148747</w:t>
            </w:r>
          </w:p>
        </w:tc>
        <w:tc>
          <w:tcPr>
            <w:tcW w:w="1107" w:type="dxa"/>
            <w:shd w:val="clear" w:color="auto" w:fill="EAF1DD" w:themeFill="accent3" w:themeFillTint="33"/>
            <w:vAlign w:val="center"/>
          </w:tcPr>
          <w:p w:rsidR="007551D0" w:rsidRPr="004161A1" w:rsidRDefault="007551D0" w:rsidP="00DB2B5E">
            <w:pPr>
              <w:jc w:val="right"/>
              <w:rPr>
                <w:rFonts w:ascii="Arial" w:hAnsi="Arial" w:cs="Arial"/>
                <w:sz w:val="24"/>
                <w:szCs w:val="24"/>
              </w:rPr>
            </w:pPr>
            <w:r w:rsidRPr="004161A1">
              <w:rPr>
                <w:rFonts w:ascii="Arial" w:hAnsi="Arial" w:cs="Arial"/>
                <w:sz w:val="24"/>
                <w:szCs w:val="24"/>
              </w:rPr>
              <w:t>154610</w:t>
            </w:r>
          </w:p>
        </w:tc>
        <w:tc>
          <w:tcPr>
            <w:tcW w:w="1107" w:type="dxa"/>
            <w:shd w:val="clear" w:color="auto" w:fill="EAF1DD" w:themeFill="accent3" w:themeFillTint="33"/>
            <w:vAlign w:val="center"/>
          </w:tcPr>
          <w:p w:rsidR="007551D0" w:rsidRPr="004161A1" w:rsidRDefault="007551D0" w:rsidP="00DB2B5E">
            <w:pPr>
              <w:jc w:val="right"/>
              <w:rPr>
                <w:rFonts w:ascii="Arial" w:hAnsi="Arial" w:cs="Arial"/>
                <w:sz w:val="24"/>
                <w:szCs w:val="24"/>
              </w:rPr>
            </w:pPr>
            <w:r w:rsidRPr="004161A1">
              <w:rPr>
                <w:rFonts w:ascii="Arial" w:hAnsi="Arial" w:cs="Arial"/>
                <w:sz w:val="24"/>
                <w:szCs w:val="24"/>
              </w:rPr>
              <w:t>157770</w:t>
            </w:r>
          </w:p>
        </w:tc>
        <w:tc>
          <w:tcPr>
            <w:tcW w:w="982" w:type="dxa"/>
            <w:shd w:val="clear" w:color="auto" w:fill="EAF1DD" w:themeFill="accent3" w:themeFillTint="33"/>
            <w:vAlign w:val="center"/>
          </w:tcPr>
          <w:p w:rsidR="007551D0" w:rsidRPr="004161A1" w:rsidRDefault="007551D0" w:rsidP="00DB2B5E">
            <w:pPr>
              <w:jc w:val="right"/>
              <w:rPr>
                <w:rFonts w:ascii="Arial" w:hAnsi="Arial" w:cs="Arial"/>
                <w:sz w:val="24"/>
                <w:szCs w:val="24"/>
              </w:rPr>
            </w:pPr>
            <w:r w:rsidRPr="004161A1">
              <w:rPr>
                <w:rFonts w:ascii="Arial" w:hAnsi="Arial" w:cs="Arial"/>
                <w:sz w:val="24"/>
                <w:szCs w:val="24"/>
              </w:rPr>
              <w:t>160634</w:t>
            </w:r>
          </w:p>
        </w:tc>
        <w:tc>
          <w:tcPr>
            <w:tcW w:w="992" w:type="dxa"/>
            <w:tcBorders>
              <w:right w:val="single" w:sz="4" w:space="0" w:color="auto"/>
            </w:tcBorders>
            <w:shd w:val="clear" w:color="auto" w:fill="EAF1DD" w:themeFill="accent3" w:themeFillTint="33"/>
            <w:vAlign w:val="center"/>
          </w:tcPr>
          <w:p w:rsidR="007551D0" w:rsidRPr="004161A1" w:rsidRDefault="007551D0" w:rsidP="00DB2B5E">
            <w:pPr>
              <w:jc w:val="right"/>
              <w:rPr>
                <w:rFonts w:ascii="Arial" w:hAnsi="Arial" w:cs="Arial"/>
                <w:sz w:val="24"/>
                <w:szCs w:val="24"/>
              </w:rPr>
            </w:pPr>
            <w:r w:rsidRPr="004161A1">
              <w:rPr>
                <w:rFonts w:ascii="Arial" w:hAnsi="Arial" w:cs="Arial"/>
                <w:sz w:val="24"/>
                <w:szCs w:val="24"/>
              </w:rPr>
              <w:t>167805</w:t>
            </w:r>
          </w:p>
        </w:tc>
        <w:tc>
          <w:tcPr>
            <w:tcW w:w="236" w:type="dxa"/>
            <w:vMerge/>
            <w:tcBorders>
              <w:top w:val="nil"/>
              <w:left w:val="single" w:sz="4" w:space="0" w:color="auto"/>
              <w:bottom w:val="nil"/>
              <w:right w:val="nil"/>
            </w:tcBorders>
            <w:vAlign w:val="center"/>
          </w:tcPr>
          <w:p w:rsidR="007551D0" w:rsidRPr="004161A1" w:rsidRDefault="007551D0" w:rsidP="00DB2B5E">
            <w:pPr>
              <w:jc w:val="right"/>
              <w:rPr>
                <w:rFonts w:ascii="Arial" w:hAnsi="Arial" w:cs="Arial"/>
                <w:sz w:val="24"/>
                <w:szCs w:val="24"/>
              </w:rPr>
            </w:pPr>
          </w:p>
        </w:tc>
      </w:tr>
    </w:tbl>
    <w:p w:rsidR="007551D0" w:rsidRPr="009209C1" w:rsidRDefault="007551D0" w:rsidP="007551D0">
      <w:pPr>
        <w:ind w:right="-567"/>
        <w:rPr>
          <w:rFonts w:ascii="Arial" w:hAnsi="Arial" w:cs="Arial"/>
          <w:b/>
        </w:rPr>
      </w:pPr>
      <w:r w:rsidRPr="009209C1">
        <w:rPr>
          <w:rFonts w:ascii="Arial" w:hAnsi="Arial" w:cs="Arial"/>
          <w:b/>
        </w:rPr>
        <w:t xml:space="preserve">                    Sursa : INSSE – indicatori dezvoltare durabiă</w:t>
      </w:r>
    </w:p>
    <w:p w:rsidR="007551D0" w:rsidRDefault="007551D0" w:rsidP="007551D0"/>
    <w:p w:rsidR="007551D0" w:rsidRDefault="007551D0" w:rsidP="007551D0"/>
    <w:p w:rsidR="007551D0" w:rsidRDefault="007551D0" w:rsidP="007551D0">
      <w:pPr>
        <w:jc w:val="center"/>
        <w:rPr>
          <w:rFonts w:ascii="Arial" w:hAnsi="Arial" w:cs="Arial"/>
          <w:b/>
          <w:sz w:val="24"/>
          <w:szCs w:val="24"/>
        </w:rPr>
      </w:pPr>
      <w:r>
        <w:rPr>
          <w:rFonts w:ascii="Arial" w:hAnsi="Arial" w:cs="Arial"/>
          <w:b/>
          <w:noProof/>
          <w:sz w:val="24"/>
          <w:szCs w:val="24"/>
          <w:lang w:eastAsia="ro-RO"/>
        </w:rPr>
        <w:lastRenderedPageBreak/>
        <w:drawing>
          <wp:inline distT="0" distB="0" distL="0" distR="0">
            <wp:extent cx="4210050" cy="2371725"/>
            <wp:effectExtent l="19050" t="0" r="19050" b="0"/>
            <wp:docPr id="20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209C1" w:rsidRDefault="009209C1" w:rsidP="009209C1">
      <w:pPr>
        <w:ind w:left="708"/>
        <w:rPr>
          <w:rFonts w:ascii="Arial" w:hAnsi="Arial" w:cs="Arial"/>
          <w:sz w:val="24"/>
          <w:szCs w:val="24"/>
        </w:rPr>
      </w:pPr>
      <w:r w:rsidRPr="009209C1">
        <w:rPr>
          <w:rFonts w:ascii="Arial" w:hAnsi="Arial" w:cs="Arial"/>
          <w:sz w:val="24"/>
          <w:szCs w:val="24"/>
        </w:rPr>
        <w:t>Fig 2.2.2 - 1 Evoluția conectării populației la stațiile de epurare a apelor uzate în perioada 2011 – 2016</w:t>
      </w:r>
    </w:p>
    <w:p w:rsidR="007551D0" w:rsidRPr="009209C1" w:rsidRDefault="007551D0" w:rsidP="009209C1">
      <w:pPr>
        <w:ind w:left="708"/>
        <w:rPr>
          <w:rFonts w:ascii="Arial" w:hAnsi="Arial" w:cs="Arial"/>
          <w:sz w:val="24"/>
          <w:szCs w:val="24"/>
        </w:rPr>
      </w:pPr>
      <w:r>
        <w:rPr>
          <w:rFonts w:ascii="Arial" w:hAnsi="Arial" w:cs="Arial"/>
          <w:b/>
          <w:sz w:val="24"/>
          <w:szCs w:val="24"/>
        </w:rPr>
        <w:t xml:space="preserve">                </w:t>
      </w:r>
      <w:r w:rsidRPr="00CF0D7C">
        <w:rPr>
          <w:rFonts w:ascii="Arial" w:hAnsi="Arial" w:cs="Arial"/>
          <w:b/>
          <w:sz w:val="24"/>
          <w:szCs w:val="24"/>
        </w:rPr>
        <w:t>Volum ape uzate evacuate</w:t>
      </w:r>
      <w:r>
        <w:rPr>
          <w:rFonts w:ascii="Arial" w:hAnsi="Arial" w:cs="Arial"/>
          <w:b/>
          <w:sz w:val="24"/>
          <w:szCs w:val="24"/>
        </w:rPr>
        <w:t xml:space="preserve"> în perioada în județul </w:t>
      </w:r>
      <w:r w:rsidR="00217620">
        <w:rPr>
          <w:rFonts w:ascii="Arial" w:hAnsi="Arial" w:cs="Arial"/>
          <w:b/>
          <w:sz w:val="24"/>
          <w:szCs w:val="24"/>
        </w:rPr>
        <w:t>Brăila</w:t>
      </w:r>
      <w:r>
        <w:rPr>
          <w:rFonts w:ascii="Arial" w:hAnsi="Arial" w:cs="Arial"/>
          <w:b/>
          <w:sz w:val="24"/>
          <w:szCs w:val="24"/>
        </w:rPr>
        <w:t xml:space="preserve"> 2010 - 2015</w:t>
      </w:r>
    </w:p>
    <w:p w:rsidR="007551D0" w:rsidRPr="00FE4042" w:rsidRDefault="007551D0" w:rsidP="007551D0">
      <w:pPr>
        <w:rPr>
          <w:rFonts w:ascii="Arial" w:hAnsi="Arial" w:cs="Arial"/>
          <w:b/>
        </w:rPr>
      </w:pPr>
      <w:r>
        <w:rPr>
          <w:rFonts w:ascii="Arial" w:eastAsia="Calibri" w:hAnsi="Arial" w:cs="Arial"/>
          <w:b/>
          <w:sz w:val="24"/>
          <w:szCs w:val="24"/>
          <w:lang w:eastAsia="ar-SA"/>
        </w:rPr>
        <w:t xml:space="preserve">           </w:t>
      </w:r>
      <w:r w:rsidRPr="009209C1">
        <w:rPr>
          <w:rFonts w:ascii="Arial" w:eastAsia="Calibri" w:hAnsi="Arial" w:cs="Arial"/>
          <w:sz w:val="24"/>
          <w:szCs w:val="24"/>
          <w:lang w:eastAsia="ar-SA"/>
        </w:rPr>
        <w:t>Tabel 2.2.2 - 4 -</w:t>
      </w:r>
      <w:r>
        <w:rPr>
          <w:rFonts w:ascii="Arial" w:eastAsia="Calibri" w:hAnsi="Arial" w:cs="Arial"/>
          <w:b/>
          <w:sz w:val="24"/>
          <w:szCs w:val="24"/>
          <w:lang w:eastAsia="ar-SA"/>
        </w:rPr>
        <w:t xml:space="preserve"> </w:t>
      </w:r>
      <w:r w:rsidRPr="001056D4">
        <w:rPr>
          <w:rFonts w:ascii="Arial" w:hAnsi="Arial" w:cs="Arial"/>
          <w:sz w:val="24"/>
          <w:szCs w:val="24"/>
        </w:rPr>
        <w:t>Ape uzate evacuate</w:t>
      </w:r>
    </w:p>
    <w:tbl>
      <w:tblPr>
        <w:tblStyle w:val="TableGrid"/>
        <w:tblW w:w="7715" w:type="dxa"/>
        <w:jc w:val="center"/>
        <w:tblLook w:val="04A0"/>
      </w:tblPr>
      <w:tblGrid>
        <w:gridCol w:w="1670"/>
        <w:gridCol w:w="960"/>
        <w:gridCol w:w="896"/>
        <w:gridCol w:w="959"/>
        <w:gridCol w:w="884"/>
        <w:gridCol w:w="1057"/>
        <w:gridCol w:w="1057"/>
        <w:gridCol w:w="232"/>
      </w:tblGrid>
      <w:tr w:rsidR="007551D0" w:rsidRPr="001056D4" w:rsidTr="00DB2B5E">
        <w:trPr>
          <w:gridAfter w:val="1"/>
          <w:wAfter w:w="236" w:type="dxa"/>
          <w:jc w:val="center"/>
        </w:trPr>
        <w:tc>
          <w:tcPr>
            <w:tcW w:w="1472" w:type="dxa"/>
            <w:shd w:val="clear" w:color="auto" w:fill="FFC000"/>
          </w:tcPr>
          <w:p w:rsidR="007551D0" w:rsidRPr="001056D4" w:rsidRDefault="007551D0" w:rsidP="00DB2B5E">
            <w:pPr>
              <w:rPr>
                <w:rFonts w:ascii="Arial" w:hAnsi="Arial" w:cs="Arial"/>
                <w:sz w:val="24"/>
                <w:szCs w:val="24"/>
              </w:rPr>
            </w:pPr>
            <w:r w:rsidRPr="001056D4">
              <w:rPr>
                <w:rFonts w:ascii="Arial" w:hAnsi="Arial" w:cs="Arial"/>
                <w:sz w:val="24"/>
                <w:szCs w:val="24"/>
              </w:rPr>
              <w:t>Macroregiuni, regiuni de dezvoltare si judete</w:t>
            </w:r>
          </w:p>
        </w:tc>
        <w:tc>
          <w:tcPr>
            <w:tcW w:w="6007" w:type="dxa"/>
            <w:gridSpan w:val="6"/>
            <w:shd w:val="clear" w:color="auto" w:fill="FFC000"/>
          </w:tcPr>
          <w:p w:rsidR="007551D0" w:rsidRPr="001056D4" w:rsidRDefault="007551D0" w:rsidP="00DB2B5E">
            <w:pPr>
              <w:jc w:val="center"/>
              <w:rPr>
                <w:rFonts w:ascii="Arial" w:hAnsi="Arial" w:cs="Arial"/>
                <w:b/>
                <w:sz w:val="24"/>
                <w:szCs w:val="24"/>
              </w:rPr>
            </w:pPr>
            <w:r w:rsidRPr="001056D4">
              <w:rPr>
                <w:rFonts w:ascii="Arial" w:hAnsi="Arial" w:cs="Arial"/>
                <w:b/>
                <w:sz w:val="24"/>
                <w:szCs w:val="24"/>
              </w:rPr>
              <w:t>Ape uzate evacuate</w:t>
            </w:r>
          </w:p>
          <w:p w:rsidR="007551D0" w:rsidRPr="001056D4" w:rsidRDefault="007551D0" w:rsidP="00DB2B5E">
            <w:pPr>
              <w:jc w:val="center"/>
              <w:rPr>
                <w:rFonts w:ascii="Arial" w:hAnsi="Arial" w:cs="Arial"/>
                <w:b/>
                <w:sz w:val="24"/>
                <w:szCs w:val="24"/>
              </w:rPr>
            </w:pPr>
          </w:p>
          <w:p w:rsidR="007551D0" w:rsidRPr="001056D4" w:rsidRDefault="007551D0" w:rsidP="00DB2B5E">
            <w:pPr>
              <w:jc w:val="center"/>
              <w:rPr>
                <w:rFonts w:ascii="Arial" w:hAnsi="Arial" w:cs="Arial"/>
                <w:sz w:val="24"/>
                <w:szCs w:val="24"/>
              </w:rPr>
            </w:pPr>
            <w:r w:rsidRPr="001056D4">
              <w:rPr>
                <w:rFonts w:ascii="Arial" w:hAnsi="Arial" w:cs="Arial"/>
                <w:b/>
                <w:sz w:val="24"/>
                <w:szCs w:val="24"/>
              </w:rPr>
              <w:t>mii m</w:t>
            </w:r>
            <w:r w:rsidRPr="001056D4">
              <w:rPr>
                <w:rFonts w:ascii="Arial" w:hAnsi="Arial" w:cs="Arial"/>
                <w:b/>
                <w:sz w:val="24"/>
                <w:szCs w:val="24"/>
                <w:vertAlign w:val="superscript"/>
              </w:rPr>
              <w:t>3</w:t>
            </w:r>
            <w:r w:rsidRPr="001056D4">
              <w:rPr>
                <w:rFonts w:ascii="Arial" w:hAnsi="Arial" w:cs="Arial"/>
                <w:b/>
                <w:sz w:val="24"/>
                <w:szCs w:val="24"/>
              </w:rPr>
              <w:t>/an</w:t>
            </w:r>
          </w:p>
        </w:tc>
      </w:tr>
      <w:tr w:rsidR="007551D0" w:rsidRPr="001056D4" w:rsidTr="00DB2B5E">
        <w:trPr>
          <w:jc w:val="center"/>
        </w:trPr>
        <w:tc>
          <w:tcPr>
            <w:tcW w:w="1472" w:type="dxa"/>
            <w:shd w:val="clear" w:color="auto" w:fill="FBD4B4" w:themeFill="accent6" w:themeFillTint="66"/>
          </w:tcPr>
          <w:p w:rsidR="007551D0" w:rsidRPr="001056D4" w:rsidRDefault="007551D0" w:rsidP="00DB2B5E">
            <w:pPr>
              <w:rPr>
                <w:rFonts w:ascii="Arial" w:hAnsi="Arial" w:cs="Arial"/>
                <w:sz w:val="24"/>
                <w:szCs w:val="24"/>
              </w:rPr>
            </w:pPr>
          </w:p>
        </w:tc>
        <w:tc>
          <w:tcPr>
            <w:tcW w:w="996" w:type="dxa"/>
            <w:shd w:val="clear" w:color="auto" w:fill="FBD4B4" w:themeFill="accent6" w:themeFillTint="66"/>
          </w:tcPr>
          <w:p w:rsidR="007551D0" w:rsidRPr="001056D4" w:rsidRDefault="007551D0" w:rsidP="00A54188">
            <w:pPr>
              <w:jc w:val="center"/>
              <w:rPr>
                <w:rFonts w:ascii="Arial" w:hAnsi="Arial" w:cs="Arial"/>
                <w:b/>
                <w:sz w:val="24"/>
                <w:szCs w:val="24"/>
              </w:rPr>
            </w:pPr>
            <w:r w:rsidRPr="001056D4">
              <w:rPr>
                <w:rFonts w:ascii="Arial" w:hAnsi="Arial" w:cs="Arial"/>
                <w:b/>
                <w:sz w:val="24"/>
                <w:szCs w:val="24"/>
              </w:rPr>
              <w:t>2010</w:t>
            </w:r>
          </w:p>
        </w:tc>
        <w:tc>
          <w:tcPr>
            <w:tcW w:w="901" w:type="dxa"/>
            <w:shd w:val="clear" w:color="auto" w:fill="FBD4B4" w:themeFill="accent6" w:themeFillTint="66"/>
          </w:tcPr>
          <w:p w:rsidR="007551D0" w:rsidRPr="001056D4" w:rsidRDefault="007551D0" w:rsidP="00A54188">
            <w:pPr>
              <w:jc w:val="center"/>
              <w:rPr>
                <w:rFonts w:ascii="Arial" w:hAnsi="Arial" w:cs="Arial"/>
                <w:b/>
                <w:sz w:val="24"/>
                <w:szCs w:val="24"/>
              </w:rPr>
            </w:pPr>
            <w:r w:rsidRPr="001056D4">
              <w:rPr>
                <w:rFonts w:ascii="Arial" w:hAnsi="Arial" w:cs="Arial"/>
                <w:b/>
                <w:sz w:val="24"/>
                <w:szCs w:val="24"/>
              </w:rPr>
              <w:t>2011</w:t>
            </w:r>
          </w:p>
        </w:tc>
        <w:tc>
          <w:tcPr>
            <w:tcW w:w="992" w:type="dxa"/>
            <w:shd w:val="clear" w:color="auto" w:fill="FBD4B4" w:themeFill="accent6" w:themeFillTint="66"/>
          </w:tcPr>
          <w:p w:rsidR="007551D0" w:rsidRPr="001056D4" w:rsidRDefault="007551D0" w:rsidP="00A54188">
            <w:pPr>
              <w:jc w:val="center"/>
              <w:rPr>
                <w:rFonts w:ascii="Arial" w:hAnsi="Arial" w:cs="Arial"/>
                <w:b/>
                <w:sz w:val="24"/>
                <w:szCs w:val="24"/>
              </w:rPr>
            </w:pPr>
            <w:r w:rsidRPr="001056D4">
              <w:rPr>
                <w:rFonts w:ascii="Arial" w:hAnsi="Arial" w:cs="Arial"/>
                <w:b/>
                <w:sz w:val="24"/>
                <w:szCs w:val="24"/>
              </w:rPr>
              <w:t>2012</w:t>
            </w:r>
          </w:p>
        </w:tc>
        <w:tc>
          <w:tcPr>
            <w:tcW w:w="850" w:type="dxa"/>
            <w:shd w:val="clear" w:color="auto" w:fill="FBD4B4" w:themeFill="accent6" w:themeFillTint="66"/>
          </w:tcPr>
          <w:p w:rsidR="007551D0" w:rsidRPr="001056D4" w:rsidRDefault="007551D0" w:rsidP="00A54188">
            <w:pPr>
              <w:jc w:val="center"/>
              <w:rPr>
                <w:rFonts w:ascii="Arial" w:hAnsi="Arial" w:cs="Arial"/>
                <w:b/>
                <w:sz w:val="24"/>
                <w:szCs w:val="24"/>
              </w:rPr>
            </w:pPr>
            <w:r w:rsidRPr="001056D4">
              <w:rPr>
                <w:rFonts w:ascii="Arial" w:hAnsi="Arial" w:cs="Arial"/>
                <w:b/>
                <w:sz w:val="24"/>
                <w:szCs w:val="24"/>
              </w:rPr>
              <w:t>2013</w:t>
            </w:r>
          </w:p>
        </w:tc>
        <w:tc>
          <w:tcPr>
            <w:tcW w:w="1134" w:type="dxa"/>
            <w:shd w:val="clear" w:color="auto" w:fill="FBD4B4" w:themeFill="accent6" w:themeFillTint="66"/>
          </w:tcPr>
          <w:p w:rsidR="007551D0" w:rsidRPr="001056D4" w:rsidRDefault="007551D0" w:rsidP="00A54188">
            <w:pPr>
              <w:jc w:val="center"/>
              <w:rPr>
                <w:rFonts w:ascii="Arial" w:hAnsi="Arial" w:cs="Arial"/>
                <w:b/>
                <w:sz w:val="24"/>
                <w:szCs w:val="24"/>
              </w:rPr>
            </w:pPr>
            <w:r w:rsidRPr="001056D4">
              <w:rPr>
                <w:rFonts w:ascii="Arial" w:hAnsi="Arial" w:cs="Arial"/>
                <w:b/>
                <w:sz w:val="24"/>
                <w:szCs w:val="24"/>
              </w:rPr>
              <w:t>2014</w:t>
            </w:r>
          </w:p>
        </w:tc>
        <w:tc>
          <w:tcPr>
            <w:tcW w:w="1134" w:type="dxa"/>
            <w:tcBorders>
              <w:bottom w:val="single" w:sz="4" w:space="0" w:color="auto"/>
              <w:right w:val="single" w:sz="4" w:space="0" w:color="auto"/>
            </w:tcBorders>
            <w:shd w:val="clear" w:color="auto" w:fill="FBD4B4" w:themeFill="accent6" w:themeFillTint="66"/>
          </w:tcPr>
          <w:p w:rsidR="007551D0" w:rsidRPr="001056D4" w:rsidRDefault="007551D0" w:rsidP="00A54188">
            <w:pPr>
              <w:jc w:val="center"/>
              <w:rPr>
                <w:rFonts w:ascii="Arial" w:hAnsi="Arial" w:cs="Arial"/>
                <w:b/>
                <w:sz w:val="24"/>
                <w:szCs w:val="24"/>
              </w:rPr>
            </w:pPr>
            <w:r w:rsidRPr="001056D4">
              <w:rPr>
                <w:rFonts w:ascii="Arial" w:hAnsi="Arial" w:cs="Arial"/>
                <w:b/>
                <w:sz w:val="24"/>
                <w:szCs w:val="24"/>
              </w:rPr>
              <w:t>2015</w:t>
            </w:r>
          </w:p>
        </w:tc>
        <w:tc>
          <w:tcPr>
            <w:tcW w:w="236" w:type="dxa"/>
            <w:vMerge w:val="restart"/>
            <w:tcBorders>
              <w:top w:val="nil"/>
              <w:left w:val="single" w:sz="4" w:space="0" w:color="auto"/>
              <w:bottom w:val="nil"/>
              <w:right w:val="nil"/>
            </w:tcBorders>
          </w:tcPr>
          <w:p w:rsidR="007551D0" w:rsidRPr="001056D4" w:rsidRDefault="007551D0" w:rsidP="00DB2B5E">
            <w:pPr>
              <w:rPr>
                <w:rFonts w:ascii="Arial" w:hAnsi="Arial" w:cs="Arial"/>
                <w:sz w:val="24"/>
                <w:szCs w:val="24"/>
              </w:rPr>
            </w:pPr>
          </w:p>
        </w:tc>
      </w:tr>
      <w:tr w:rsidR="007551D0" w:rsidRPr="001056D4" w:rsidTr="00A54188">
        <w:trPr>
          <w:trHeight w:val="393"/>
          <w:jc w:val="center"/>
        </w:trPr>
        <w:tc>
          <w:tcPr>
            <w:tcW w:w="1472" w:type="dxa"/>
            <w:shd w:val="clear" w:color="auto" w:fill="FBD4B4" w:themeFill="accent6" w:themeFillTint="66"/>
          </w:tcPr>
          <w:p w:rsidR="007551D0" w:rsidRPr="001056D4" w:rsidRDefault="00217620" w:rsidP="00DB2B5E">
            <w:pPr>
              <w:rPr>
                <w:rFonts w:ascii="Arial" w:hAnsi="Arial" w:cs="Arial"/>
                <w:sz w:val="24"/>
                <w:szCs w:val="24"/>
              </w:rPr>
            </w:pPr>
            <w:r>
              <w:rPr>
                <w:rFonts w:ascii="Arial" w:hAnsi="Arial" w:cs="Arial"/>
                <w:sz w:val="24"/>
                <w:szCs w:val="24"/>
              </w:rPr>
              <w:t>Brăila</w:t>
            </w:r>
          </w:p>
        </w:tc>
        <w:tc>
          <w:tcPr>
            <w:tcW w:w="996" w:type="dxa"/>
            <w:shd w:val="clear" w:color="auto" w:fill="FBD4B4" w:themeFill="accent6" w:themeFillTint="66"/>
            <w:vAlign w:val="center"/>
          </w:tcPr>
          <w:p w:rsidR="007551D0" w:rsidRPr="001056D4" w:rsidRDefault="007551D0" w:rsidP="00A54188">
            <w:pPr>
              <w:jc w:val="center"/>
              <w:rPr>
                <w:rFonts w:ascii="Arial" w:hAnsi="Arial" w:cs="Arial"/>
                <w:sz w:val="24"/>
                <w:szCs w:val="24"/>
              </w:rPr>
            </w:pPr>
            <w:r w:rsidRPr="001056D4">
              <w:rPr>
                <w:rFonts w:ascii="Arial" w:hAnsi="Arial" w:cs="Arial"/>
                <w:sz w:val="24"/>
                <w:szCs w:val="24"/>
              </w:rPr>
              <w:t>13246</w:t>
            </w:r>
          </w:p>
        </w:tc>
        <w:tc>
          <w:tcPr>
            <w:tcW w:w="901" w:type="dxa"/>
            <w:shd w:val="clear" w:color="auto" w:fill="FBD4B4" w:themeFill="accent6" w:themeFillTint="66"/>
            <w:vAlign w:val="center"/>
          </w:tcPr>
          <w:p w:rsidR="007551D0" w:rsidRPr="001056D4" w:rsidRDefault="007551D0" w:rsidP="00A54188">
            <w:pPr>
              <w:jc w:val="center"/>
              <w:rPr>
                <w:rFonts w:ascii="Arial" w:hAnsi="Arial" w:cs="Arial"/>
                <w:sz w:val="24"/>
                <w:szCs w:val="24"/>
              </w:rPr>
            </w:pPr>
            <w:r w:rsidRPr="001056D4">
              <w:rPr>
                <w:rFonts w:ascii="Arial" w:hAnsi="Arial" w:cs="Arial"/>
                <w:sz w:val="24"/>
                <w:szCs w:val="24"/>
              </w:rPr>
              <w:t>14149</w:t>
            </w:r>
          </w:p>
        </w:tc>
        <w:tc>
          <w:tcPr>
            <w:tcW w:w="992" w:type="dxa"/>
            <w:shd w:val="clear" w:color="auto" w:fill="FBD4B4" w:themeFill="accent6" w:themeFillTint="66"/>
            <w:vAlign w:val="center"/>
          </w:tcPr>
          <w:p w:rsidR="007551D0" w:rsidRPr="001056D4" w:rsidRDefault="007551D0" w:rsidP="00A54188">
            <w:pPr>
              <w:jc w:val="center"/>
              <w:rPr>
                <w:rFonts w:ascii="Arial" w:hAnsi="Arial" w:cs="Arial"/>
                <w:sz w:val="24"/>
                <w:szCs w:val="24"/>
              </w:rPr>
            </w:pPr>
            <w:r w:rsidRPr="001056D4">
              <w:rPr>
                <w:rFonts w:ascii="Arial" w:hAnsi="Arial" w:cs="Arial"/>
                <w:sz w:val="24"/>
                <w:szCs w:val="24"/>
              </w:rPr>
              <w:t>18953</w:t>
            </w:r>
          </w:p>
        </w:tc>
        <w:tc>
          <w:tcPr>
            <w:tcW w:w="850" w:type="dxa"/>
            <w:shd w:val="clear" w:color="auto" w:fill="FBD4B4" w:themeFill="accent6" w:themeFillTint="66"/>
            <w:vAlign w:val="center"/>
          </w:tcPr>
          <w:p w:rsidR="007551D0" w:rsidRPr="001056D4" w:rsidRDefault="007551D0" w:rsidP="00A54188">
            <w:pPr>
              <w:jc w:val="center"/>
              <w:rPr>
                <w:rFonts w:ascii="Arial" w:hAnsi="Arial" w:cs="Arial"/>
                <w:sz w:val="24"/>
                <w:szCs w:val="24"/>
              </w:rPr>
            </w:pPr>
            <w:r w:rsidRPr="001056D4">
              <w:rPr>
                <w:rFonts w:ascii="Arial" w:hAnsi="Arial" w:cs="Arial"/>
                <w:sz w:val="24"/>
                <w:szCs w:val="24"/>
              </w:rPr>
              <w:t>15209</w:t>
            </w:r>
          </w:p>
        </w:tc>
        <w:tc>
          <w:tcPr>
            <w:tcW w:w="1134" w:type="dxa"/>
            <w:shd w:val="clear" w:color="auto" w:fill="FBD4B4" w:themeFill="accent6" w:themeFillTint="66"/>
            <w:vAlign w:val="center"/>
          </w:tcPr>
          <w:p w:rsidR="007551D0" w:rsidRPr="001056D4" w:rsidRDefault="007551D0" w:rsidP="00A54188">
            <w:pPr>
              <w:jc w:val="center"/>
              <w:rPr>
                <w:rFonts w:ascii="Arial" w:hAnsi="Arial" w:cs="Arial"/>
                <w:sz w:val="24"/>
                <w:szCs w:val="24"/>
              </w:rPr>
            </w:pPr>
            <w:r w:rsidRPr="001056D4">
              <w:rPr>
                <w:rFonts w:ascii="Arial" w:hAnsi="Arial" w:cs="Arial"/>
                <w:sz w:val="24"/>
                <w:szCs w:val="24"/>
              </w:rPr>
              <w:t>13539</w:t>
            </w:r>
          </w:p>
        </w:tc>
        <w:tc>
          <w:tcPr>
            <w:tcW w:w="1134" w:type="dxa"/>
            <w:tcBorders>
              <w:right w:val="single" w:sz="4" w:space="0" w:color="auto"/>
            </w:tcBorders>
            <w:shd w:val="clear" w:color="auto" w:fill="FBD4B4" w:themeFill="accent6" w:themeFillTint="66"/>
            <w:vAlign w:val="center"/>
          </w:tcPr>
          <w:p w:rsidR="007551D0" w:rsidRPr="001056D4" w:rsidRDefault="007551D0" w:rsidP="00A54188">
            <w:pPr>
              <w:jc w:val="center"/>
              <w:rPr>
                <w:rFonts w:ascii="Arial" w:hAnsi="Arial" w:cs="Arial"/>
                <w:sz w:val="24"/>
                <w:szCs w:val="24"/>
              </w:rPr>
            </w:pPr>
            <w:r w:rsidRPr="001056D4">
              <w:rPr>
                <w:rFonts w:ascii="Arial" w:hAnsi="Arial" w:cs="Arial"/>
                <w:sz w:val="24"/>
                <w:szCs w:val="24"/>
              </w:rPr>
              <w:t>13521</w:t>
            </w:r>
          </w:p>
        </w:tc>
        <w:tc>
          <w:tcPr>
            <w:tcW w:w="236" w:type="dxa"/>
            <w:vMerge/>
            <w:tcBorders>
              <w:top w:val="nil"/>
              <w:left w:val="single" w:sz="4" w:space="0" w:color="auto"/>
              <w:bottom w:val="nil"/>
              <w:right w:val="nil"/>
            </w:tcBorders>
            <w:vAlign w:val="center"/>
          </w:tcPr>
          <w:p w:rsidR="007551D0" w:rsidRPr="001056D4" w:rsidRDefault="007551D0" w:rsidP="00DB2B5E">
            <w:pPr>
              <w:jc w:val="center"/>
              <w:rPr>
                <w:rFonts w:ascii="Arial" w:hAnsi="Arial" w:cs="Arial"/>
                <w:sz w:val="24"/>
                <w:szCs w:val="24"/>
              </w:rPr>
            </w:pPr>
          </w:p>
        </w:tc>
      </w:tr>
    </w:tbl>
    <w:tbl>
      <w:tblPr>
        <w:tblW w:w="12540" w:type="dxa"/>
        <w:tblCellMar>
          <w:left w:w="0" w:type="dxa"/>
          <w:right w:w="0" w:type="dxa"/>
        </w:tblCellMar>
        <w:tblLook w:val="04A0"/>
      </w:tblPr>
      <w:tblGrid>
        <w:gridCol w:w="1792"/>
        <w:gridCol w:w="1792"/>
        <w:gridCol w:w="1792"/>
        <w:gridCol w:w="1791"/>
        <w:gridCol w:w="1791"/>
        <w:gridCol w:w="1791"/>
        <w:gridCol w:w="1791"/>
      </w:tblGrid>
      <w:tr w:rsidR="007551D0" w:rsidRPr="00B23072" w:rsidTr="00DB2B5E">
        <w:trPr>
          <w:trHeight w:val="255"/>
        </w:trPr>
        <w:tc>
          <w:tcPr>
            <w:tcW w:w="0" w:type="auto"/>
            <w:tcBorders>
              <w:top w:val="nil"/>
              <w:left w:val="nil"/>
            </w:tcBorders>
            <w:vAlign w:val="center"/>
            <w:hideMark/>
          </w:tcPr>
          <w:p w:rsidR="007551D0" w:rsidRPr="00B23072" w:rsidRDefault="007551D0" w:rsidP="00DB2B5E">
            <w:pPr>
              <w:spacing w:after="0" w:line="240" w:lineRule="auto"/>
              <w:jc w:val="right"/>
              <w:rPr>
                <w:rFonts w:ascii="Times New Roman" w:eastAsia="Times New Roman" w:hAnsi="Times New Roman" w:cs="Times New Roman"/>
                <w:sz w:val="24"/>
                <w:szCs w:val="24"/>
              </w:rPr>
            </w:pPr>
          </w:p>
        </w:tc>
        <w:tc>
          <w:tcPr>
            <w:tcW w:w="0" w:type="auto"/>
            <w:tcBorders>
              <w:top w:val="nil"/>
              <w:left w:val="nil"/>
            </w:tcBorders>
            <w:vAlign w:val="center"/>
            <w:hideMark/>
          </w:tcPr>
          <w:p w:rsidR="007551D0" w:rsidRPr="00B23072" w:rsidRDefault="007551D0" w:rsidP="00DB2B5E">
            <w:pPr>
              <w:spacing w:after="0" w:line="240" w:lineRule="auto"/>
              <w:jc w:val="right"/>
              <w:rPr>
                <w:rFonts w:ascii="Times New Roman" w:eastAsia="Times New Roman" w:hAnsi="Times New Roman" w:cs="Times New Roman"/>
                <w:sz w:val="24"/>
                <w:szCs w:val="24"/>
              </w:rPr>
            </w:pPr>
          </w:p>
        </w:tc>
        <w:tc>
          <w:tcPr>
            <w:tcW w:w="0" w:type="auto"/>
            <w:tcBorders>
              <w:top w:val="nil"/>
              <w:left w:val="nil"/>
            </w:tcBorders>
            <w:vAlign w:val="center"/>
            <w:hideMark/>
          </w:tcPr>
          <w:p w:rsidR="007551D0" w:rsidRPr="00B23072" w:rsidRDefault="007551D0" w:rsidP="00DB2B5E">
            <w:pPr>
              <w:spacing w:after="0" w:line="240" w:lineRule="auto"/>
              <w:jc w:val="right"/>
              <w:rPr>
                <w:rFonts w:ascii="Times New Roman" w:eastAsia="Times New Roman" w:hAnsi="Times New Roman" w:cs="Times New Roman"/>
                <w:sz w:val="24"/>
                <w:szCs w:val="24"/>
              </w:rPr>
            </w:pPr>
          </w:p>
        </w:tc>
        <w:tc>
          <w:tcPr>
            <w:tcW w:w="0" w:type="auto"/>
            <w:tcBorders>
              <w:top w:val="nil"/>
              <w:left w:val="nil"/>
            </w:tcBorders>
            <w:vAlign w:val="center"/>
            <w:hideMark/>
          </w:tcPr>
          <w:p w:rsidR="007551D0" w:rsidRPr="00B23072" w:rsidRDefault="007551D0" w:rsidP="00DB2B5E">
            <w:pPr>
              <w:spacing w:after="0" w:line="240" w:lineRule="auto"/>
              <w:jc w:val="right"/>
              <w:rPr>
                <w:rFonts w:ascii="Times New Roman" w:eastAsia="Times New Roman" w:hAnsi="Times New Roman" w:cs="Times New Roman"/>
                <w:sz w:val="24"/>
                <w:szCs w:val="24"/>
              </w:rPr>
            </w:pPr>
          </w:p>
        </w:tc>
        <w:tc>
          <w:tcPr>
            <w:tcW w:w="0" w:type="auto"/>
            <w:tcBorders>
              <w:top w:val="nil"/>
              <w:left w:val="nil"/>
            </w:tcBorders>
            <w:vAlign w:val="center"/>
            <w:hideMark/>
          </w:tcPr>
          <w:p w:rsidR="007551D0" w:rsidRPr="00B23072" w:rsidRDefault="007551D0" w:rsidP="00DB2B5E">
            <w:pPr>
              <w:spacing w:after="0" w:line="240" w:lineRule="auto"/>
              <w:jc w:val="right"/>
              <w:rPr>
                <w:rFonts w:ascii="Times New Roman" w:eastAsia="Times New Roman" w:hAnsi="Times New Roman" w:cs="Times New Roman"/>
                <w:sz w:val="24"/>
                <w:szCs w:val="24"/>
              </w:rPr>
            </w:pPr>
          </w:p>
        </w:tc>
        <w:tc>
          <w:tcPr>
            <w:tcW w:w="0" w:type="auto"/>
            <w:tcBorders>
              <w:top w:val="nil"/>
              <w:left w:val="nil"/>
            </w:tcBorders>
            <w:vAlign w:val="center"/>
            <w:hideMark/>
          </w:tcPr>
          <w:p w:rsidR="007551D0" w:rsidRPr="00B23072" w:rsidRDefault="007551D0" w:rsidP="00DB2B5E">
            <w:pPr>
              <w:spacing w:after="0" w:line="240" w:lineRule="auto"/>
              <w:jc w:val="right"/>
              <w:rPr>
                <w:rFonts w:ascii="Times New Roman" w:eastAsia="Times New Roman" w:hAnsi="Times New Roman" w:cs="Times New Roman"/>
                <w:sz w:val="24"/>
                <w:szCs w:val="24"/>
              </w:rPr>
            </w:pPr>
          </w:p>
        </w:tc>
        <w:tc>
          <w:tcPr>
            <w:tcW w:w="0" w:type="auto"/>
            <w:tcBorders>
              <w:top w:val="nil"/>
              <w:left w:val="nil"/>
            </w:tcBorders>
            <w:vAlign w:val="center"/>
            <w:hideMark/>
          </w:tcPr>
          <w:p w:rsidR="007551D0" w:rsidRPr="00B23072" w:rsidRDefault="007551D0" w:rsidP="00DB2B5E">
            <w:pPr>
              <w:spacing w:after="0" w:line="240" w:lineRule="auto"/>
              <w:jc w:val="right"/>
              <w:rPr>
                <w:rFonts w:ascii="Times New Roman" w:eastAsia="Times New Roman" w:hAnsi="Times New Roman" w:cs="Times New Roman"/>
                <w:sz w:val="24"/>
                <w:szCs w:val="24"/>
              </w:rPr>
            </w:pPr>
          </w:p>
        </w:tc>
      </w:tr>
    </w:tbl>
    <w:p w:rsidR="007551D0" w:rsidRPr="009209C1" w:rsidRDefault="007551D0" w:rsidP="007551D0">
      <w:pPr>
        <w:ind w:right="-567"/>
        <w:rPr>
          <w:rFonts w:ascii="Arial" w:hAnsi="Arial" w:cs="Arial"/>
          <w:b/>
        </w:rPr>
      </w:pPr>
      <w:r>
        <w:t xml:space="preserve">                           </w:t>
      </w:r>
      <w:r w:rsidRPr="009209C1">
        <w:rPr>
          <w:rFonts w:ascii="Arial" w:hAnsi="Arial" w:cs="Arial"/>
          <w:b/>
        </w:rPr>
        <w:t>Sursa : INSSE– indicatori dezvoltare durabiă</w:t>
      </w:r>
    </w:p>
    <w:p w:rsidR="00231660" w:rsidRDefault="007551D0" w:rsidP="007551D0">
      <w:pPr>
        <w:pStyle w:val="Default"/>
        <w:rPr>
          <w:rFonts w:ascii="Arial" w:hAnsi="Arial" w:cs="Arial"/>
          <w:b/>
          <w:bCs/>
          <w:iCs/>
          <w:color w:val="auto"/>
        </w:rPr>
      </w:pPr>
      <w:r>
        <w:rPr>
          <w:rFonts w:ascii="Arial" w:hAnsi="Arial" w:cs="Arial"/>
          <w:b/>
          <w:bCs/>
          <w:iCs/>
          <w:color w:val="auto"/>
        </w:rPr>
        <w:t xml:space="preserve">      </w:t>
      </w:r>
    </w:p>
    <w:p w:rsidR="007551D0" w:rsidRPr="00E92120" w:rsidRDefault="007551D0" w:rsidP="007551D0">
      <w:pPr>
        <w:pStyle w:val="Default"/>
        <w:rPr>
          <w:rFonts w:ascii="Arial" w:hAnsi="Arial" w:cs="Arial"/>
          <w:color w:val="auto"/>
        </w:rPr>
      </w:pPr>
      <w:r w:rsidRPr="00E92120">
        <w:rPr>
          <w:rFonts w:ascii="Arial" w:hAnsi="Arial" w:cs="Arial"/>
          <w:b/>
          <w:bCs/>
          <w:iCs/>
          <w:color w:val="auto"/>
        </w:rPr>
        <w:t xml:space="preserve">II. 2.3. Tendinţe şi prognoze privind calitatea apei  </w:t>
      </w:r>
    </w:p>
    <w:p w:rsidR="009209C1" w:rsidRDefault="007551D0" w:rsidP="009209C1">
      <w:pPr>
        <w:spacing w:after="0" w:line="240" w:lineRule="auto"/>
        <w:ind w:firstLine="567"/>
        <w:jc w:val="both"/>
        <w:rPr>
          <w:rFonts w:ascii="Arial" w:hAnsi="Arial" w:cs="Arial"/>
          <w:sz w:val="24"/>
          <w:szCs w:val="24"/>
          <w:lang w:val="it-IT"/>
        </w:rPr>
      </w:pPr>
      <w:r w:rsidRPr="00AC6AAC">
        <w:rPr>
          <w:rFonts w:ascii="Arial" w:hAnsi="Arial" w:cs="Arial"/>
          <w:sz w:val="24"/>
          <w:szCs w:val="24"/>
          <w:lang w:val="it-IT"/>
        </w:rPr>
        <w:t>Având în vedere natura substanţelor poluante din apele uzate, cât şi sursele de poluare aferente,</w:t>
      </w:r>
      <w:r>
        <w:rPr>
          <w:rFonts w:ascii="Arial" w:hAnsi="Arial" w:cs="Arial"/>
          <w:sz w:val="24"/>
          <w:szCs w:val="24"/>
          <w:lang w:val="it-IT"/>
        </w:rPr>
        <w:t xml:space="preserve"> </w:t>
      </w:r>
      <w:r w:rsidRPr="00AC6AAC">
        <w:rPr>
          <w:rFonts w:ascii="Arial" w:hAnsi="Arial" w:cs="Arial"/>
          <w:sz w:val="24"/>
          <w:szCs w:val="24"/>
          <w:lang w:val="it-IT"/>
        </w:rPr>
        <w:t>gospodărirea apelor uzate se realizează în acord cu prevederile europene în domeniul apelor, în special cu cele</w:t>
      </w:r>
      <w:r>
        <w:rPr>
          <w:rFonts w:ascii="Arial" w:hAnsi="Arial" w:cs="Arial"/>
          <w:sz w:val="24"/>
          <w:szCs w:val="24"/>
          <w:lang w:val="it-IT"/>
        </w:rPr>
        <w:t xml:space="preserve"> </w:t>
      </w:r>
      <w:r w:rsidRPr="00AC6AAC">
        <w:rPr>
          <w:rFonts w:ascii="Arial" w:hAnsi="Arial" w:cs="Arial"/>
          <w:sz w:val="24"/>
          <w:szCs w:val="24"/>
          <w:lang w:val="it-IT"/>
        </w:rPr>
        <w:t>ale Directivei Cadru a Apei (Directiva 2000/60/CE), care stabileşte cadrul politic de gestionare a apelor în</w:t>
      </w:r>
      <w:r>
        <w:rPr>
          <w:rFonts w:ascii="Arial" w:hAnsi="Arial" w:cs="Arial"/>
          <w:sz w:val="24"/>
          <w:szCs w:val="24"/>
          <w:lang w:val="it-IT"/>
        </w:rPr>
        <w:t xml:space="preserve"> </w:t>
      </w:r>
      <w:r w:rsidRPr="00AC6AAC">
        <w:rPr>
          <w:rFonts w:ascii="Arial" w:hAnsi="Arial" w:cs="Arial"/>
          <w:sz w:val="24"/>
          <w:szCs w:val="24"/>
          <w:lang w:val="it-IT"/>
        </w:rPr>
        <w:t xml:space="preserve">Uniunea Europeană, bazat pe principiile dezvoltării durabile şi care integrează toate problemele apei. </w:t>
      </w:r>
    </w:p>
    <w:p w:rsidR="007551D0" w:rsidRPr="00AC6AAC" w:rsidRDefault="007551D0" w:rsidP="009209C1">
      <w:pPr>
        <w:spacing w:after="0" w:line="240" w:lineRule="auto"/>
        <w:ind w:firstLine="567"/>
        <w:jc w:val="both"/>
        <w:rPr>
          <w:rFonts w:ascii="Arial" w:hAnsi="Arial" w:cs="Arial"/>
          <w:sz w:val="24"/>
          <w:szCs w:val="24"/>
          <w:lang w:val="it-IT"/>
        </w:rPr>
      </w:pPr>
      <w:r w:rsidRPr="00AC6AAC">
        <w:rPr>
          <w:rFonts w:ascii="Arial" w:hAnsi="Arial" w:cs="Arial"/>
          <w:sz w:val="24"/>
          <w:szCs w:val="24"/>
          <w:lang w:val="it-IT"/>
        </w:rPr>
        <w:t>Directiva Cadru 2000/60/CE în domeniul apei constituie o abordare nouă în domeniul gospodăririi</w:t>
      </w:r>
      <w:r>
        <w:rPr>
          <w:rFonts w:ascii="Arial" w:hAnsi="Arial" w:cs="Arial"/>
          <w:sz w:val="24"/>
          <w:szCs w:val="24"/>
          <w:lang w:val="it-IT"/>
        </w:rPr>
        <w:t xml:space="preserve"> </w:t>
      </w:r>
      <w:r w:rsidRPr="00AC6AAC">
        <w:rPr>
          <w:rFonts w:ascii="Arial" w:hAnsi="Arial" w:cs="Arial"/>
          <w:sz w:val="24"/>
          <w:szCs w:val="24"/>
          <w:lang w:val="it-IT"/>
        </w:rPr>
        <w:t>apelor, bazându-se pe principiul bazinal şi impunând termene stricte pentru realizarea programului de măsuri.</w:t>
      </w:r>
      <w:r>
        <w:rPr>
          <w:rFonts w:ascii="Arial" w:hAnsi="Arial" w:cs="Arial"/>
          <w:sz w:val="24"/>
          <w:szCs w:val="24"/>
          <w:lang w:val="it-IT"/>
        </w:rPr>
        <w:t xml:space="preserve"> </w:t>
      </w:r>
      <w:r w:rsidRPr="00AC6AAC">
        <w:rPr>
          <w:rFonts w:ascii="Arial" w:hAnsi="Arial" w:cs="Arial"/>
          <w:sz w:val="24"/>
          <w:szCs w:val="24"/>
          <w:lang w:val="it-IT"/>
        </w:rPr>
        <w:t>Obiectivul central al Directivei Cadru în domeniul Apei (DCA) este acela de a obţine o „stare bună” pentru toate</w:t>
      </w:r>
      <w:r>
        <w:rPr>
          <w:rFonts w:ascii="Arial" w:hAnsi="Arial" w:cs="Arial"/>
          <w:sz w:val="24"/>
          <w:szCs w:val="24"/>
          <w:lang w:val="it-IT"/>
        </w:rPr>
        <w:t xml:space="preserve"> </w:t>
      </w:r>
      <w:r w:rsidRPr="00AC6AAC">
        <w:rPr>
          <w:rFonts w:ascii="Arial" w:hAnsi="Arial" w:cs="Arial"/>
          <w:sz w:val="24"/>
          <w:szCs w:val="24"/>
          <w:lang w:val="it-IT"/>
        </w:rPr>
        <w:t>corpurile de apă, atât pentru cele de suprafaţă cât şi pentru cele subterane, cu excepţia corpurilor puternic</w:t>
      </w:r>
      <w:r>
        <w:rPr>
          <w:rFonts w:ascii="Arial" w:hAnsi="Arial" w:cs="Arial"/>
          <w:sz w:val="24"/>
          <w:szCs w:val="24"/>
          <w:lang w:val="it-IT"/>
        </w:rPr>
        <w:t xml:space="preserve"> </w:t>
      </w:r>
      <w:r w:rsidRPr="00AC6AAC">
        <w:rPr>
          <w:rFonts w:ascii="Arial" w:hAnsi="Arial" w:cs="Arial"/>
          <w:sz w:val="24"/>
          <w:szCs w:val="24"/>
          <w:lang w:val="it-IT"/>
        </w:rPr>
        <w:t>modificate și artificiale, pentru care se defineşte „potenţialul ecologic bun”. Conform acestei Directive, Statele</w:t>
      </w:r>
      <w:r>
        <w:rPr>
          <w:rFonts w:ascii="Arial" w:hAnsi="Arial" w:cs="Arial"/>
          <w:sz w:val="24"/>
          <w:szCs w:val="24"/>
          <w:lang w:val="it-IT"/>
        </w:rPr>
        <w:t xml:space="preserve"> </w:t>
      </w:r>
      <w:r w:rsidRPr="00AC6AAC">
        <w:rPr>
          <w:rFonts w:ascii="Arial" w:hAnsi="Arial" w:cs="Arial"/>
          <w:sz w:val="24"/>
          <w:szCs w:val="24"/>
          <w:lang w:val="it-IT"/>
        </w:rPr>
        <w:t>Mem</w:t>
      </w:r>
      <w:r w:rsidR="009209C1">
        <w:rPr>
          <w:rFonts w:ascii="Arial" w:hAnsi="Arial" w:cs="Arial"/>
          <w:sz w:val="24"/>
          <w:szCs w:val="24"/>
          <w:lang w:val="it-IT"/>
        </w:rPr>
        <w:t>br</w:t>
      </w:r>
      <w:r w:rsidRPr="00AC6AAC">
        <w:rPr>
          <w:rFonts w:ascii="Arial" w:hAnsi="Arial" w:cs="Arial"/>
          <w:sz w:val="24"/>
          <w:szCs w:val="24"/>
          <w:lang w:val="it-IT"/>
        </w:rPr>
        <w:t>e din Uniunea Europeană trebuie să asigure atingerea stării bune a tuturor apelor de suprafaţă până în</w:t>
      </w:r>
      <w:r>
        <w:rPr>
          <w:rFonts w:ascii="Arial" w:hAnsi="Arial" w:cs="Arial"/>
          <w:sz w:val="24"/>
          <w:szCs w:val="24"/>
          <w:lang w:val="it-IT"/>
        </w:rPr>
        <w:t xml:space="preserve"> </w:t>
      </w:r>
      <w:r w:rsidRPr="00AC6AAC">
        <w:rPr>
          <w:rFonts w:ascii="Arial" w:hAnsi="Arial" w:cs="Arial"/>
          <w:sz w:val="24"/>
          <w:szCs w:val="24"/>
          <w:lang w:val="it-IT"/>
        </w:rPr>
        <w:t>anul 2015, mai puţin corpurile de apă pentru care se cer excepţii de la atingerea obiectivelor de mediu.</w:t>
      </w:r>
    </w:p>
    <w:p w:rsidR="007551D0" w:rsidRDefault="007551D0" w:rsidP="009209C1">
      <w:pPr>
        <w:spacing w:after="0" w:line="240" w:lineRule="auto"/>
        <w:ind w:firstLine="567"/>
        <w:jc w:val="both"/>
        <w:rPr>
          <w:rFonts w:ascii="Arial" w:hAnsi="Arial" w:cs="Arial"/>
          <w:sz w:val="24"/>
          <w:szCs w:val="24"/>
          <w:lang w:val="it-IT"/>
        </w:rPr>
      </w:pPr>
      <w:r>
        <w:rPr>
          <w:rFonts w:ascii="Arial" w:hAnsi="Arial" w:cs="Arial"/>
          <w:sz w:val="24"/>
          <w:szCs w:val="24"/>
          <w:lang w:val="it-IT"/>
        </w:rPr>
        <w:t>U</w:t>
      </w:r>
      <w:r w:rsidRPr="00464DEA">
        <w:rPr>
          <w:rFonts w:ascii="Arial" w:hAnsi="Arial" w:cs="Arial"/>
          <w:sz w:val="24"/>
          <w:szCs w:val="24"/>
          <w:lang w:val="it-IT"/>
        </w:rPr>
        <w:t>rmătoarele problematici importante privind gospodărirea apelor care afectează în mod direct sau indirect starea apelor de suprafaţă şi apelor subterane, cu impact major în gestiunea resurselor de apă</w:t>
      </w:r>
      <w:r>
        <w:rPr>
          <w:rFonts w:ascii="Arial" w:hAnsi="Arial" w:cs="Arial"/>
          <w:sz w:val="24"/>
          <w:szCs w:val="24"/>
          <w:lang w:val="it-IT"/>
        </w:rPr>
        <w:t xml:space="preserve"> au fost identificate</w:t>
      </w:r>
      <w:r w:rsidRPr="00464DEA">
        <w:rPr>
          <w:rFonts w:ascii="Arial" w:hAnsi="Arial" w:cs="Arial"/>
          <w:sz w:val="24"/>
          <w:szCs w:val="24"/>
          <w:lang w:val="it-IT"/>
        </w:rPr>
        <w:t>:</w:t>
      </w:r>
      <w:r>
        <w:rPr>
          <w:rFonts w:ascii="Arial" w:hAnsi="Arial" w:cs="Arial"/>
          <w:sz w:val="24"/>
          <w:szCs w:val="24"/>
          <w:lang w:val="it-IT"/>
        </w:rPr>
        <w:t xml:space="preserve"> poluarea cu substanţe organice, poluarea cu nutrienţi, p</w:t>
      </w:r>
      <w:r w:rsidRPr="00464DEA">
        <w:rPr>
          <w:rFonts w:ascii="Arial" w:hAnsi="Arial" w:cs="Arial"/>
          <w:sz w:val="24"/>
          <w:szCs w:val="24"/>
          <w:lang w:val="it-IT"/>
        </w:rPr>
        <w:t>oluarea cu substanţe periculoase</w:t>
      </w:r>
      <w:r>
        <w:rPr>
          <w:rFonts w:ascii="Arial" w:hAnsi="Arial" w:cs="Arial"/>
          <w:sz w:val="24"/>
          <w:szCs w:val="24"/>
          <w:lang w:val="it-IT"/>
        </w:rPr>
        <w:t xml:space="preserve"> și a</w:t>
      </w:r>
      <w:r w:rsidRPr="00464DEA">
        <w:rPr>
          <w:rFonts w:ascii="Arial" w:hAnsi="Arial" w:cs="Arial"/>
          <w:sz w:val="24"/>
          <w:szCs w:val="24"/>
          <w:lang w:val="it-IT"/>
        </w:rPr>
        <w:t>lterări</w:t>
      </w:r>
      <w:r>
        <w:rPr>
          <w:rFonts w:ascii="Arial" w:hAnsi="Arial" w:cs="Arial"/>
          <w:sz w:val="24"/>
          <w:szCs w:val="24"/>
          <w:lang w:val="it-IT"/>
        </w:rPr>
        <w:t xml:space="preserve">le hidromorfologice. </w:t>
      </w:r>
    </w:p>
    <w:p w:rsidR="007551D0" w:rsidRDefault="007551D0" w:rsidP="009209C1">
      <w:pPr>
        <w:spacing w:after="0" w:line="240" w:lineRule="auto"/>
        <w:ind w:firstLine="567"/>
        <w:jc w:val="both"/>
        <w:rPr>
          <w:rFonts w:ascii="Arial" w:hAnsi="Arial" w:cs="Arial"/>
          <w:sz w:val="24"/>
          <w:szCs w:val="24"/>
          <w:lang w:val="it-IT"/>
        </w:rPr>
      </w:pPr>
      <w:r w:rsidRPr="00DB5A67">
        <w:rPr>
          <w:rFonts w:ascii="Arial" w:hAnsi="Arial" w:cs="Arial"/>
          <w:b/>
          <w:i/>
          <w:sz w:val="24"/>
          <w:szCs w:val="24"/>
          <w:lang w:val="it-IT"/>
        </w:rPr>
        <w:t>Poluarea cu substanţe organice</w:t>
      </w:r>
      <w:r w:rsidRPr="005841B6">
        <w:rPr>
          <w:rFonts w:ascii="Arial" w:hAnsi="Arial" w:cs="Arial"/>
          <w:sz w:val="24"/>
          <w:szCs w:val="24"/>
          <w:lang w:val="it-IT"/>
        </w:rPr>
        <w:t xml:space="preserve"> este cauzată în principal de emisiile directe sau indirecte de ape uzate insuficient epurate sau neepurate de la aglomerări umane, din surse industriale sau agricole, și produce schimbări semnificative în balanţa oxigenului în apele de </w:t>
      </w:r>
      <w:r w:rsidRPr="005841B6">
        <w:rPr>
          <w:rFonts w:ascii="Arial" w:hAnsi="Arial" w:cs="Arial"/>
          <w:sz w:val="24"/>
          <w:szCs w:val="24"/>
          <w:lang w:val="it-IT"/>
        </w:rPr>
        <w:lastRenderedPageBreak/>
        <w:t xml:space="preserve">suprafaţă şi în consecinţă are impact asupra compoziţiei speciilor/populaţiilor acvatice şi respectiv, asupra stării ecologice a apelor. </w:t>
      </w:r>
    </w:p>
    <w:p w:rsidR="007551D0" w:rsidRDefault="007551D0" w:rsidP="009209C1">
      <w:pPr>
        <w:spacing w:after="0" w:line="240" w:lineRule="auto"/>
        <w:ind w:firstLine="567"/>
        <w:jc w:val="both"/>
        <w:rPr>
          <w:rFonts w:ascii="Arial" w:hAnsi="Arial" w:cs="Arial"/>
          <w:sz w:val="24"/>
          <w:szCs w:val="24"/>
          <w:lang w:val="it-IT"/>
        </w:rPr>
      </w:pPr>
      <w:r w:rsidRPr="005841B6">
        <w:rPr>
          <w:rFonts w:ascii="Arial" w:hAnsi="Arial" w:cs="Arial"/>
          <w:sz w:val="24"/>
          <w:szCs w:val="24"/>
          <w:lang w:val="it-IT"/>
        </w:rPr>
        <w:t xml:space="preserve">O problemă importantă de gospodărirea apelor este </w:t>
      </w:r>
      <w:r w:rsidRPr="00DB5A67">
        <w:rPr>
          <w:rFonts w:ascii="Arial" w:hAnsi="Arial" w:cs="Arial"/>
          <w:b/>
          <w:i/>
          <w:sz w:val="24"/>
          <w:szCs w:val="24"/>
          <w:lang w:val="it-IT"/>
        </w:rPr>
        <w:t>poluarea cu nutrienți</w:t>
      </w:r>
      <w:r w:rsidRPr="005841B6">
        <w:rPr>
          <w:rFonts w:ascii="Arial" w:hAnsi="Arial" w:cs="Arial"/>
          <w:sz w:val="24"/>
          <w:szCs w:val="24"/>
          <w:lang w:val="it-IT"/>
        </w:rPr>
        <w:t>, în special cu azot și fosfor. Nutrienţii în exces conduc la eutrofizarea apelor, ceea ce determină schimbarea compoziţiei și scăderea biodiversitatii speciilor, precum şi reducerea posibilității de utilizare a resurselor de apă în scop potabil, recreațional, etc. Ca şi în cazul substanţelor organice, emisiile de nutrienţi provin atât din surse punctiforme (ape uzate urbane, industriale şi agricole neepurate sau insuficient epurate), cât şi din surse difuze (în special, cele agricole: creşterea animalelor, utilizarea fertilizanţilor, etc).</w:t>
      </w:r>
    </w:p>
    <w:p w:rsidR="007551D0" w:rsidRDefault="007551D0" w:rsidP="009209C1">
      <w:pPr>
        <w:spacing w:after="0" w:line="240" w:lineRule="auto"/>
        <w:ind w:firstLine="567"/>
        <w:jc w:val="both"/>
        <w:rPr>
          <w:rFonts w:ascii="Arial" w:hAnsi="Arial" w:cs="Arial"/>
          <w:sz w:val="24"/>
          <w:szCs w:val="24"/>
          <w:lang w:val="it-IT"/>
        </w:rPr>
      </w:pPr>
      <w:r w:rsidRPr="00A2288C">
        <w:rPr>
          <w:rFonts w:ascii="Arial" w:hAnsi="Arial" w:cs="Arial"/>
          <w:sz w:val="24"/>
          <w:szCs w:val="24"/>
          <w:lang w:val="it-IT"/>
        </w:rPr>
        <w:t xml:space="preserve">Directiva </w:t>
      </w:r>
      <w:r w:rsidRPr="002E0F1D">
        <w:rPr>
          <w:rFonts w:ascii="Arial" w:hAnsi="Arial" w:cs="Arial"/>
          <w:i/>
          <w:sz w:val="24"/>
          <w:szCs w:val="24"/>
          <w:lang w:val="it-IT"/>
        </w:rPr>
        <w:t>Consiliului 91/676/EEC privind Protecţia apelor împotriva poluării cu nitraţi din surse agricole</w:t>
      </w:r>
      <w:r w:rsidRPr="00A2288C">
        <w:rPr>
          <w:rFonts w:ascii="Arial" w:hAnsi="Arial" w:cs="Arial"/>
          <w:sz w:val="24"/>
          <w:szCs w:val="24"/>
          <w:lang w:val="it-IT"/>
        </w:rPr>
        <w:t xml:space="preserve"> este principalul instrument comunitar care reglementează poluarea cu nitrați provenită din agricultură. Implementarea Directivei 91/676/EEC este pusă în practică în România de Planul de acţiune pentru protecţia apelor impotriva poluarii cu nitrati proveniţi din surse agricole, aprobat prin HG 964/2000 privind aprobarea Planului de acţiune pentru protecţia apelor impotriva poluarii cu nitrati proveniţi din surse agricole, cu completările şi modificările ulterioare, survenite în urma deciziei de aplicare a Programului de Acțiune pe întreg teritoriul României.</w:t>
      </w:r>
    </w:p>
    <w:p w:rsidR="007551D0" w:rsidRPr="00CE5F1E" w:rsidRDefault="007551D0" w:rsidP="007551D0">
      <w:pPr>
        <w:pStyle w:val="Default"/>
        <w:ind w:firstLine="567"/>
        <w:jc w:val="both"/>
        <w:rPr>
          <w:rFonts w:ascii="Arial" w:hAnsi="Arial" w:cs="Arial"/>
        </w:rPr>
      </w:pPr>
      <w:r w:rsidRPr="00CE5F1E">
        <w:rPr>
          <w:rFonts w:ascii="Arial" w:hAnsi="Arial" w:cs="Arial"/>
          <w:bCs/>
        </w:rPr>
        <w:t>Obiectivul principal al Directivei Cadru 2000/60 a Uniunii Europene pentru apă îl reprezintă atingerea “stării bune” a apelor pentru Statele Mem</w:t>
      </w:r>
      <w:r w:rsidR="007C1699">
        <w:rPr>
          <w:rFonts w:ascii="Arial" w:hAnsi="Arial" w:cs="Arial"/>
          <w:bCs/>
        </w:rPr>
        <w:t>BR</w:t>
      </w:r>
      <w:r w:rsidRPr="00CE5F1E">
        <w:rPr>
          <w:rFonts w:ascii="Arial" w:hAnsi="Arial" w:cs="Arial"/>
          <w:bCs/>
        </w:rPr>
        <w:t xml:space="preserve">e până în anul 2015. În vederea atingerii “stării bune” a apelor se elaborează diferite </w:t>
      </w:r>
      <w:r w:rsidRPr="00CE5F1E">
        <w:rPr>
          <w:rFonts w:ascii="Arial" w:hAnsi="Arial" w:cs="Arial"/>
          <w:b/>
          <w:bCs/>
        </w:rPr>
        <w:t>scenarii de prognoză a calității apelor</w:t>
      </w:r>
      <w:r w:rsidRPr="00CE5F1E">
        <w:rPr>
          <w:rFonts w:ascii="Arial" w:hAnsi="Arial" w:cs="Arial"/>
          <w:bCs/>
        </w:rPr>
        <w:t xml:space="preserve"> pe ciclu de planificare (2015, 2021 și 2027) care prevăd o serie de măsuri pentru reducerea poluării. În vederea evaluării prognozei privind calitatea apei la nivel de bazin/spaţiu hidrografic,  se au în vedere </w:t>
      </w:r>
      <w:r w:rsidRPr="00CE5F1E">
        <w:rPr>
          <w:rFonts w:ascii="Arial" w:hAnsi="Arial" w:cs="Arial"/>
        </w:rPr>
        <w:t xml:space="preserve">două scenarii, şi anume: </w:t>
      </w:r>
    </w:p>
    <w:p w:rsidR="007551D0" w:rsidRPr="00CE5F1E" w:rsidRDefault="007551D0" w:rsidP="007551D0">
      <w:pPr>
        <w:pStyle w:val="Default"/>
        <w:ind w:left="284" w:hanging="284"/>
        <w:jc w:val="both"/>
        <w:rPr>
          <w:rFonts w:ascii="Arial" w:hAnsi="Arial" w:cs="Arial"/>
        </w:rPr>
      </w:pPr>
      <w:r w:rsidRPr="00CE5F1E">
        <w:rPr>
          <w:rFonts w:ascii="Arial" w:hAnsi="Arial" w:cs="Arial"/>
        </w:rPr>
        <w:t xml:space="preserve">– </w:t>
      </w:r>
      <w:r w:rsidRPr="00CE5F1E">
        <w:rPr>
          <w:rFonts w:ascii="Arial" w:hAnsi="Arial" w:cs="Arial"/>
          <w:b/>
          <w:bCs/>
          <w:i/>
          <w:iCs/>
        </w:rPr>
        <w:t xml:space="preserve">“Scenariul de bază </w:t>
      </w:r>
      <w:r w:rsidRPr="00CE5F1E">
        <w:rPr>
          <w:rFonts w:ascii="Arial" w:hAnsi="Arial" w:cs="Arial"/>
          <w:i/>
          <w:iCs/>
        </w:rPr>
        <w:t xml:space="preserve">ce presupune luarea de măsuri pentru implementarea Directivelor europene din domeniul calităţii apei în conformitate cu prevederile a cel puțin fiecărei Directive menționate în Anexa VI A a DCA; </w:t>
      </w:r>
    </w:p>
    <w:p w:rsidR="007551D0" w:rsidRPr="00CE5F1E" w:rsidRDefault="007551D0" w:rsidP="007551D0">
      <w:pPr>
        <w:pStyle w:val="Default"/>
        <w:ind w:left="284" w:hanging="284"/>
        <w:jc w:val="both"/>
        <w:rPr>
          <w:rFonts w:ascii="Arial" w:hAnsi="Arial" w:cs="Arial"/>
          <w:i/>
          <w:iCs/>
        </w:rPr>
      </w:pPr>
      <w:r w:rsidRPr="00CE5F1E">
        <w:rPr>
          <w:rFonts w:ascii="Arial" w:hAnsi="Arial" w:cs="Arial"/>
        </w:rPr>
        <w:t xml:space="preserve">–  </w:t>
      </w:r>
      <w:r w:rsidRPr="00CE5F1E">
        <w:rPr>
          <w:rFonts w:ascii="Arial" w:hAnsi="Arial" w:cs="Arial"/>
          <w:b/>
          <w:bCs/>
          <w:i/>
          <w:iCs/>
        </w:rPr>
        <w:t xml:space="preserve">Scenariul optim </w:t>
      </w:r>
      <w:r w:rsidRPr="00CE5F1E">
        <w:rPr>
          <w:rFonts w:ascii="Arial" w:hAnsi="Arial" w:cs="Arial"/>
          <w:i/>
          <w:iCs/>
        </w:rPr>
        <w:t xml:space="preserve">ce presupune măsuri suplimentare faţă de măsurile din scenariul de bază pentru atingerea în 2015 a stării bune sau a potenţialului ecologic bun al apelor în conformitate cu prevederile Directivei Cadru pentru Apă (Anexa VI B). </w:t>
      </w:r>
    </w:p>
    <w:p w:rsidR="007551D0" w:rsidRDefault="007551D0" w:rsidP="009209C1">
      <w:pPr>
        <w:spacing w:after="0" w:line="240" w:lineRule="auto"/>
        <w:ind w:firstLine="567"/>
        <w:jc w:val="both"/>
        <w:rPr>
          <w:rFonts w:ascii="Arial" w:hAnsi="Arial" w:cs="Arial"/>
          <w:iCs/>
          <w:sz w:val="24"/>
          <w:szCs w:val="24"/>
          <w:lang w:val="it-IT"/>
        </w:rPr>
      </w:pPr>
      <w:r w:rsidRPr="001A18CA">
        <w:rPr>
          <w:rFonts w:ascii="Arial" w:hAnsi="Arial" w:cs="Arial"/>
          <w:b/>
          <w:iCs/>
          <w:sz w:val="24"/>
          <w:szCs w:val="24"/>
          <w:lang w:val="it-IT"/>
        </w:rPr>
        <w:t>Modelul de prognoză a calității apelor WAQ în ceea ce privește nutrienții - azot total și fosfor total</w:t>
      </w:r>
      <w:r w:rsidRPr="001A18CA">
        <w:rPr>
          <w:rFonts w:ascii="Arial" w:hAnsi="Arial" w:cs="Arial"/>
          <w:iCs/>
          <w:sz w:val="24"/>
          <w:szCs w:val="24"/>
          <w:lang w:val="it-IT"/>
        </w:rPr>
        <w:t xml:space="preserve"> se utilizează pentru analiza caracterizării bazinelor hidrografice (presiuni semnificative, impact, risc) conform cerințelor art. 5 și stabilirea măsurilor de bază (scenariu de bază) și suplimentare (scenariu optim) pentru atingerea obiectivelor de mediu ale corpurilor de apă.</w:t>
      </w:r>
    </w:p>
    <w:p w:rsidR="00FB6218" w:rsidRDefault="007551D0" w:rsidP="00FB6218">
      <w:pPr>
        <w:spacing w:after="0" w:line="240" w:lineRule="auto"/>
        <w:ind w:firstLine="567"/>
        <w:jc w:val="both"/>
        <w:rPr>
          <w:rFonts w:ascii="Arial" w:hAnsi="Arial" w:cs="Arial"/>
          <w:sz w:val="24"/>
          <w:szCs w:val="24"/>
          <w:lang w:val="it-IT"/>
        </w:rPr>
      </w:pPr>
      <w:r>
        <w:rPr>
          <w:rFonts w:ascii="Arial" w:hAnsi="Arial" w:cs="Arial"/>
          <w:sz w:val="24"/>
          <w:szCs w:val="24"/>
          <w:lang w:val="it-IT"/>
        </w:rPr>
        <w:t xml:space="preserve">Potrivit Planului Național de management actualizat aprobat prin HG nr. 859/2016 </w:t>
      </w:r>
      <w:r w:rsidRPr="00315527">
        <w:rPr>
          <w:rFonts w:ascii="Arial" w:hAnsi="Arial" w:cs="Arial"/>
          <w:sz w:val="24"/>
          <w:szCs w:val="24"/>
          <w:lang w:val="it-IT"/>
        </w:rPr>
        <w:t>pentru aprobarea Planului naţional de management actualizat aferent porţiunii din bazinul hidrografic internaţional al fluviului Dunărea care este cuprinsă în teritoriul României</w:t>
      </w:r>
      <w:r>
        <w:rPr>
          <w:rFonts w:ascii="Arial" w:hAnsi="Arial" w:cs="Arial"/>
          <w:sz w:val="24"/>
          <w:szCs w:val="24"/>
          <w:lang w:val="it-IT"/>
        </w:rPr>
        <w:t xml:space="preserve">, prin aplicarea </w:t>
      </w:r>
      <w:r w:rsidRPr="00B941F5">
        <w:rPr>
          <w:rFonts w:ascii="Arial" w:hAnsi="Arial" w:cs="Arial"/>
          <w:b/>
          <w:sz w:val="24"/>
          <w:szCs w:val="24"/>
          <w:lang w:val="it-IT"/>
        </w:rPr>
        <w:t>modelului MONERIS</w:t>
      </w:r>
      <w:r>
        <w:rPr>
          <w:rFonts w:ascii="Arial" w:hAnsi="Arial" w:cs="Arial"/>
          <w:b/>
          <w:sz w:val="24"/>
          <w:szCs w:val="24"/>
          <w:lang w:val="it-IT"/>
        </w:rPr>
        <w:t xml:space="preserve"> </w:t>
      </w:r>
      <w:r w:rsidRPr="00AA0D5E">
        <w:rPr>
          <w:rFonts w:ascii="Arial" w:hAnsi="Arial" w:cs="Arial"/>
          <w:sz w:val="24"/>
          <w:szCs w:val="24"/>
          <w:lang w:val="it-IT"/>
        </w:rPr>
        <w:t>(</w:t>
      </w:r>
      <w:r w:rsidRPr="00AA0D5E">
        <w:rPr>
          <w:rFonts w:ascii="Arial" w:hAnsi="Arial" w:cs="Arial"/>
          <w:b/>
          <w:sz w:val="24"/>
          <w:szCs w:val="24"/>
          <w:lang w:val="it-IT"/>
        </w:rPr>
        <w:t>MO</w:t>
      </w:r>
      <w:r w:rsidRPr="00AA0D5E">
        <w:rPr>
          <w:rFonts w:ascii="Arial" w:hAnsi="Arial" w:cs="Arial"/>
          <w:sz w:val="24"/>
          <w:szCs w:val="24"/>
          <w:lang w:val="it-IT"/>
        </w:rPr>
        <w:t xml:space="preserve">delling </w:t>
      </w:r>
      <w:r w:rsidRPr="00AA0D5E">
        <w:rPr>
          <w:rFonts w:ascii="Arial" w:hAnsi="Arial" w:cs="Arial"/>
          <w:b/>
          <w:sz w:val="24"/>
          <w:szCs w:val="24"/>
          <w:lang w:val="it-IT"/>
        </w:rPr>
        <w:t>N</w:t>
      </w:r>
      <w:r w:rsidRPr="00AA0D5E">
        <w:rPr>
          <w:rFonts w:ascii="Arial" w:hAnsi="Arial" w:cs="Arial"/>
          <w:sz w:val="24"/>
          <w:szCs w:val="24"/>
          <w:lang w:val="it-IT"/>
        </w:rPr>
        <w:t xml:space="preserve">utrient </w:t>
      </w:r>
      <w:r w:rsidRPr="00AA0D5E">
        <w:rPr>
          <w:rFonts w:ascii="Arial" w:hAnsi="Arial" w:cs="Arial"/>
          <w:b/>
          <w:sz w:val="24"/>
          <w:szCs w:val="24"/>
          <w:lang w:val="it-IT"/>
        </w:rPr>
        <w:t>E</w:t>
      </w:r>
      <w:r w:rsidRPr="00AA0D5E">
        <w:rPr>
          <w:rFonts w:ascii="Arial" w:hAnsi="Arial" w:cs="Arial"/>
          <w:sz w:val="24"/>
          <w:szCs w:val="24"/>
          <w:lang w:val="it-IT"/>
        </w:rPr>
        <w:t xml:space="preserve">missions in </w:t>
      </w:r>
      <w:r w:rsidRPr="00AA0D5E">
        <w:rPr>
          <w:rFonts w:ascii="Arial" w:hAnsi="Arial" w:cs="Arial"/>
          <w:b/>
          <w:sz w:val="24"/>
          <w:szCs w:val="24"/>
          <w:lang w:val="it-IT"/>
        </w:rPr>
        <w:t>RI</w:t>
      </w:r>
      <w:r w:rsidRPr="00AA0D5E">
        <w:rPr>
          <w:rFonts w:ascii="Arial" w:hAnsi="Arial" w:cs="Arial"/>
          <w:sz w:val="24"/>
          <w:szCs w:val="24"/>
          <w:lang w:val="it-IT"/>
        </w:rPr>
        <w:t xml:space="preserve">ver </w:t>
      </w:r>
      <w:r w:rsidRPr="00AA0D5E">
        <w:rPr>
          <w:rFonts w:ascii="Arial" w:hAnsi="Arial" w:cs="Arial"/>
          <w:b/>
          <w:sz w:val="24"/>
          <w:szCs w:val="24"/>
          <w:lang w:val="it-IT"/>
        </w:rPr>
        <w:t>S</w:t>
      </w:r>
      <w:r w:rsidRPr="00AA0D5E">
        <w:rPr>
          <w:rFonts w:ascii="Arial" w:hAnsi="Arial" w:cs="Arial"/>
          <w:sz w:val="24"/>
          <w:szCs w:val="24"/>
          <w:lang w:val="it-IT"/>
        </w:rPr>
        <w:t xml:space="preserve">ystems) </w:t>
      </w:r>
      <w:r>
        <w:rPr>
          <w:rFonts w:ascii="Arial" w:hAnsi="Arial" w:cs="Arial"/>
          <w:sz w:val="24"/>
          <w:szCs w:val="24"/>
          <w:lang w:val="it-IT"/>
        </w:rPr>
        <w:t xml:space="preserve">se pot realiza scenarii privind prognoza calității apelor, respectiv evaluarea emisiilor de nutrienți și a  potențialul și efectului măsurilor de bază și suplimentare de reducere a nutrienților. </w:t>
      </w:r>
    </w:p>
    <w:p w:rsidR="007551D0" w:rsidRPr="00AA0D5E" w:rsidRDefault="007551D0" w:rsidP="00FB6218">
      <w:pPr>
        <w:spacing w:after="0" w:line="240" w:lineRule="auto"/>
        <w:ind w:firstLine="567"/>
        <w:jc w:val="both"/>
        <w:rPr>
          <w:rFonts w:ascii="Arial" w:hAnsi="Arial" w:cs="Arial"/>
          <w:sz w:val="24"/>
          <w:szCs w:val="24"/>
          <w:lang w:val="it-IT"/>
        </w:rPr>
      </w:pPr>
      <w:r w:rsidRPr="00AA0D5E">
        <w:rPr>
          <w:rFonts w:ascii="Arial" w:hAnsi="Arial" w:cs="Arial"/>
          <w:sz w:val="24"/>
          <w:szCs w:val="24"/>
          <w:lang w:val="it-IT"/>
        </w:rPr>
        <w:t xml:space="preserve">Comparativ cu evaluarea emisiilor totale (difuze și punctiforme) din Planul Național de Management aprobat prin H.G. nr.80/2011, în perioada 2009- 2012 s-a constatat o reducere medie a emisiilor de azot cu cca. 34% și o reducere medie a emisiilor de fosfor cu cca. 45%, datorate în principal implementării măsurilor de îmbunătățire a nivelurilor de colectare și epurare a apelor uzate urbane și reducerii surplusului de azot  din activitățile agricole. </w:t>
      </w:r>
    </w:p>
    <w:p w:rsidR="007551D0" w:rsidRPr="00AA0D5E" w:rsidRDefault="007551D0" w:rsidP="00FB6218">
      <w:pPr>
        <w:spacing w:after="0" w:line="240" w:lineRule="auto"/>
        <w:ind w:firstLine="567"/>
        <w:jc w:val="both"/>
        <w:rPr>
          <w:rFonts w:ascii="Arial" w:hAnsi="Arial" w:cs="Arial"/>
          <w:sz w:val="24"/>
          <w:szCs w:val="24"/>
          <w:lang w:val="it-IT"/>
        </w:rPr>
      </w:pPr>
      <w:r w:rsidRPr="00AA0D5E">
        <w:rPr>
          <w:rFonts w:ascii="Arial" w:hAnsi="Arial" w:cs="Arial"/>
          <w:sz w:val="24"/>
          <w:szCs w:val="24"/>
          <w:lang w:val="it-IT"/>
        </w:rPr>
        <w:t xml:space="preserve">Limitarea conținutului de fosfor in îngrășăminte trebuie să ia în considerare atât intensitatea activităților agricole, cât și conținutul de fosfor din sol. Astfel, în România se practică o agricultură de intensitate scăzută, iar surplusul de fosfor este sub valoarea europeană, având o valoare negativă (-2 kg/ha) potrivit datelor EUROSTAT.  </w:t>
      </w:r>
    </w:p>
    <w:p w:rsidR="007551D0" w:rsidRDefault="007551D0" w:rsidP="00FB6218">
      <w:pPr>
        <w:spacing w:after="0" w:line="240" w:lineRule="auto"/>
        <w:ind w:firstLine="567"/>
        <w:jc w:val="both"/>
        <w:rPr>
          <w:rFonts w:ascii="Arial" w:hAnsi="Arial" w:cs="Arial"/>
          <w:sz w:val="24"/>
          <w:szCs w:val="24"/>
          <w:lang w:val="it-IT"/>
        </w:rPr>
      </w:pPr>
      <w:r w:rsidRPr="00AA0D5E">
        <w:rPr>
          <w:rFonts w:ascii="Arial" w:hAnsi="Arial" w:cs="Arial"/>
          <w:sz w:val="24"/>
          <w:szCs w:val="24"/>
          <w:lang w:val="it-IT"/>
        </w:rPr>
        <w:t xml:space="preserve">Scenariul de bază pentru anul 2021 se axează pe asumări privind implementarea măsurilor pentru sectoarele ape uzate urbane, activități industriale și agricole, în principal măsurile care conduc la: creșterea nivelurilor de colectare și epurare a apelor uzate, </w:t>
      </w:r>
      <w:r w:rsidRPr="00AA0D5E">
        <w:rPr>
          <w:rFonts w:ascii="Arial" w:hAnsi="Arial" w:cs="Arial"/>
          <w:sz w:val="24"/>
          <w:szCs w:val="24"/>
          <w:lang w:val="it-IT"/>
        </w:rPr>
        <w:lastRenderedPageBreak/>
        <w:t xml:space="preserve">modificări ale utilizării terenurilor, îmbunătățirea practicilor de rotație a culturilor și schimbarea emisiilor specifice de fosfor pe locuitor.  </w:t>
      </w:r>
    </w:p>
    <w:p w:rsidR="007551D0" w:rsidRDefault="007551D0" w:rsidP="00FB6218">
      <w:pPr>
        <w:spacing w:after="0" w:line="240" w:lineRule="auto"/>
        <w:ind w:firstLine="567"/>
        <w:jc w:val="both"/>
        <w:rPr>
          <w:rFonts w:ascii="Arial" w:hAnsi="Arial" w:cs="Arial"/>
          <w:sz w:val="24"/>
          <w:szCs w:val="24"/>
          <w:lang w:val="it-IT"/>
        </w:rPr>
      </w:pPr>
      <w:r>
        <w:rPr>
          <w:rFonts w:ascii="Arial" w:hAnsi="Arial" w:cs="Arial"/>
          <w:sz w:val="24"/>
          <w:szCs w:val="24"/>
          <w:lang w:val="it-IT"/>
        </w:rPr>
        <w:t xml:space="preserve">În ceea ce privește </w:t>
      </w:r>
      <w:r w:rsidRPr="00AA0D5E">
        <w:rPr>
          <w:rFonts w:ascii="Arial" w:hAnsi="Arial" w:cs="Arial"/>
          <w:sz w:val="24"/>
          <w:szCs w:val="24"/>
          <w:lang w:val="it-IT"/>
        </w:rPr>
        <w:t>evoluția privind căile de producere a emisiilor totale de azot în perioada 2012-2021</w:t>
      </w:r>
      <w:r>
        <w:rPr>
          <w:rFonts w:ascii="Arial" w:hAnsi="Arial" w:cs="Arial"/>
          <w:sz w:val="24"/>
          <w:szCs w:val="24"/>
          <w:lang w:val="it-IT"/>
        </w:rPr>
        <w:t xml:space="preserve">,reprezentată în figurile II.2.3.1 și II.2.3.2,  rezultatele modelării au arătat că </w:t>
      </w:r>
      <w:r w:rsidRPr="00AA0D5E">
        <w:rPr>
          <w:rFonts w:ascii="Arial" w:hAnsi="Arial" w:cs="Arial"/>
          <w:sz w:val="24"/>
          <w:szCs w:val="24"/>
          <w:lang w:val="it-IT"/>
        </w:rPr>
        <w:t>depunerile atmosferice s</w:t>
      </w:r>
      <w:r>
        <w:rPr>
          <w:rFonts w:ascii="Arial" w:hAnsi="Arial" w:cs="Arial"/>
          <w:sz w:val="24"/>
          <w:szCs w:val="24"/>
          <w:lang w:val="it-IT"/>
        </w:rPr>
        <w:t>-au redus</w:t>
      </w:r>
      <w:r w:rsidRPr="00AA0D5E">
        <w:rPr>
          <w:rFonts w:ascii="Arial" w:hAnsi="Arial" w:cs="Arial"/>
          <w:sz w:val="24"/>
          <w:szCs w:val="24"/>
          <w:lang w:val="it-IT"/>
        </w:rPr>
        <w:t xml:space="preserve"> cu 5,44%, scurgerea de suprafață </w:t>
      </w:r>
      <w:r>
        <w:rPr>
          <w:rFonts w:ascii="Arial" w:hAnsi="Arial" w:cs="Arial"/>
          <w:sz w:val="24"/>
          <w:szCs w:val="24"/>
          <w:lang w:val="it-IT"/>
        </w:rPr>
        <w:t xml:space="preserve">a crescut </w:t>
      </w:r>
      <w:r w:rsidRPr="00AA0D5E">
        <w:rPr>
          <w:rFonts w:ascii="Arial" w:hAnsi="Arial" w:cs="Arial"/>
          <w:sz w:val="24"/>
          <w:szCs w:val="24"/>
          <w:lang w:val="it-IT"/>
        </w:rPr>
        <w:t xml:space="preserve">cu 4,04%, iar scurgerea subterană </w:t>
      </w:r>
      <w:r>
        <w:rPr>
          <w:rFonts w:ascii="Arial" w:hAnsi="Arial" w:cs="Arial"/>
          <w:sz w:val="24"/>
          <w:szCs w:val="24"/>
          <w:lang w:val="it-IT"/>
        </w:rPr>
        <w:t xml:space="preserve">a crescut ușor </w:t>
      </w:r>
      <w:r w:rsidRPr="00AA0D5E">
        <w:rPr>
          <w:rFonts w:ascii="Arial" w:hAnsi="Arial" w:cs="Arial"/>
          <w:sz w:val="24"/>
          <w:szCs w:val="24"/>
          <w:lang w:val="it-IT"/>
        </w:rPr>
        <w:t>cu cca. 2%. Restul de căi de producere a emisiilor totale de azot s</w:t>
      </w:r>
      <w:r>
        <w:rPr>
          <w:rFonts w:ascii="Arial" w:hAnsi="Arial" w:cs="Arial"/>
          <w:sz w:val="24"/>
          <w:szCs w:val="24"/>
          <w:lang w:val="it-IT"/>
        </w:rPr>
        <w:t>-au</w:t>
      </w:r>
      <w:r w:rsidRPr="00AA0D5E">
        <w:rPr>
          <w:rFonts w:ascii="Arial" w:hAnsi="Arial" w:cs="Arial"/>
          <w:sz w:val="24"/>
          <w:szCs w:val="24"/>
          <w:lang w:val="it-IT"/>
        </w:rPr>
        <w:t xml:space="preserve"> modific</w:t>
      </w:r>
      <w:r>
        <w:rPr>
          <w:rFonts w:ascii="Arial" w:hAnsi="Arial" w:cs="Arial"/>
          <w:sz w:val="24"/>
          <w:szCs w:val="24"/>
          <w:lang w:val="it-IT"/>
        </w:rPr>
        <w:t>at</w:t>
      </w:r>
      <w:r w:rsidRPr="00AA0D5E">
        <w:rPr>
          <w:rFonts w:ascii="Arial" w:hAnsi="Arial" w:cs="Arial"/>
          <w:sz w:val="24"/>
          <w:szCs w:val="24"/>
          <w:lang w:val="it-IT"/>
        </w:rPr>
        <w:t xml:space="preserve"> foarte puțin. De asemenea, </w:t>
      </w:r>
      <w:r>
        <w:rPr>
          <w:rFonts w:ascii="Arial" w:hAnsi="Arial" w:cs="Arial"/>
          <w:sz w:val="24"/>
          <w:szCs w:val="24"/>
          <w:lang w:val="it-IT"/>
        </w:rPr>
        <w:t xml:space="preserve">în figurile </w:t>
      </w:r>
      <w:r w:rsidRPr="00AA0D5E">
        <w:rPr>
          <w:rFonts w:ascii="Arial" w:hAnsi="Arial" w:cs="Arial"/>
          <w:sz w:val="24"/>
          <w:szCs w:val="24"/>
          <w:lang w:val="it-IT"/>
        </w:rPr>
        <w:t>II.2.3.</w:t>
      </w:r>
      <w:r>
        <w:rPr>
          <w:rFonts w:ascii="Arial" w:hAnsi="Arial" w:cs="Arial"/>
          <w:sz w:val="24"/>
          <w:szCs w:val="24"/>
          <w:lang w:val="it-IT"/>
        </w:rPr>
        <w:t xml:space="preserve">3 și </w:t>
      </w:r>
      <w:r w:rsidRPr="00AA0D5E">
        <w:rPr>
          <w:rFonts w:ascii="Arial" w:hAnsi="Arial" w:cs="Arial"/>
          <w:sz w:val="24"/>
          <w:szCs w:val="24"/>
          <w:lang w:val="it-IT"/>
        </w:rPr>
        <w:t>II.2.3.</w:t>
      </w:r>
      <w:r>
        <w:rPr>
          <w:rFonts w:ascii="Arial" w:hAnsi="Arial" w:cs="Arial"/>
          <w:sz w:val="24"/>
          <w:szCs w:val="24"/>
          <w:lang w:val="it-IT"/>
        </w:rPr>
        <w:t>4 este redată</w:t>
      </w:r>
      <w:r w:rsidRPr="00AA0D5E">
        <w:rPr>
          <w:rFonts w:ascii="Arial" w:hAnsi="Arial" w:cs="Arial"/>
          <w:sz w:val="24"/>
          <w:szCs w:val="24"/>
          <w:lang w:val="it-IT"/>
        </w:rPr>
        <w:t xml:space="preserve"> evoluția privind sursele de emisii totale ale azotului și fosforului în perioada 2012-2021.</w:t>
      </w:r>
    </w:p>
    <w:p w:rsidR="007551D0" w:rsidRPr="00AA0D5E" w:rsidRDefault="007551D0" w:rsidP="007551D0">
      <w:pPr>
        <w:spacing w:before="120" w:after="120" w:line="240" w:lineRule="auto"/>
        <w:jc w:val="both"/>
        <w:rPr>
          <w:rFonts w:ascii="Arial" w:hAnsi="Arial" w:cs="Arial"/>
          <w:sz w:val="24"/>
          <w:szCs w:val="24"/>
          <w:lang w:val="it-IT"/>
        </w:rPr>
      </w:pPr>
      <w:r w:rsidRPr="00AA0D5E">
        <w:rPr>
          <w:rFonts w:ascii="Arial" w:hAnsi="Arial" w:cs="Arial"/>
          <w:b/>
          <w:i/>
          <w:sz w:val="24"/>
          <w:szCs w:val="24"/>
          <w:lang w:val="it-IT"/>
        </w:rPr>
        <w:t>Rezultatele aplicării scenariului de bază  pentru căile de producere a emisiilor de azot în anul 2012 (stânga) și anul 2021  (dreapta)</w:t>
      </w:r>
    </w:p>
    <w:tbl>
      <w:tblPr>
        <w:tblW w:w="0" w:type="auto"/>
        <w:jc w:val="center"/>
        <w:tblLayout w:type="fixed"/>
        <w:tblLook w:val="04A0"/>
      </w:tblPr>
      <w:tblGrid>
        <w:gridCol w:w="4786"/>
        <w:gridCol w:w="4784"/>
      </w:tblGrid>
      <w:tr w:rsidR="007551D0" w:rsidRPr="000C1ABE" w:rsidTr="00DB2B5E">
        <w:trPr>
          <w:jc w:val="center"/>
        </w:trPr>
        <w:tc>
          <w:tcPr>
            <w:tcW w:w="4786" w:type="dxa"/>
            <w:shd w:val="clear" w:color="auto" w:fill="auto"/>
          </w:tcPr>
          <w:p w:rsidR="007551D0" w:rsidRPr="000C1ABE" w:rsidRDefault="007551D0" w:rsidP="00DB2B5E">
            <w:pPr>
              <w:spacing w:before="120" w:after="120" w:line="240" w:lineRule="auto"/>
              <w:jc w:val="both"/>
              <w:rPr>
                <w:rFonts w:ascii="Arial" w:hAnsi="Arial" w:cs="Arial"/>
                <w:sz w:val="24"/>
                <w:szCs w:val="24"/>
                <w:lang w:val="it-IT"/>
              </w:rPr>
            </w:pPr>
            <w:r>
              <w:rPr>
                <w:noProof/>
                <w:lang w:eastAsia="ro-RO"/>
              </w:rPr>
              <w:drawing>
                <wp:inline distT="0" distB="0" distL="0" distR="0">
                  <wp:extent cx="2838450" cy="1885950"/>
                  <wp:effectExtent l="19050" t="0" r="0" b="0"/>
                  <wp:docPr id="20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tc>
        <w:tc>
          <w:tcPr>
            <w:tcW w:w="4784" w:type="dxa"/>
            <w:shd w:val="clear" w:color="auto" w:fill="auto"/>
          </w:tcPr>
          <w:p w:rsidR="007551D0" w:rsidRPr="000C1ABE" w:rsidRDefault="007551D0" w:rsidP="00DB2B5E">
            <w:pPr>
              <w:spacing w:before="120" w:after="120" w:line="240" w:lineRule="auto"/>
              <w:jc w:val="both"/>
              <w:rPr>
                <w:rFonts w:ascii="Arial" w:hAnsi="Arial" w:cs="Arial"/>
                <w:sz w:val="24"/>
                <w:szCs w:val="24"/>
                <w:lang w:val="it-IT"/>
              </w:rPr>
            </w:pPr>
            <w:r>
              <w:rPr>
                <w:noProof/>
                <w:lang w:eastAsia="ro-RO"/>
              </w:rPr>
              <w:drawing>
                <wp:inline distT="0" distB="0" distL="0" distR="0">
                  <wp:extent cx="2819400" cy="1876425"/>
                  <wp:effectExtent l="19050" t="0" r="0" b="0"/>
                  <wp:docPr id="20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srcRect/>
                          <a:stretch>
                            <a:fillRect/>
                          </a:stretch>
                        </pic:blipFill>
                        <pic:spPr bwMode="auto">
                          <a:xfrm>
                            <a:off x="0" y="0"/>
                            <a:ext cx="2819400" cy="1876425"/>
                          </a:xfrm>
                          <a:prstGeom prst="rect">
                            <a:avLst/>
                          </a:prstGeom>
                          <a:noFill/>
                          <a:ln w="9525">
                            <a:noFill/>
                            <a:miter lim="800000"/>
                            <a:headEnd/>
                            <a:tailEnd/>
                          </a:ln>
                        </pic:spPr>
                      </pic:pic>
                    </a:graphicData>
                  </a:graphic>
                </wp:inline>
              </w:drawing>
            </w:r>
          </w:p>
        </w:tc>
      </w:tr>
    </w:tbl>
    <w:p w:rsidR="007551D0" w:rsidRDefault="007551D0" w:rsidP="007551D0">
      <w:pPr>
        <w:spacing w:before="120" w:after="120" w:line="240" w:lineRule="auto"/>
        <w:jc w:val="center"/>
        <w:rPr>
          <w:rFonts w:ascii="Arial" w:hAnsi="Arial" w:cs="Arial"/>
          <w:b/>
          <w:sz w:val="24"/>
          <w:szCs w:val="24"/>
          <w:lang w:val="it-IT"/>
        </w:rPr>
      </w:pPr>
      <w:r w:rsidRPr="00AA0D5E">
        <w:rPr>
          <w:rFonts w:ascii="Arial" w:hAnsi="Arial" w:cs="Arial"/>
          <w:b/>
          <w:sz w:val="24"/>
          <w:szCs w:val="24"/>
          <w:lang w:val="it-IT"/>
        </w:rPr>
        <w:t>Figura II.2.3.1</w:t>
      </w:r>
    </w:p>
    <w:p w:rsidR="007551D0" w:rsidRPr="00AA0D5E" w:rsidRDefault="007551D0" w:rsidP="007551D0">
      <w:pPr>
        <w:spacing w:before="120" w:after="120" w:line="240" w:lineRule="auto"/>
        <w:jc w:val="both"/>
        <w:rPr>
          <w:rFonts w:ascii="Arial" w:hAnsi="Arial" w:cs="Arial"/>
          <w:sz w:val="24"/>
          <w:szCs w:val="24"/>
          <w:lang w:val="it-IT"/>
        </w:rPr>
      </w:pPr>
      <w:r w:rsidRPr="00AA0D5E">
        <w:rPr>
          <w:rFonts w:ascii="Arial" w:hAnsi="Arial" w:cs="Arial"/>
          <w:b/>
          <w:i/>
          <w:sz w:val="24"/>
          <w:szCs w:val="24"/>
          <w:lang w:val="it-IT"/>
        </w:rPr>
        <w:t>Rezultatele aplicării scenariului de bază  pentru căile de producere a emisiilor de azot în anul 2012 (stânga) și anul 2021  (dreapta)</w:t>
      </w:r>
    </w:p>
    <w:tbl>
      <w:tblPr>
        <w:tblW w:w="0" w:type="auto"/>
        <w:jc w:val="center"/>
        <w:tblLook w:val="04A0"/>
      </w:tblPr>
      <w:tblGrid>
        <w:gridCol w:w="4866"/>
        <w:gridCol w:w="4756"/>
      </w:tblGrid>
      <w:tr w:rsidR="007551D0" w:rsidRPr="000C1ABE" w:rsidTr="00DB2B5E">
        <w:trPr>
          <w:jc w:val="center"/>
        </w:trPr>
        <w:tc>
          <w:tcPr>
            <w:tcW w:w="4814" w:type="dxa"/>
            <w:shd w:val="clear" w:color="auto" w:fill="auto"/>
          </w:tcPr>
          <w:p w:rsidR="007551D0" w:rsidRPr="000C1ABE" w:rsidRDefault="007551D0" w:rsidP="00DB2B5E">
            <w:pPr>
              <w:spacing w:before="120" w:after="120" w:line="240" w:lineRule="auto"/>
              <w:jc w:val="both"/>
              <w:rPr>
                <w:rFonts w:ascii="Arial" w:hAnsi="Arial" w:cs="Arial"/>
                <w:sz w:val="24"/>
                <w:szCs w:val="24"/>
                <w:lang w:val="it-IT"/>
              </w:rPr>
            </w:pPr>
            <w:r>
              <w:rPr>
                <w:noProof/>
                <w:lang w:eastAsia="ro-RO"/>
              </w:rPr>
              <w:drawing>
                <wp:inline distT="0" distB="0" distL="0" distR="0">
                  <wp:extent cx="2933700" cy="1866900"/>
                  <wp:effectExtent l="19050" t="0" r="0" b="0"/>
                  <wp:docPr id="21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srcRect/>
                          <a:stretch>
                            <a:fillRect/>
                          </a:stretch>
                        </pic:blipFill>
                        <pic:spPr bwMode="auto">
                          <a:xfrm>
                            <a:off x="0" y="0"/>
                            <a:ext cx="2933700" cy="1866900"/>
                          </a:xfrm>
                          <a:prstGeom prst="rect">
                            <a:avLst/>
                          </a:prstGeom>
                          <a:noFill/>
                          <a:ln w="9525">
                            <a:noFill/>
                            <a:miter lim="800000"/>
                            <a:headEnd/>
                            <a:tailEnd/>
                          </a:ln>
                        </pic:spPr>
                      </pic:pic>
                    </a:graphicData>
                  </a:graphic>
                </wp:inline>
              </w:drawing>
            </w:r>
          </w:p>
        </w:tc>
        <w:tc>
          <w:tcPr>
            <w:tcW w:w="4756" w:type="dxa"/>
            <w:shd w:val="clear" w:color="auto" w:fill="auto"/>
          </w:tcPr>
          <w:p w:rsidR="007551D0" w:rsidRPr="000C1ABE" w:rsidRDefault="007551D0" w:rsidP="00DB2B5E">
            <w:pPr>
              <w:spacing w:before="120" w:after="120" w:line="240" w:lineRule="auto"/>
              <w:jc w:val="both"/>
              <w:rPr>
                <w:rFonts w:ascii="Arial" w:hAnsi="Arial" w:cs="Arial"/>
                <w:sz w:val="24"/>
                <w:szCs w:val="24"/>
                <w:lang w:val="it-IT"/>
              </w:rPr>
            </w:pPr>
            <w:r>
              <w:rPr>
                <w:noProof/>
                <w:lang w:eastAsia="ro-RO"/>
              </w:rPr>
              <w:drawing>
                <wp:inline distT="0" distB="0" distL="0" distR="0">
                  <wp:extent cx="2838450" cy="1857375"/>
                  <wp:effectExtent l="19050" t="0" r="0" b="0"/>
                  <wp:docPr id="21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a:srcRect/>
                          <a:stretch>
                            <a:fillRect/>
                          </a:stretch>
                        </pic:blipFill>
                        <pic:spPr bwMode="auto">
                          <a:xfrm>
                            <a:off x="0" y="0"/>
                            <a:ext cx="2838450" cy="1857375"/>
                          </a:xfrm>
                          <a:prstGeom prst="rect">
                            <a:avLst/>
                          </a:prstGeom>
                          <a:noFill/>
                          <a:ln w="9525">
                            <a:noFill/>
                            <a:miter lim="800000"/>
                            <a:headEnd/>
                            <a:tailEnd/>
                          </a:ln>
                        </pic:spPr>
                      </pic:pic>
                    </a:graphicData>
                  </a:graphic>
                </wp:inline>
              </w:drawing>
            </w:r>
          </w:p>
        </w:tc>
      </w:tr>
    </w:tbl>
    <w:p w:rsidR="007551D0" w:rsidRPr="00AA0D5E" w:rsidRDefault="007551D0" w:rsidP="007551D0">
      <w:pPr>
        <w:spacing w:before="120" w:after="120" w:line="240" w:lineRule="auto"/>
        <w:jc w:val="center"/>
        <w:rPr>
          <w:rFonts w:ascii="Arial" w:hAnsi="Arial" w:cs="Arial"/>
          <w:b/>
          <w:sz w:val="24"/>
          <w:szCs w:val="24"/>
          <w:lang w:val="it-IT"/>
        </w:rPr>
      </w:pPr>
      <w:r w:rsidRPr="00AA0D5E">
        <w:rPr>
          <w:rFonts w:ascii="Arial" w:hAnsi="Arial" w:cs="Arial"/>
          <w:b/>
          <w:sz w:val="24"/>
          <w:szCs w:val="24"/>
          <w:lang w:val="it-IT"/>
        </w:rPr>
        <w:t>Figura II.2.3.</w:t>
      </w:r>
      <w:r>
        <w:rPr>
          <w:rFonts w:ascii="Arial" w:hAnsi="Arial" w:cs="Arial"/>
          <w:b/>
          <w:sz w:val="24"/>
          <w:szCs w:val="24"/>
          <w:lang w:val="it-IT"/>
        </w:rPr>
        <w:t>2</w:t>
      </w:r>
    </w:p>
    <w:p w:rsidR="007551D0" w:rsidRDefault="007551D0" w:rsidP="007551D0">
      <w:pPr>
        <w:spacing w:after="0" w:line="240" w:lineRule="auto"/>
        <w:ind w:firstLine="567"/>
        <w:jc w:val="both"/>
        <w:rPr>
          <w:rFonts w:ascii="Arial" w:hAnsi="Arial" w:cs="Arial"/>
          <w:sz w:val="24"/>
          <w:szCs w:val="24"/>
          <w:lang w:val="it-IT"/>
        </w:rPr>
      </w:pPr>
    </w:p>
    <w:p w:rsidR="007551D0" w:rsidRPr="00AA0D5E" w:rsidRDefault="007551D0" w:rsidP="007551D0">
      <w:pPr>
        <w:spacing w:before="120" w:after="120" w:line="240" w:lineRule="auto"/>
        <w:jc w:val="both"/>
        <w:rPr>
          <w:rFonts w:ascii="Arial" w:hAnsi="Arial" w:cs="Arial"/>
          <w:b/>
          <w:sz w:val="24"/>
          <w:szCs w:val="24"/>
          <w:lang w:val="it-IT"/>
        </w:rPr>
      </w:pPr>
      <w:r w:rsidRPr="00AA0D5E">
        <w:rPr>
          <w:rFonts w:ascii="Arial" w:hAnsi="Arial" w:cs="Arial"/>
          <w:b/>
          <w:sz w:val="24"/>
          <w:szCs w:val="24"/>
          <w:lang w:val="it-IT"/>
        </w:rPr>
        <w:t>Rezultatele aplicării scenariului de bază  pentru sursele de emisii ale azotului (punctiforme și difuze)  în anul  2012 (stânga) și anul 2021 (dreapta)</w:t>
      </w:r>
    </w:p>
    <w:tbl>
      <w:tblPr>
        <w:tblW w:w="0" w:type="auto"/>
        <w:jc w:val="center"/>
        <w:tblLook w:val="04A0"/>
      </w:tblPr>
      <w:tblGrid>
        <w:gridCol w:w="4868"/>
        <w:gridCol w:w="4809"/>
      </w:tblGrid>
      <w:tr w:rsidR="007551D0" w:rsidRPr="000C1ABE" w:rsidTr="00DB2B5E">
        <w:trPr>
          <w:jc w:val="center"/>
        </w:trPr>
        <w:tc>
          <w:tcPr>
            <w:tcW w:w="4761" w:type="dxa"/>
            <w:shd w:val="clear" w:color="auto" w:fill="auto"/>
          </w:tcPr>
          <w:p w:rsidR="007551D0" w:rsidRPr="000C1ABE" w:rsidRDefault="007551D0" w:rsidP="00DB2B5E">
            <w:pPr>
              <w:spacing w:before="120" w:after="120" w:line="240" w:lineRule="auto"/>
              <w:jc w:val="both"/>
              <w:rPr>
                <w:rFonts w:ascii="Arial" w:hAnsi="Arial" w:cs="Arial"/>
                <w:sz w:val="24"/>
                <w:szCs w:val="24"/>
                <w:lang w:val="it-IT"/>
              </w:rPr>
            </w:pPr>
            <w:r>
              <w:rPr>
                <w:rFonts w:ascii="Arial" w:hAnsi="Arial" w:cs="Arial"/>
                <w:noProof/>
                <w:sz w:val="24"/>
                <w:szCs w:val="24"/>
                <w:lang w:eastAsia="ro-RO"/>
              </w:rPr>
              <w:lastRenderedPageBreak/>
              <w:drawing>
                <wp:inline distT="0" distB="0" distL="0" distR="0">
                  <wp:extent cx="2934970" cy="1740535"/>
                  <wp:effectExtent l="19050" t="0" r="0" b="0"/>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2934970" cy="1740535"/>
                          </a:xfrm>
                          <a:prstGeom prst="rect">
                            <a:avLst/>
                          </a:prstGeom>
                          <a:noFill/>
                        </pic:spPr>
                      </pic:pic>
                    </a:graphicData>
                  </a:graphic>
                </wp:inline>
              </w:drawing>
            </w:r>
          </w:p>
        </w:tc>
        <w:tc>
          <w:tcPr>
            <w:tcW w:w="4809" w:type="dxa"/>
            <w:shd w:val="clear" w:color="auto" w:fill="auto"/>
          </w:tcPr>
          <w:p w:rsidR="007551D0" w:rsidRPr="000C1ABE" w:rsidRDefault="007551D0" w:rsidP="00DB2B5E">
            <w:pPr>
              <w:spacing w:before="120" w:after="120" w:line="240" w:lineRule="auto"/>
              <w:jc w:val="both"/>
              <w:rPr>
                <w:rFonts w:ascii="Arial" w:hAnsi="Arial" w:cs="Arial"/>
                <w:sz w:val="24"/>
                <w:szCs w:val="24"/>
                <w:lang w:val="it-IT"/>
              </w:rPr>
            </w:pPr>
            <w:r>
              <w:rPr>
                <w:rFonts w:ascii="Arial" w:hAnsi="Arial" w:cs="Arial"/>
                <w:noProof/>
                <w:sz w:val="24"/>
                <w:szCs w:val="24"/>
                <w:lang w:eastAsia="ro-RO"/>
              </w:rPr>
              <w:drawing>
                <wp:inline distT="0" distB="0" distL="0" distR="0">
                  <wp:extent cx="2780665" cy="1739900"/>
                  <wp:effectExtent l="19050" t="0" r="635" b="0"/>
                  <wp:docPr id="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2780665" cy="1739900"/>
                          </a:xfrm>
                          <a:prstGeom prst="rect">
                            <a:avLst/>
                          </a:prstGeom>
                          <a:noFill/>
                        </pic:spPr>
                      </pic:pic>
                    </a:graphicData>
                  </a:graphic>
                </wp:inline>
              </w:drawing>
            </w:r>
          </w:p>
        </w:tc>
      </w:tr>
    </w:tbl>
    <w:p w:rsidR="007551D0" w:rsidRDefault="007551D0" w:rsidP="007551D0">
      <w:pPr>
        <w:spacing w:before="120" w:after="120" w:line="240" w:lineRule="auto"/>
        <w:jc w:val="center"/>
        <w:rPr>
          <w:rFonts w:ascii="Arial" w:hAnsi="Arial" w:cs="Arial"/>
          <w:sz w:val="24"/>
          <w:szCs w:val="24"/>
          <w:lang w:val="it-IT"/>
        </w:rPr>
      </w:pPr>
      <w:r w:rsidRPr="00AA0D5E">
        <w:rPr>
          <w:rFonts w:ascii="Arial" w:hAnsi="Arial" w:cs="Arial"/>
          <w:b/>
          <w:sz w:val="24"/>
          <w:szCs w:val="24"/>
          <w:lang w:val="it-IT"/>
        </w:rPr>
        <w:t>Figura II.2.3.</w:t>
      </w:r>
      <w:r>
        <w:rPr>
          <w:rFonts w:ascii="Arial" w:hAnsi="Arial" w:cs="Arial"/>
          <w:b/>
          <w:sz w:val="24"/>
          <w:szCs w:val="24"/>
          <w:lang w:val="it-IT"/>
        </w:rPr>
        <w:t>3</w:t>
      </w:r>
      <w:r>
        <w:rPr>
          <w:rFonts w:ascii="Arial" w:hAnsi="Arial" w:cs="Arial"/>
          <w:sz w:val="24"/>
          <w:szCs w:val="24"/>
          <w:lang w:val="it-IT"/>
        </w:rPr>
        <w:t xml:space="preserve"> </w:t>
      </w:r>
    </w:p>
    <w:p w:rsidR="007551D0" w:rsidRPr="00AA0D5E" w:rsidRDefault="007551D0" w:rsidP="007551D0">
      <w:pPr>
        <w:spacing w:before="120" w:after="120" w:line="240" w:lineRule="auto"/>
        <w:jc w:val="both"/>
        <w:rPr>
          <w:rFonts w:ascii="Arial" w:hAnsi="Arial" w:cs="Arial"/>
          <w:b/>
          <w:sz w:val="24"/>
          <w:szCs w:val="24"/>
          <w:lang w:val="it-IT"/>
        </w:rPr>
      </w:pPr>
      <w:r w:rsidRPr="00AA0D5E">
        <w:rPr>
          <w:rFonts w:ascii="Arial" w:hAnsi="Arial" w:cs="Arial"/>
          <w:b/>
          <w:sz w:val="24"/>
          <w:szCs w:val="24"/>
          <w:lang w:val="it-IT"/>
        </w:rPr>
        <w:t xml:space="preserve">Rezultatele aplicării scenariului de bază  pentru sursele de emisii ale </w:t>
      </w:r>
      <w:r>
        <w:rPr>
          <w:rFonts w:ascii="Arial" w:hAnsi="Arial" w:cs="Arial"/>
          <w:b/>
          <w:sz w:val="24"/>
          <w:szCs w:val="24"/>
          <w:lang w:val="it-IT"/>
        </w:rPr>
        <w:t>fosforului</w:t>
      </w:r>
      <w:r w:rsidRPr="00AA0D5E">
        <w:rPr>
          <w:rFonts w:ascii="Arial" w:hAnsi="Arial" w:cs="Arial"/>
          <w:b/>
          <w:sz w:val="24"/>
          <w:szCs w:val="24"/>
          <w:lang w:val="it-IT"/>
        </w:rPr>
        <w:t xml:space="preserve"> (punctiforme și difuze)  în anul  2012 (stânga) și anul 2021 (dreapta)</w:t>
      </w:r>
    </w:p>
    <w:tbl>
      <w:tblPr>
        <w:tblW w:w="0" w:type="auto"/>
        <w:jc w:val="center"/>
        <w:tblLook w:val="04A0"/>
      </w:tblPr>
      <w:tblGrid>
        <w:gridCol w:w="4806"/>
        <w:gridCol w:w="4956"/>
      </w:tblGrid>
      <w:tr w:rsidR="007551D0" w:rsidRPr="000C1ABE" w:rsidTr="00DB2B5E">
        <w:trPr>
          <w:jc w:val="center"/>
        </w:trPr>
        <w:tc>
          <w:tcPr>
            <w:tcW w:w="4714" w:type="dxa"/>
            <w:shd w:val="clear" w:color="auto" w:fill="auto"/>
          </w:tcPr>
          <w:p w:rsidR="007551D0" w:rsidRPr="000C1ABE" w:rsidRDefault="007551D0" w:rsidP="00DB2B5E">
            <w:pPr>
              <w:spacing w:before="120" w:after="120" w:line="240" w:lineRule="auto"/>
              <w:jc w:val="both"/>
              <w:rPr>
                <w:rFonts w:ascii="Arial" w:hAnsi="Arial" w:cs="Arial"/>
                <w:sz w:val="24"/>
                <w:szCs w:val="24"/>
                <w:lang w:val="it-IT"/>
              </w:rPr>
            </w:pPr>
            <w:r>
              <w:rPr>
                <w:noProof/>
                <w:lang w:eastAsia="ro-RO"/>
              </w:rPr>
              <w:drawing>
                <wp:inline distT="0" distB="0" distL="0" distR="0">
                  <wp:extent cx="2895600" cy="1809750"/>
                  <wp:effectExtent l="19050" t="0" r="0" b="0"/>
                  <wp:docPr id="21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a:srcRect/>
                          <a:stretch>
                            <a:fillRect/>
                          </a:stretch>
                        </pic:blipFill>
                        <pic:spPr bwMode="auto">
                          <a:xfrm>
                            <a:off x="0" y="0"/>
                            <a:ext cx="2895600" cy="1809750"/>
                          </a:xfrm>
                          <a:prstGeom prst="rect">
                            <a:avLst/>
                          </a:prstGeom>
                          <a:noFill/>
                          <a:ln w="9525">
                            <a:noFill/>
                            <a:miter lim="800000"/>
                            <a:headEnd/>
                            <a:tailEnd/>
                          </a:ln>
                        </pic:spPr>
                      </pic:pic>
                    </a:graphicData>
                  </a:graphic>
                </wp:inline>
              </w:drawing>
            </w:r>
          </w:p>
        </w:tc>
        <w:tc>
          <w:tcPr>
            <w:tcW w:w="4856" w:type="dxa"/>
            <w:shd w:val="clear" w:color="auto" w:fill="auto"/>
          </w:tcPr>
          <w:p w:rsidR="007551D0" w:rsidRPr="000C1ABE" w:rsidRDefault="007551D0" w:rsidP="00DB2B5E">
            <w:pPr>
              <w:spacing w:before="120" w:after="120" w:line="240" w:lineRule="auto"/>
              <w:jc w:val="both"/>
              <w:rPr>
                <w:rFonts w:ascii="Arial" w:hAnsi="Arial" w:cs="Arial"/>
                <w:sz w:val="24"/>
                <w:szCs w:val="24"/>
                <w:lang w:val="it-IT"/>
              </w:rPr>
            </w:pPr>
            <w:r>
              <w:rPr>
                <w:noProof/>
                <w:lang w:eastAsia="ro-RO"/>
              </w:rPr>
              <w:drawing>
                <wp:inline distT="0" distB="0" distL="0" distR="0">
                  <wp:extent cx="2990850" cy="1809750"/>
                  <wp:effectExtent l="19050" t="0" r="0" b="0"/>
                  <wp:docPr id="21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srcRect/>
                          <a:stretch>
                            <a:fillRect/>
                          </a:stretch>
                        </pic:blipFill>
                        <pic:spPr bwMode="auto">
                          <a:xfrm>
                            <a:off x="0" y="0"/>
                            <a:ext cx="2990850" cy="1809750"/>
                          </a:xfrm>
                          <a:prstGeom prst="rect">
                            <a:avLst/>
                          </a:prstGeom>
                          <a:noFill/>
                          <a:ln w="9525">
                            <a:noFill/>
                            <a:miter lim="800000"/>
                            <a:headEnd/>
                            <a:tailEnd/>
                          </a:ln>
                        </pic:spPr>
                      </pic:pic>
                    </a:graphicData>
                  </a:graphic>
                </wp:inline>
              </w:drawing>
            </w:r>
          </w:p>
        </w:tc>
      </w:tr>
    </w:tbl>
    <w:p w:rsidR="007551D0" w:rsidRDefault="007551D0" w:rsidP="007551D0">
      <w:pPr>
        <w:spacing w:before="120" w:after="120" w:line="240" w:lineRule="auto"/>
        <w:jc w:val="center"/>
        <w:rPr>
          <w:rFonts w:ascii="Arial" w:hAnsi="Arial" w:cs="Arial"/>
          <w:sz w:val="24"/>
          <w:szCs w:val="24"/>
          <w:lang w:val="it-IT"/>
        </w:rPr>
      </w:pPr>
      <w:r w:rsidRPr="00AA0D5E">
        <w:rPr>
          <w:rFonts w:ascii="Arial" w:hAnsi="Arial" w:cs="Arial"/>
          <w:b/>
          <w:sz w:val="24"/>
          <w:szCs w:val="24"/>
          <w:lang w:val="it-IT"/>
        </w:rPr>
        <w:t>Figura II.2.3.</w:t>
      </w:r>
      <w:r>
        <w:rPr>
          <w:rFonts w:ascii="Arial" w:hAnsi="Arial" w:cs="Arial"/>
          <w:b/>
          <w:sz w:val="24"/>
          <w:szCs w:val="24"/>
          <w:lang w:val="it-IT"/>
        </w:rPr>
        <w:t>4</w:t>
      </w:r>
      <w:r>
        <w:rPr>
          <w:rFonts w:ascii="Arial" w:hAnsi="Arial" w:cs="Arial"/>
          <w:sz w:val="24"/>
          <w:szCs w:val="24"/>
          <w:lang w:val="it-IT"/>
        </w:rPr>
        <w:t xml:space="preserve"> </w:t>
      </w:r>
    </w:p>
    <w:p w:rsidR="007551D0" w:rsidRDefault="007551D0" w:rsidP="007551D0">
      <w:pPr>
        <w:spacing w:before="120" w:after="120" w:line="240" w:lineRule="auto"/>
        <w:jc w:val="both"/>
        <w:rPr>
          <w:rFonts w:ascii="Arial" w:hAnsi="Arial" w:cs="Arial"/>
          <w:sz w:val="24"/>
          <w:szCs w:val="24"/>
        </w:rPr>
      </w:pPr>
      <w:r w:rsidRPr="002E19F4">
        <w:rPr>
          <w:rFonts w:ascii="Arial" w:hAnsi="Arial" w:cs="Arial"/>
          <w:i/>
          <w:sz w:val="24"/>
          <w:szCs w:val="24"/>
        </w:rPr>
        <w:t xml:space="preserve">Sursa datelor: Administrația Națională </w:t>
      </w:r>
      <w:r>
        <w:rPr>
          <w:rFonts w:ascii="Arial" w:hAnsi="Arial" w:cs="Arial"/>
          <w:i/>
          <w:sz w:val="24"/>
          <w:szCs w:val="24"/>
        </w:rPr>
        <w:t>„</w:t>
      </w:r>
      <w:r w:rsidRPr="002E19F4">
        <w:rPr>
          <w:rFonts w:ascii="Arial" w:hAnsi="Arial" w:cs="Arial"/>
          <w:i/>
          <w:sz w:val="24"/>
          <w:szCs w:val="24"/>
        </w:rPr>
        <w:t>Apele Române</w:t>
      </w:r>
      <w:r>
        <w:rPr>
          <w:rFonts w:ascii="Arial" w:hAnsi="Arial" w:cs="Arial"/>
          <w:i/>
          <w:sz w:val="24"/>
          <w:szCs w:val="24"/>
        </w:rPr>
        <w:t>”</w:t>
      </w:r>
      <w:r w:rsidRPr="002E19F4">
        <w:rPr>
          <w:rFonts w:ascii="Arial" w:hAnsi="Arial" w:cs="Arial"/>
          <w:i/>
          <w:sz w:val="24"/>
          <w:szCs w:val="24"/>
        </w:rPr>
        <w:t xml:space="preserve">, </w:t>
      </w:r>
      <w:r w:rsidRPr="003008E5">
        <w:rPr>
          <w:rFonts w:ascii="Arial" w:hAnsi="Arial" w:cs="Arial"/>
          <w:i/>
          <w:sz w:val="24"/>
          <w:szCs w:val="24"/>
        </w:rPr>
        <w:t>Plan</w:t>
      </w:r>
      <w:r>
        <w:rPr>
          <w:rFonts w:ascii="Arial" w:hAnsi="Arial" w:cs="Arial"/>
          <w:i/>
          <w:sz w:val="24"/>
          <w:szCs w:val="24"/>
        </w:rPr>
        <w:t>ul</w:t>
      </w:r>
      <w:r w:rsidRPr="003008E5">
        <w:rPr>
          <w:rFonts w:ascii="Arial" w:hAnsi="Arial" w:cs="Arial"/>
          <w:i/>
          <w:sz w:val="24"/>
          <w:szCs w:val="24"/>
        </w:rPr>
        <w:t xml:space="preserve"> Național de Management</w:t>
      </w:r>
      <w:r>
        <w:rPr>
          <w:rFonts w:ascii="Arial" w:hAnsi="Arial" w:cs="Arial"/>
          <w:i/>
          <w:sz w:val="24"/>
          <w:szCs w:val="24"/>
        </w:rPr>
        <w:t xml:space="preserve"> actualizat aprobat prin HG nr. 859/2016 </w:t>
      </w:r>
      <w:r w:rsidRPr="00A52B63">
        <w:rPr>
          <w:rFonts w:ascii="Arial" w:hAnsi="Arial" w:cs="Arial"/>
          <w:i/>
          <w:sz w:val="24"/>
          <w:szCs w:val="24"/>
        </w:rPr>
        <w:t>pentru aprobarea Planului naţional de management actualizat aferent porţiunii din bazinul hidrografic internaţional al fluviului Dunărea care este cuprinsă în teritoriul României</w:t>
      </w:r>
      <w:r w:rsidRPr="002E19F4">
        <w:rPr>
          <w:rFonts w:ascii="Arial" w:hAnsi="Arial" w:cs="Arial"/>
          <w:i/>
          <w:sz w:val="24"/>
          <w:szCs w:val="24"/>
        </w:rPr>
        <w:t>)</w:t>
      </w:r>
    </w:p>
    <w:p w:rsidR="007551D0" w:rsidRPr="005841B6" w:rsidRDefault="007551D0" w:rsidP="00BC32DF">
      <w:pPr>
        <w:spacing w:after="0" w:line="240" w:lineRule="auto"/>
        <w:ind w:firstLine="567"/>
        <w:jc w:val="both"/>
        <w:rPr>
          <w:rFonts w:ascii="Arial" w:hAnsi="Arial" w:cs="Arial"/>
          <w:sz w:val="24"/>
          <w:szCs w:val="24"/>
          <w:lang w:val="it-IT"/>
        </w:rPr>
      </w:pPr>
      <w:r w:rsidRPr="00DB5A67">
        <w:rPr>
          <w:rFonts w:ascii="Arial" w:hAnsi="Arial" w:cs="Arial"/>
          <w:b/>
          <w:i/>
          <w:sz w:val="24"/>
          <w:szCs w:val="24"/>
          <w:lang w:val="it-IT"/>
        </w:rPr>
        <w:t>Poluarea cu substanțe chimice periculoase</w:t>
      </w:r>
      <w:r w:rsidRPr="005841B6">
        <w:rPr>
          <w:rFonts w:ascii="Arial" w:hAnsi="Arial" w:cs="Arial"/>
          <w:sz w:val="24"/>
          <w:szCs w:val="24"/>
          <w:lang w:val="it-IT"/>
        </w:rPr>
        <w:t xml:space="preserve"> poate deteriora semnificativ starea corpurilor de apă și indirect poate avea efecte asupra stării de sănătate a populației. În conformitate cu prevederile directivelor europene în domeniul apelor,există 3 tipuri de substanțe chimice periculoase, și anume:</w:t>
      </w:r>
    </w:p>
    <w:p w:rsidR="007551D0" w:rsidRPr="005841B6" w:rsidRDefault="007551D0" w:rsidP="00BC32DF">
      <w:pPr>
        <w:numPr>
          <w:ilvl w:val="0"/>
          <w:numId w:val="84"/>
        </w:numPr>
        <w:spacing w:after="0" w:line="240" w:lineRule="auto"/>
        <w:ind w:left="284" w:hanging="284"/>
        <w:jc w:val="both"/>
        <w:rPr>
          <w:rFonts w:ascii="Arial" w:hAnsi="Arial" w:cs="Arial"/>
          <w:sz w:val="24"/>
          <w:szCs w:val="24"/>
          <w:lang w:val="it-IT"/>
        </w:rPr>
      </w:pPr>
      <w:r w:rsidRPr="005841B6">
        <w:rPr>
          <w:rFonts w:ascii="Arial" w:hAnsi="Arial" w:cs="Arial"/>
          <w:sz w:val="24"/>
          <w:szCs w:val="24"/>
          <w:lang w:val="it-IT"/>
        </w:rPr>
        <w:t>substanțe prioritare – poluanți sau grupe de poluanți care prezintă risc semnificativ asupra mediului acvatic, incluzând și apele utilizate pentru captarea apei potabile;</w:t>
      </w:r>
    </w:p>
    <w:p w:rsidR="007551D0" w:rsidRPr="005841B6" w:rsidRDefault="007551D0" w:rsidP="00BC32DF">
      <w:pPr>
        <w:numPr>
          <w:ilvl w:val="0"/>
          <w:numId w:val="84"/>
        </w:numPr>
        <w:spacing w:after="0" w:line="240" w:lineRule="auto"/>
        <w:ind w:left="284" w:hanging="284"/>
        <w:jc w:val="both"/>
        <w:rPr>
          <w:rFonts w:ascii="Arial" w:hAnsi="Arial" w:cs="Arial"/>
          <w:sz w:val="24"/>
          <w:szCs w:val="24"/>
          <w:lang w:val="it-IT"/>
        </w:rPr>
      </w:pPr>
      <w:r w:rsidRPr="005841B6">
        <w:rPr>
          <w:rFonts w:ascii="Arial" w:hAnsi="Arial" w:cs="Arial"/>
          <w:sz w:val="24"/>
          <w:szCs w:val="24"/>
          <w:lang w:val="it-IT"/>
        </w:rPr>
        <w:t>substanțe prioritare periculoase – poluanți sau grupe de poluanți care prezintă același risc ca și cele precedente și în plus sunte toxice, persistente și bioacumulabile;</w:t>
      </w:r>
    </w:p>
    <w:p w:rsidR="007551D0" w:rsidRPr="005841B6" w:rsidRDefault="007551D0" w:rsidP="00BC32DF">
      <w:pPr>
        <w:numPr>
          <w:ilvl w:val="0"/>
          <w:numId w:val="84"/>
        </w:numPr>
        <w:spacing w:after="0" w:line="240" w:lineRule="auto"/>
        <w:ind w:left="284" w:hanging="284"/>
        <w:jc w:val="both"/>
        <w:rPr>
          <w:rFonts w:ascii="Arial" w:hAnsi="Arial" w:cs="Arial"/>
          <w:sz w:val="24"/>
          <w:szCs w:val="24"/>
          <w:lang w:val="it-IT"/>
        </w:rPr>
      </w:pPr>
      <w:r w:rsidRPr="005841B6">
        <w:rPr>
          <w:rFonts w:ascii="Arial" w:hAnsi="Arial" w:cs="Arial"/>
          <w:sz w:val="24"/>
          <w:szCs w:val="24"/>
          <w:lang w:val="it-IT"/>
        </w:rPr>
        <w:t>poluanți specifici la nivel de bazin hidrografic - poluanți sau grupe de poluanți specifice unui anumit bazin hidrografic.</w:t>
      </w:r>
    </w:p>
    <w:p w:rsidR="007551D0" w:rsidRDefault="007551D0" w:rsidP="00BC32DF">
      <w:pPr>
        <w:spacing w:after="0" w:line="240" w:lineRule="auto"/>
        <w:ind w:firstLine="567"/>
        <w:jc w:val="both"/>
        <w:rPr>
          <w:rFonts w:ascii="Arial" w:hAnsi="Arial" w:cs="Arial"/>
          <w:sz w:val="24"/>
          <w:szCs w:val="24"/>
          <w:lang w:val="it-IT"/>
        </w:rPr>
      </w:pPr>
      <w:r w:rsidRPr="005841B6">
        <w:rPr>
          <w:rFonts w:ascii="Arial" w:hAnsi="Arial" w:cs="Arial"/>
          <w:sz w:val="24"/>
          <w:szCs w:val="24"/>
          <w:lang w:val="it-IT"/>
        </w:rPr>
        <w:t>Din categoria substanțelor periculoase fac parte produsele chimice artificiale, metalele, hidrocarburile aromatice policiclice, fenolii, disruptorii endocrini și pesticidele, etc. În vederea atingerii și menținerii stării bune a apelor este necesară conformarea cu standardele de calitate impuse la nivel european</w:t>
      </w:r>
      <w:r>
        <w:rPr>
          <w:rFonts w:ascii="Arial" w:hAnsi="Arial" w:cs="Arial"/>
          <w:sz w:val="24"/>
          <w:szCs w:val="24"/>
          <w:lang w:val="it-IT"/>
        </w:rPr>
        <w:t xml:space="preserve"> (</w:t>
      </w:r>
      <w:r w:rsidRPr="00B941F5">
        <w:rPr>
          <w:rFonts w:ascii="Arial" w:hAnsi="Arial" w:cs="Arial"/>
          <w:sz w:val="24"/>
          <w:szCs w:val="24"/>
          <w:lang w:val="it-IT"/>
        </w:rPr>
        <w:t>Directiva 2013/39/CE</w:t>
      </w:r>
      <w:r>
        <w:rPr>
          <w:rFonts w:ascii="Arial" w:hAnsi="Arial" w:cs="Arial"/>
          <w:sz w:val="24"/>
          <w:szCs w:val="24"/>
          <w:lang w:val="it-IT"/>
        </w:rPr>
        <w:t>)</w:t>
      </w:r>
      <w:r w:rsidRPr="005841B6">
        <w:rPr>
          <w:rFonts w:ascii="Arial" w:hAnsi="Arial" w:cs="Arial"/>
          <w:sz w:val="24"/>
          <w:szCs w:val="24"/>
          <w:lang w:val="it-IT"/>
        </w:rPr>
        <w:t>, reducerea progresivă a poluării cauzate de substanțele prioritare și de poluanții specifici, cât și stoparea sau eliminarea emisiilor, descărcărilor și pierderilor de substanțe prioritare periculoase.</w:t>
      </w:r>
      <w:r>
        <w:rPr>
          <w:rFonts w:ascii="Arial" w:hAnsi="Arial" w:cs="Arial"/>
          <w:sz w:val="24"/>
          <w:szCs w:val="24"/>
          <w:lang w:val="it-IT"/>
        </w:rPr>
        <w:t xml:space="preserve"> </w:t>
      </w:r>
    </w:p>
    <w:p w:rsidR="007551D0" w:rsidRDefault="007551D0" w:rsidP="00BC32DF">
      <w:pPr>
        <w:spacing w:after="0" w:line="240" w:lineRule="auto"/>
        <w:ind w:firstLine="567"/>
        <w:jc w:val="both"/>
        <w:rPr>
          <w:rFonts w:ascii="Arial" w:hAnsi="Arial" w:cs="Arial"/>
          <w:b/>
          <w:sz w:val="24"/>
          <w:szCs w:val="24"/>
        </w:rPr>
      </w:pPr>
      <w:r w:rsidRPr="000D3364">
        <w:rPr>
          <w:rFonts w:ascii="Arial" w:hAnsi="Arial" w:cs="Arial"/>
          <w:sz w:val="24"/>
          <w:szCs w:val="24"/>
          <w:lang w:val="it-IT"/>
        </w:rPr>
        <w:t xml:space="preserve">În </w:t>
      </w:r>
      <w:r w:rsidRPr="000D3364">
        <w:rPr>
          <w:rFonts w:ascii="Arial" w:hAnsi="Arial" w:cs="Arial"/>
          <w:i/>
          <w:sz w:val="24"/>
          <w:szCs w:val="24"/>
          <w:lang w:val="it-IT"/>
        </w:rPr>
        <w:t>Figura II.2.3.</w:t>
      </w:r>
      <w:r>
        <w:rPr>
          <w:rFonts w:ascii="Arial" w:hAnsi="Arial" w:cs="Arial"/>
          <w:i/>
          <w:sz w:val="24"/>
          <w:szCs w:val="24"/>
          <w:lang w:val="it-IT"/>
        </w:rPr>
        <w:t>5</w:t>
      </w:r>
      <w:r>
        <w:rPr>
          <w:rFonts w:ascii="Arial" w:hAnsi="Arial" w:cs="Arial"/>
          <w:sz w:val="24"/>
          <w:szCs w:val="24"/>
          <w:lang w:val="it-IT"/>
        </w:rPr>
        <w:t xml:space="preserve"> </w:t>
      </w:r>
      <w:r w:rsidRPr="000D3364">
        <w:rPr>
          <w:rFonts w:ascii="Arial" w:hAnsi="Arial" w:cs="Arial"/>
          <w:sz w:val="24"/>
          <w:szCs w:val="24"/>
          <w:lang w:val="it-IT"/>
        </w:rPr>
        <w:t xml:space="preserve">este ilustrată evoluţia stării ecologice/potenţialului ecologic al corpurilor de apă cuprinse în </w:t>
      </w:r>
      <w:r>
        <w:rPr>
          <w:rFonts w:ascii="Arial" w:hAnsi="Arial" w:cs="Arial"/>
          <w:sz w:val="24"/>
          <w:szCs w:val="24"/>
          <w:lang w:val="it-IT"/>
        </w:rPr>
        <w:t xml:space="preserve">cel de-al doilea </w:t>
      </w:r>
      <w:r w:rsidRPr="000D3364">
        <w:rPr>
          <w:rFonts w:ascii="Arial" w:hAnsi="Arial" w:cs="Arial"/>
          <w:sz w:val="24"/>
          <w:szCs w:val="24"/>
          <w:lang w:val="it-IT"/>
        </w:rPr>
        <w:t>Plan de Management, comparativ cu primul Plan de Management</w:t>
      </w:r>
      <w:r>
        <w:rPr>
          <w:rFonts w:ascii="Arial" w:hAnsi="Arial" w:cs="Arial"/>
          <w:sz w:val="24"/>
          <w:szCs w:val="24"/>
          <w:lang w:val="it-IT"/>
        </w:rPr>
        <w:t>, pentru cele două cicluri de planificare la 6 ani aferente.</w:t>
      </w:r>
    </w:p>
    <w:p w:rsidR="007551D0" w:rsidRDefault="007551D0" w:rsidP="007551D0">
      <w:pPr>
        <w:spacing w:before="120" w:after="120" w:line="240" w:lineRule="auto"/>
        <w:jc w:val="both"/>
        <w:rPr>
          <w:rFonts w:ascii="Arial" w:hAnsi="Arial" w:cs="Arial"/>
          <w:b/>
          <w:sz w:val="24"/>
          <w:szCs w:val="24"/>
        </w:rPr>
      </w:pPr>
      <w:r w:rsidRPr="00883A82">
        <w:rPr>
          <w:rFonts w:ascii="Arial" w:hAnsi="Arial" w:cs="Arial"/>
          <w:b/>
          <w:sz w:val="24"/>
          <w:szCs w:val="24"/>
        </w:rPr>
        <w:lastRenderedPageBreak/>
        <w:t>Evoluţia stării ecologice/potenţialului ecologic al corpurilor de apă de suprafaţă –cel de al 2-lea Plan de Management (2021) şi primul Plan de Management (2015)</w:t>
      </w:r>
    </w:p>
    <w:p w:rsidR="007551D0" w:rsidRPr="000D3364" w:rsidRDefault="007551D0" w:rsidP="007551D0">
      <w:pPr>
        <w:spacing w:before="120" w:after="120" w:line="240" w:lineRule="auto"/>
        <w:jc w:val="both"/>
        <w:rPr>
          <w:rFonts w:ascii="Arial" w:hAnsi="Arial" w:cs="Arial"/>
          <w:sz w:val="24"/>
          <w:szCs w:val="24"/>
          <w:lang w:val="it-IT"/>
        </w:rPr>
      </w:pPr>
    </w:p>
    <w:p w:rsidR="007551D0" w:rsidRDefault="007551D0" w:rsidP="007551D0">
      <w:pPr>
        <w:spacing w:before="120" w:after="120" w:line="240" w:lineRule="auto"/>
        <w:jc w:val="center"/>
        <w:rPr>
          <w:rFonts w:ascii="Arial" w:hAnsi="Arial" w:cs="Arial"/>
          <w:sz w:val="24"/>
          <w:szCs w:val="24"/>
          <w:lang w:val="it-IT"/>
        </w:rPr>
      </w:pPr>
      <w:r>
        <w:rPr>
          <w:rFonts w:ascii="Arial" w:hAnsi="Arial" w:cs="Arial"/>
          <w:noProof/>
          <w:sz w:val="24"/>
          <w:szCs w:val="24"/>
          <w:lang w:eastAsia="ro-RO"/>
        </w:rPr>
        <w:drawing>
          <wp:inline distT="0" distB="0" distL="0" distR="0">
            <wp:extent cx="5438775" cy="3020572"/>
            <wp:effectExtent l="19050" t="0" r="9525" b="0"/>
            <wp:docPr id="2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srcRect/>
                    <a:stretch>
                      <a:fillRect/>
                    </a:stretch>
                  </pic:blipFill>
                  <pic:spPr bwMode="auto">
                    <a:xfrm>
                      <a:off x="0" y="0"/>
                      <a:ext cx="5438775" cy="3020572"/>
                    </a:xfrm>
                    <a:prstGeom prst="rect">
                      <a:avLst/>
                    </a:prstGeom>
                    <a:solidFill>
                      <a:schemeClr val="tx2">
                        <a:lumMod val="20000"/>
                        <a:lumOff val="80000"/>
                      </a:schemeClr>
                    </a:solidFill>
                    <a:ln w="9525">
                      <a:noFill/>
                      <a:miter lim="800000"/>
                      <a:headEnd/>
                      <a:tailEnd/>
                    </a:ln>
                  </pic:spPr>
                </pic:pic>
              </a:graphicData>
            </a:graphic>
          </wp:inline>
        </w:drawing>
      </w:r>
    </w:p>
    <w:p w:rsidR="007551D0" w:rsidRPr="000D3364" w:rsidRDefault="007551D0" w:rsidP="0093284E">
      <w:pPr>
        <w:spacing w:before="120" w:after="120" w:line="240" w:lineRule="auto"/>
        <w:jc w:val="center"/>
        <w:rPr>
          <w:rFonts w:ascii="Arial" w:hAnsi="Arial" w:cs="Arial"/>
          <w:b/>
          <w:sz w:val="24"/>
          <w:szCs w:val="24"/>
          <w:lang w:val="it-IT"/>
        </w:rPr>
      </w:pPr>
      <w:r w:rsidRPr="000D3364">
        <w:rPr>
          <w:rFonts w:ascii="Arial" w:hAnsi="Arial" w:cs="Arial"/>
          <w:b/>
          <w:sz w:val="24"/>
          <w:szCs w:val="24"/>
          <w:lang w:val="it-IT"/>
        </w:rPr>
        <w:t>Figura II.2.3.</w:t>
      </w:r>
      <w:r>
        <w:rPr>
          <w:rFonts w:ascii="Arial" w:hAnsi="Arial" w:cs="Arial"/>
          <w:b/>
          <w:sz w:val="24"/>
          <w:szCs w:val="24"/>
          <w:lang w:val="it-IT"/>
        </w:rPr>
        <w:t>5</w:t>
      </w:r>
    </w:p>
    <w:p w:rsidR="007551D0" w:rsidRPr="002E19F4" w:rsidRDefault="007551D0" w:rsidP="007551D0">
      <w:pPr>
        <w:spacing w:before="120" w:after="120" w:line="240" w:lineRule="auto"/>
        <w:jc w:val="both"/>
        <w:rPr>
          <w:rFonts w:ascii="Arial" w:hAnsi="Arial" w:cs="Arial"/>
          <w:i/>
          <w:sz w:val="24"/>
          <w:szCs w:val="24"/>
        </w:rPr>
      </w:pPr>
      <w:r>
        <w:rPr>
          <w:rFonts w:ascii="Arial" w:hAnsi="Arial" w:cs="Arial"/>
          <w:i/>
          <w:sz w:val="24"/>
          <w:szCs w:val="24"/>
        </w:rPr>
        <w:t>(</w:t>
      </w:r>
      <w:r w:rsidRPr="002E19F4">
        <w:rPr>
          <w:rFonts w:ascii="Arial" w:hAnsi="Arial" w:cs="Arial"/>
          <w:i/>
          <w:sz w:val="24"/>
          <w:szCs w:val="24"/>
        </w:rPr>
        <w:t xml:space="preserve">Sursa datelor: Administrația Națională </w:t>
      </w:r>
      <w:r>
        <w:rPr>
          <w:rFonts w:ascii="Arial" w:hAnsi="Arial" w:cs="Arial"/>
          <w:i/>
          <w:sz w:val="24"/>
          <w:szCs w:val="24"/>
        </w:rPr>
        <w:t>„</w:t>
      </w:r>
      <w:r w:rsidRPr="002E19F4">
        <w:rPr>
          <w:rFonts w:ascii="Arial" w:hAnsi="Arial" w:cs="Arial"/>
          <w:i/>
          <w:sz w:val="24"/>
          <w:szCs w:val="24"/>
        </w:rPr>
        <w:t>Apele Române</w:t>
      </w:r>
      <w:r>
        <w:rPr>
          <w:rFonts w:ascii="Arial" w:hAnsi="Arial" w:cs="Arial"/>
          <w:i/>
          <w:sz w:val="24"/>
          <w:szCs w:val="24"/>
        </w:rPr>
        <w:t>”</w:t>
      </w:r>
      <w:r w:rsidRPr="002E19F4">
        <w:rPr>
          <w:rFonts w:ascii="Arial" w:hAnsi="Arial" w:cs="Arial"/>
          <w:i/>
          <w:sz w:val="24"/>
          <w:szCs w:val="24"/>
        </w:rPr>
        <w:t xml:space="preserve">, </w:t>
      </w:r>
      <w:r w:rsidRPr="003008E5">
        <w:rPr>
          <w:rFonts w:ascii="Arial" w:hAnsi="Arial" w:cs="Arial"/>
          <w:i/>
          <w:sz w:val="24"/>
          <w:szCs w:val="24"/>
        </w:rPr>
        <w:t>Plan</w:t>
      </w:r>
      <w:r>
        <w:rPr>
          <w:rFonts w:ascii="Arial" w:hAnsi="Arial" w:cs="Arial"/>
          <w:i/>
          <w:sz w:val="24"/>
          <w:szCs w:val="24"/>
        </w:rPr>
        <w:t>ul</w:t>
      </w:r>
      <w:r w:rsidRPr="003008E5">
        <w:rPr>
          <w:rFonts w:ascii="Arial" w:hAnsi="Arial" w:cs="Arial"/>
          <w:i/>
          <w:sz w:val="24"/>
          <w:szCs w:val="24"/>
        </w:rPr>
        <w:t xml:space="preserve"> Național de Management </w:t>
      </w:r>
      <w:r>
        <w:rPr>
          <w:rFonts w:ascii="Arial" w:hAnsi="Arial" w:cs="Arial"/>
          <w:i/>
          <w:sz w:val="24"/>
          <w:szCs w:val="24"/>
        </w:rPr>
        <w:t>actualizat apobat prin HG nr. 859/2016 pentru aprobarea Planului N</w:t>
      </w:r>
      <w:r w:rsidRPr="00315527">
        <w:rPr>
          <w:rFonts w:ascii="Arial" w:hAnsi="Arial" w:cs="Arial"/>
          <w:i/>
          <w:sz w:val="24"/>
          <w:szCs w:val="24"/>
        </w:rPr>
        <w:t>aţional de management actualizat aferent porţiunii din bazinul hidrografic internaţional al fluviului Dunărea care este cuprinsă în teritoriul României</w:t>
      </w:r>
      <w:r w:rsidRPr="002E19F4">
        <w:rPr>
          <w:rFonts w:ascii="Arial" w:hAnsi="Arial" w:cs="Arial"/>
          <w:i/>
          <w:sz w:val="24"/>
          <w:szCs w:val="24"/>
        </w:rPr>
        <w:t>)</w:t>
      </w:r>
    </w:p>
    <w:p w:rsidR="007551D0" w:rsidRDefault="007551D0" w:rsidP="007551D0">
      <w:pPr>
        <w:spacing w:before="120" w:after="120" w:line="240" w:lineRule="auto"/>
        <w:ind w:firstLine="567"/>
        <w:jc w:val="both"/>
        <w:rPr>
          <w:rFonts w:ascii="Arial" w:hAnsi="Arial" w:cs="Arial"/>
          <w:sz w:val="24"/>
          <w:szCs w:val="24"/>
          <w:lang w:val="it-IT"/>
        </w:rPr>
      </w:pPr>
      <w:r w:rsidRPr="00BA2365">
        <w:rPr>
          <w:rFonts w:ascii="Arial" w:hAnsi="Arial" w:cs="Arial"/>
          <w:sz w:val="24"/>
          <w:szCs w:val="24"/>
          <w:lang w:val="it-IT"/>
        </w:rPr>
        <w:t>În cadrul Plan</w:t>
      </w:r>
      <w:r>
        <w:rPr>
          <w:rFonts w:ascii="Arial" w:hAnsi="Arial" w:cs="Arial"/>
          <w:sz w:val="24"/>
          <w:szCs w:val="24"/>
          <w:lang w:val="it-IT"/>
        </w:rPr>
        <w:t>ului</w:t>
      </w:r>
      <w:r w:rsidRPr="00BA2365">
        <w:rPr>
          <w:rFonts w:ascii="Arial" w:hAnsi="Arial" w:cs="Arial"/>
          <w:sz w:val="24"/>
          <w:szCs w:val="24"/>
          <w:lang w:val="it-IT"/>
        </w:rPr>
        <w:t xml:space="preserve"> </w:t>
      </w:r>
      <w:r>
        <w:rPr>
          <w:rFonts w:ascii="Arial" w:hAnsi="Arial" w:cs="Arial"/>
          <w:sz w:val="24"/>
          <w:szCs w:val="24"/>
          <w:lang w:val="it-IT"/>
        </w:rPr>
        <w:t xml:space="preserve">Național </w:t>
      </w:r>
      <w:r w:rsidRPr="00BA2365">
        <w:rPr>
          <w:rFonts w:ascii="Arial" w:hAnsi="Arial" w:cs="Arial"/>
          <w:sz w:val="24"/>
          <w:szCs w:val="24"/>
          <w:lang w:val="it-IT"/>
        </w:rPr>
        <w:t xml:space="preserve">de management </w:t>
      </w:r>
      <w:r>
        <w:rPr>
          <w:rFonts w:ascii="Arial" w:hAnsi="Arial" w:cs="Arial"/>
          <w:sz w:val="24"/>
          <w:szCs w:val="24"/>
          <w:lang w:val="it-IT"/>
        </w:rPr>
        <w:t xml:space="preserve"> aprobat prin HG nr. 859/2016 </w:t>
      </w:r>
      <w:r w:rsidRPr="00315527">
        <w:rPr>
          <w:rFonts w:ascii="Arial" w:hAnsi="Arial" w:cs="Arial"/>
          <w:sz w:val="24"/>
          <w:szCs w:val="24"/>
          <w:lang w:val="it-IT"/>
        </w:rPr>
        <w:t>pentru aprobarea Planului naţional de management actualizat aferent porţiunii din bazinul hidrografic internaţional al fluviului Dunărea care este cuprinsă în teritoriul României</w:t>
      </w:r>
      <w:r w:rsidRPr="00BA2365">
        <w:rPr>
          <w:rFonts w:ascii="Arial" w:hAnsi="Arial" w:cs="Arial"/>
          <w:sz w:val="24"/>
          <w:szCs w:val="24"/>
          <w:lang w:val="it-IT"/>
        </w:rPr>
        <w:t xml:space="preserve">, </w:t>
      </w:r>
      <w:r>
        <w:rPr>
          <w:rFonts w:ascii="Arial" w:hAnsi="Arial" w:cs="Arial"/>
          <w:sz w:val="24"/>
          <w:szCs w:val="24"/>
          <w:lang w:val="it-IT"/>
        </w:rPr>
        <w:t>s-au</w:t>
      </w:r>
      <w:r w:rsidRPr="00BA2365">
        <w:rPr>
          <w:rFonts w:ascii="Arial" w:hAnsi="Arial" w:cs="Arial"/>
          <w:sz w:val="24"/>
          <w:szCs w:val="24"/>
          <w:lang w:val="it-IT"/>
        </w:rPr>
        <w:t xml:space="preserve"> stabilit măsuri pentru fiecare categorie de probleme importante de gospodărirea apelor, pe baza progreselor înregistrate în implementarea măsurilor prevăzute în primul Plan de management, a rezultatelor privind caracterizarea bazinelor/spaţiilor hidrografice, impactului activitățílor umane și analizei economice a utilizării apei, atât pentru apele de suprafață, cât și pentru cele subterane, la nivelul anului 2013. Cel de-al doilea plan de management include  în continuarea primului plan de management, măsuri de bază și suplimentare care se implementează până în anul 2021 și </w:t>
      </w:r>
      <w:r>
        <w:rPr>
          <w:rFonts w:ascii="Arial" w:hAnsi="Arial" w:cs="Arial"/>
          <w:sz w:val="24"/>
          <w:szCs w:val="24"/>
          <w:lang w:val="it-IT"/>
        </w:rPr>
        <w:t xml:space="preserve">sunt </w:t>
      </w:r>
      <w:r w:rsidRPr="00BA2365">
        <w:rPr>
          <w:rFonts w:ascii="Arial" w:hAnsi="Arial" w:cs="Arial"/>
          <w:sz w:val="24"/>
          <w:szCs w:val="24"/>
          <w:lang w:val="it-IT"/>
        </w:rPr>
        <w:t>stabilite, dacă este cazul, și măsuri pentru următorul ciclu de planificare pentru anul 2027, în vederea atingerii obiectivelor de mediu ale corpurilor de apă.</w:t>
      </w:r>
    </w:p>
    <w:p w:rsidR="007551D0" w:rsidRPr="00611F31" w:rsidRDefault="007551D0" w:rsidP="007551D0">
      <w:pPr>
        <w:pStyle w:val="Default"/>
        <w:rPr>
          <w:rFonts w:ascii="Arial" w:hAnsi="Arial" w:cs="Arial"/>
          <w:b/>
          <w:bCs/>
          <w:iCs/>
          <w:color w:val="auto"/>
          <w:u w:val="single"/>
        </w:rPr>
      </w:pPr>
    </w:p>
    <w:p w:rsidR="007551D0" w:rsidRPr="00BA0B99" w:rsidRDefault="007551D0" w:rsidP="007551D0">
      <w:pPr>
        <w:pStyle w:val="Default"/>
        <w:rPr>
          <w:rFonts w:ascii="Arial" w:hAnsi="Arial" w:cs="Arial"/>
          <w:i/>
          <w:iCs/>
          <w:color w:val="auto"/>
        </w:rPr>
      </w:pPr>
      <w:r w:rsidRPr="00BA0B99">
        <w:rPr>
          <w:rFonts w:ascii="Arial" w:hAnsi="Arial" w:cs="Arial"/>
          <w:b/>
          <w:bCs/>
          <w:i/>
          <w:iCs/>
          <w:color w:val="auto"/>
        </w:rPr>
        <w:t xml:space="preserve">II.2.4. Politici, acţiuni şi măsuri privind îmbunătăţirea stării de calitate a apelor </w:t>
      </w:r>
    </w:p>
    <w:p w:rsidR="007551D0" w:rsidRPr="00E92120" w:rsidRDefault="007551D0" w:rsidP="00252ED3">
      <w:pPr>
        <w:pStyle w:val="Default"/>
        <w:widowControl w:val="0"/>
        <w:numPr>
          <w:ilvl w:val="0"/>
          <w:numId w:val="16"/>
        </w:numPr>
        <w:rPr>
          <w:rFonts w:ascii="Arial" w:hAnsi="Arial" w:cs="Arial"/>
          <w:color w:val="auto"/>
        </w:rPr>
      </w:pPr>
    </w:p>
    <w:p w:rsidR="007551D0" w:rsidRPr="00E92120" w:rsidRDefault="007551D0" w:rsidP="00252ED3">
      <w:pPr>
        <w:pStyle w:val="Default"/>
        <w:widowControl w:val="0"/>
        <w:numPr>
          <w:ilvl w:val="0"/>
          <w:numId w:val="16"/>
        </w:numPr>
        <w:rPr>
          <w:rFonts w:ascii="Arial" w:hAnsi="Arial" w:cs="Arial"/>
          <w:color w:val="auto"/>
        </w:rPr>
      </w:pPr>
      <w:r w:rsidRPr="00E92120">
        <w:rPr>
          <w:rFonts w:ascii="Arial" w:hAnsi="Arial" w:cs="Arial"/>
          <w:bCs/>
          <w:iCs/>
        </w:rPr>
        <w:t>În vederea:</w:t>
      </w:r>
    </w:p>
    <w:p w:rsidR="007551D0" w:rsidRPr="00E92120" w:rsidRDefault="007551D0" w:rsidP="00252ED3">
      <w:pPr>
        <w:pStyle w:val="Default"/>
        <w:widowControl w:val="0"/>
        <w:numPr>
          <w:ilvl w:val="0"/>
          <w:numId w:val="17"/>
        </w:numPr>
        <w:rPr>
          <w:rFonts w:ascii="Arial" w:hAnsi="Arial" w:cs="Arial"/>
          <w:color w:val="auto"/>
        </w:rPr>
      </w:pPr>
      <w:r w:rsidRPr="00E92120">
        <w:rPr>
          <w:rFonts w:ascii="Arial" w:hAnsi="Arial" w:cs="Arial"/>
          <w:bCs/>
          <w:iCs/>
        </w:rPr>
        <w:t xml:space="preserve"> utilizării şi gestionării eficiente și durabile a resurselor de apă</w:t>
      </w:r>
    </w:p>
    <w:p w:rsidR="007551D0" w:rsidRPr="00E92120" w:rsidRDefault="007551D0" w:rsidP="00252ED3">
      <w:pPr>
        <w:pStyle w:val="Default"/>
        <w:widowControl w:val="0"/>
        <w:numPr>
          <w:ilvl w:val="0"/>
          <w:numId w:val="17"/>
        </w:numPr>
        <w:rPr>
          <w:rFonts w:ascii="Arial" w:hAnsi="Arial" w:cs="Arial"/>
          <w:color w:val="auto"/>
        </w:rPr>
      </w:pPr>
      <w:r w:rsidRPr="00E92120">
        <w:rPr>
          <w:rFonts w:ascii="Arial" w:hAnsi="Arial" w:cs="Arial"/>
          <w:bCs/>
          <w:iCs/>
        </w:rPr>
        <w:t xml:space="preserve"> </w:t>
      </w:r>
      <w:r w:rsidRPr="00E92120">
        <w:rPr>
          <w:rFonts w:ascii="Arial" w:hAnsi="Arial" w:cs="Arial"/>
          <w:color w:val="auto"/>
        </w:rPr>
        <w:t xml:space="preserve">protecţiei, îmbunătăţirii şi restaurării corpurilor de apă; </w:t>
      </w:r>
    </w:p>
    <w:p w:rsidR="007551D0" w:rsidRPr="00E92120" w:rsidRDefault="007551D0" w:rsidP="00252ED3">
      <w:pPr>
        <w:pStyle w:val="Default"/>
        <w:widowControl w:val="0"/>
        <w:numPr>
          <w:ilvl w:val="0"/>
          <w:numId w:val="17"/>
        </w:numPr>
        <w:rPr>
          <w:rFonts w:ascii="Arial" w:hAnsi="Arial" w:cs="Arial"/>
          <w:color w:val="auto"/>
        </w:rPr>
      </w:pPr>
      <w:r w:rsidRPr="00E92120">
        <w:rPr>
          <w:rFonts w:ascii="Arial" w:hAnsi="Arial" w:cs="Arial"/>
          <w:color w:val="auto"/>
        </w:rPr>
        <w:t xml:space="preserve"> limitării evacuărilor de substanţe prioritare/prioritar periculoase în apele de suprafaţă; </w:t>
      </w:r>
    </w:p>
    <w:p w:rsidR="007551D0" w:rsidRPr="00E92120" w:rsidRDefault="007551D0" w:rsidP="00252ED3">
      <w:pPr>
        <w:pStyle w:val="NormalWeb"/>
        <w:numPr>
          <w:ilvl w:val="0"/>
          <w:numId w:val="17"/>
        </w:numPr>
        <w:spacing w:before="0" w:beforeAutospacing="0"/>
        <w:jc w:val="left"/>
        <w:rPr>
          <w:rFonts w:ascii="Arial" w:hAnsi="Arial" w:cs="Arial"/>
          <w:bCs/>
          <w:iCs/>
        </w:rPr>
      </w:pPr>
      <w:r w:rsidRPr="00E92120">
        <w:rPr>
          <w:rFonts w:ascii="Arial" w:hAnsi="Arial" w:cs="Arial"/>
        </w:rPr>
        <w:t xml:space="preserve"> atingerii standardelor de calitate şi obiectivelor specifice prevăzute de legislaţia europeană în domeniul apelor.</w:t>
      </w:r>
      <w:r w:rsidRPr="00E92120">
        <w:rPr>
          <w:rFonts w:ascii="Arial" w:hAnsi="Arial" w:cs="Arial"/>
          <w:bCs/>
          <w:iCs/>
        </w:rPr>
        <w:t xml:space="preserve"> </w:t>
      </w:r>
    </w:p>
    <w:p w:rsidR="007551D0" w:rsidRPr="00E92120" w:rsidRDefault="007551D0" w:rsidP="007551D0">
      <w:pPr>
        <w:pStyle w:val="NormalWeb"/>
        <w:spacing w:before="0" w:beforeAutospacing="0"/>
        <w:rPr>
          <w:rFonts w:ascii="Arial" w:hAnsi="Arial" w:cs="Arial"/>
          <w:bCs/>
          <w:iCs/>
        </w:rPr>
      </w:pPr>
    </w:p>
    <w:p w:rsidR="007551D0" w:rsidRPr="00E92120" w:rsidRDefault="007551D0" w:rsidP="007551D0">
      <w:pPr>
        <w:pStyle w:val="NormalWeb"/>
        <w:spacing w:before="0" w:beforeAutospacing="0"/>
        <w:rPr>
          <w:rFonts w:ascii="Arial" w:hAnsi="Arial" w:cs="Arial"/>
        </w:rPr>
      </w:pPr>
      <w:r w:rsidRPr="00E92120">
        <w:rPr>
          <w:rFonts w:ascii="Arial" w:hAnsi="Arial" w:cs="Arial"/>
          <w:bCs/>
          <w:iCs/>
        </w:rPr>
        <w:t xml:space="preserve">În județul </w:t>
      </w:r>
      <w:r w:rsidR="00217620">
        <w:rPr>
          <w:rFonts w:ascii="Arial" w:hAnsi="Arial" w:cs="Arial"/>
          <w:bCs/>
          <w:iCs/>
        </w:rPr>
        <w:t>Brăila</w:t>
      </w:r>
      <w:r w:rsidRPr="00E92120">
        <w:rPr>
          <w:rFonts w:ascii="Arial" w:hAnsi="Arial" w:cs="Arial"/>
          <w:bCs/>
          <w:iCs/>
        </w:rPr>
        <w:t xml:space="preserve"> se află în implementare </w:t>
      </w:r>
      <w:r w:rsidRPr="00E92120">
        <w:rPr>
          <w:rStyle w:val="Strong"/>
          <w:rFonts w:ascii="Arial" w:eastAsia="SimSun" w:hAnsi="Arial" w:cs="Arial"/>
        </w:rPr>
        <w:t>Proiectul POS Mediu</w:t>
      </w:r>
      <w:r w:rsidRPr="00E92120">
        <w:rPr>
          <w:rFonts w:ascii="Arial" w:hAnsi="Arial" w:cs="Arial"/>
        </w:rPr>
        <w:t xml:space="preserve">l: </w:t>
      </w:r>
      <w:r w:rsidRPr="00E92120">
        <w:rPr>
          <w:rFonts w:ascii="Arial" w:hAnsi="Arial" w:cs="Arial"/>
          <w:b/>
        </w:rPr>
        <w:t xml:space="preserve">"Reabilitarea și modernizarea sistemelor de apă și apă uzată în judetul </w:t>
      </w:r>
      <w:r w:rsidR="007C1699">
        <w:rPr>
          <w:rFonts w:ascii="Arial" w:hAnsi="Arial" w:cs="Arial"/>
          <w:b/>
        </w:rPr>
        <w:t>BR</w:t>
      </w:r>
      <w:r w:rsidRPr="00E92120">
        <w:rPr>
          <w:rFonts w:ascii="Arial" w:hAnsi="Arial" w:cs="Arial"/>
          <w:b/>
        </w:rPr>
        <w:t>aila".</w:t>
      </w:r>
      <w:r w:rsidRPr="00E92120">
        <w:rPr>
          <w:rFonts w:ascii="Arial" w:hAnsi="Arial" w:cs="Arial"/>
        </w:rPr>
        <w:t xml:space="preserve">  </w:t>
      </w:r>
    </w:p>
    <w:p w:rsidR="007551D0" w:rsidRPr="00E92120" w:rsidRDefault="007551D0" w:rsidP="007551D0">
      <w:pPr>
        <w:pStyle w:val="NormalWeb"/>
        <w:spacing w:before="0" w:beforeAutospacing="0"/>
        <w:rPr>
          <w:rFonts w:ascii="Arial" w:hAnsi="Arial" w:cs="Arial"/>
        </w:rPr>
      </w:pPr>
      <w:r w:rsidRPr="00E92120">
        <w:rPr>
          <w:rFonts w:ascii="Arial" w:hAnsi="Arial" w:cs="Arial"/>
        </w:rPr>
        <w:t xml:space="preserve"> Beneficiarul Proiectului: S.C.Compania de Utilitați Publice Dunarea </w:t>
      </w:r>
      <w:r w:rsidR="00217620">
        <w:rPr>
          <w:rFonts w:ascii="Arial" w:hAnsi="Arial" w:cs="Arial"/>
        </w:rPr>
        <w:t>Brăila</w:t>
      </w:r>
      <w:r w:rsidRPr="00E92120">
        <w:rPr>
          <w:rFonts w:ascii="Arial" w:hAnsi="Arial" w:cs="Arial"/>
        </w:rPr>
        <w:t xml:space="preserve"> S.A.</w:t>
      </w:r>
    </w:p>
    <w:p w:rsidR="007551D0" w:rsidRPr="00E92120" w:rsidRDefault="007551D0" w:rsidP="007551D0">
      <w:pPr>
        <w:pStyle w:val="NormalWeb"/>
        <w:spacing w:before="0" w:beforeAutospacing="0"/>
        <w:rPr>
          <w:rFonts w:ascii="Arial" w:hAnsi="Arial" w:cs="Arial"/>
        </w:rPr>
      </w:pPr>
    </w:p>
    <w:p w:rsidR="007551D0" w:rsidRPr="00E92120" w:rsidRDefault="007551D0" w:rsidP="007551D0">
      <w:pPr>
        <w:pStyle w:val="NormalWeb"/>
        <w:spacing w:before="0" w:beforeAutospacing="0"/>
        <w:rPr>
          <w:rFonts w:ascii="Arial" w:hAnsi="Arial" w:cs="Arial"/>
        </w:rPr>
      </w:pPr>
      <w:r w:rsidRPr="00E92120">
        <w:rPr>
          <w:rFonts w:ascii="Arial" w:hAnsi="Arial" w:cs="Arial"/>
        </w:rPr>
        <w:t xml:space="preserve"> Elementele definitorii și stadiul de realizare la nivelul anului 201</w:t>
      </w:r>
      <w:r w:rsidR="007652A5">
        <w:rPr>
          <w:rFonts w:ascii="Arial" w:hAnsi="Arial" w:cs="Arial"/>
        </w:rPr>
        <w:t>6</w:t>
      </w:r>
      <w:r w:rsidRPr="00E92120">
        <w:rPr>
          <w:rFonts w:ascii="Arial" w:hAnsi="Arial" w:cs="Arial"/>
        </w:rPr>
        <w:t xml:space="preserve"> sunt prezentate în tabelul de mai jos:</w:t>
      </w:r>
    </w:p>
    <w:p w:rsidR="007551D0" w:rsidRPr="00E92120" w:rsidRDefault="007551D0" w:rsidP="007551D0">
      <w:pPr>
        <w:pStyle w:val="NormalWeb"/>
        <w:spacing w:before="0" w:beforeAutospacing="0"/>
        <w:rPr>
          <w:rFonts w:ascii="Arial" w:hAnsi="Arial" w:cs="Arial"/>
        </w:rPr>
      </w:pPr>
    </w:p>
    <w:p w:rsidR="007551D0" w:rsidRPr="004346D5" w:rsidRDefault="004346D5" w:rsidP="007551D0">
      <w:pPr>
        <w:spacing w:line="60" w:lineRule="atLeast"/>
        <w:jc w:val="both"/>
        <w:outlineLvl w:val="0"/>
        <w:rPr>
          <w:rFonts w:ascii="Arial" w:hAnsi="Arial" w:cs="Arial"/>
          <w:sz w:val="24"/>
          <w:szCs w:val="24"/>
        </w:rPr>
      </w:pPr>
      <w:r>
        <w:rPr>
          <w:rFonts w:ascii="Arial" w:hAnsi="Arial" w:cs="Arial"/>
          <w:sz w:val="24"/>
          <w:szCs w:val="24"/>
        </w:rPr>
        <w:t xml:space="preserve">   </w:t>
      </w:r>
      <w:r w:rsidR="007551D0" w:rsidRPr="004346D5">
        <w:rPr>
          <w:rFonts w:ascii="Arial" w:hAnsi="Arial" w:cs="Arial"/>
          <w:sz w:val="24"/>
          <w:szCs w:val="24"/>
        </w:rPr>
        <w:t xml:space="preserve">Tabel </w:t>
      </w:r>
      <w:r w:rsidR="007551D0" w:rsidRPr="004346D5">
        <w:rPr>
          <w:rFonts w:ascii="Arial" w:hAnsi="Arial" w:cs="Arial"/>
          <w:bCs/>
          <w:iCs/>
          <w:sz w:val="24"/>
          <w:szCs w:val="24"/>
        </w:rPr>
        <w:t>II.2.4. - 1</w:t>
      </w:r>
    </w:p>
    <w:tbl>
      <w:tblPr>
        <w:tblStyle w:val="TableGrid"/>
        <w:tblW w:w="9606" w:type="dxa"/>
        <w:jc w:val="center"/>
        <w:tblLook w:val="04A0"/>
      </w:tblPr>
      <w:tblGrid>
        <w:gridCol w:w="857"/>
        <w:gridCol w:w="6197"/>
        <w:gridCol w:w="2552"/>
      </w:tblGrid>
      <w:tr w:rsidR="007551D0" w:rsidRPr="00E92120" w:rsidTr="00DB2B5E">
        <w:trPr>
          <w:jc w:val="center"/>
        </w:trPr>
        <w:tc>
          <w:tcPr>
            <w:tcW w:w="857" w:type="dxa"/>
            <w:shd w:val="clear" w:color="auto" w:fill="CCC0D9" w:themeFill="accent4" w:themeFillTint="66"/>
            <w:vAlign w:val="center"/>
          </w:tcPr>
          <w:p w:rsidR="007551D0" w:rsidRPr="00E92120" w:rsidRDefault="007551D0" w:rsidP="00DB2B5E">
            <w:pPr>
              <w:jc w:val="center"/>
              <w:rPr>
                <w:rFonts w:ascii="Arial" w:hAnsi="Arial" w:cs="Arial"/>
                <w:sz w:val="24"/>
                <w:szCs w:val="24"/>
              </w:rPr>
            </w:pPr>
            <w:r w:rsidRPr="00E92120">
              <w:rPr>
                <w:rStyle w:val="Strong"/>
                <w:rFonts w:ascii="Arial" w:hAnsi="Arial" w:cs="Arial"/>
                <w:sz w:val="24"/>
                <w:szCs w:val="24"/>
              </w:rPr>
              <w:t>Nr.crt</w:t>
            </w:r>
          </w:p>
        </w:tc>
        <w:tc>
          <w:tcPr>
            <w:tcW w:w="6197" w:type="dxa"/>
            <w:shd w:val="clear" w:color="auto" w:fill="CCC0D9" w:themeFill="accent4" w:themeFillTint="66"/>
            <w:vAlign w:val="center"/>
          </w:tcPr>
          <w:p w:rsidR="007551D0" w:rsidRPr="00E92120" w:rsidRDefault="007551D0" w:rsidP="00DB2B5E">
            <w:pPr>
              <w:pStyle w:val="x95"/>
              <w:spacing w:before="0" w:beforeAutospacing="0" w:after="0" w:afterAutospacing="0"/>
              <w:jc w:val="center"/>
              <w:rPr>
                <w:rFonts w:ascii="Arial" w:hAnsi="Arial" w:cs="Arial"/>
              </w:rPr>
            </w:pPr>
            <w:r w:rsidRPr="00E92120">
              <w:rPr>
                <w:rStyle w:val="Strong"/>
                <w:rFonts w:ascii="Arial" w:eastAsia="SimSun" w:hAnsi="Arial" w:cs="Arial"/>
              </w:rPr>
              <w:t>Descrierea lucrărilor și a serviciilor care fac obiectul Proiectului POS Mediu</w:t>
            </w:r>
          </w:p>
        </w:tc>
        <w:tc>
          <w:tcPr>
            <w:tcW w:w="2552" w:type="dxa"/>
            <w:shd w:val="clear" w:color="auto" w:fill="CCC0D9" w:themeFill="accent4" w:themeFillTint="66"/>
            <w:vAlign w:val="center"/>
          </w:tcPr>
          <w:p w:rsidR="007551D0" w:rsidRPr="00E92120" w:rsidRDefault="007551D0" w:rsidP="00DB2B5E">
            <w:pPr>
              <w:pStyle w:val="x95"/>
              <w:spacing w:before="0" w:beforeAutospacing="0" w:after="0" w:afterAutospacing="0"/>
              <w:jc w:val="center"/>
              <w:rPr>
                <w:rStyle w:val="Strong"/>
                <w:rFonts w:ascii="Arial" w:eastAsia="SimSun" w:hAnsi="Arial" w:cs="Arial"/>
              </w:rPr>
            </w:pPr>
            <w:r w:rsidRPr="00E92120">
              <w:rPr>
                <w:rStyle w:val="Strong"/>
                <w:rFonts w:ascii="Arial" w:eastAsia="SimSun" w:hAnsi="Arial" w:cs="Arial"/>
              </w:rPr>
              <w:t xml:space="preserve">Stadiul contractelor la data de </w:t>
            </w:r>
          </w:p>
          <w:p w:rsidR="007551D0" w:rsidRPr="00E92120" w:rsidRDefault="007551D0" w:rsidP="00032C23">
            <w:pPr>
              <w:pStyle w:val="x95"/>
              <w:spacing w:before="0" w:beforeAutospacing="0" w:after="0" w:afterAutospacing="0"/>
              <w:jc w:val="center"/>
              <w:rPr>
                <w:rFonts w:ascii="Arial" w:hAnsi="Arial" w:cs="Arial"/>
              </w:rPr>
            </w:pPr>
            <w:r w:rsidRPr="00E92120">
              <w:rPr>
                <w:rStyle w:val="Strong"/>
                <w:rFonts w:ascii="Arial" w:eastAsia="SimSun" w:hAnsi="Arial" w:cs="Arial"/>
              </w:rPr>
              <w:t>31.12.201</w:t>
            </w:r>
            <w:r w:rsidR="00032C23">
              <w:rPr>
                <w:rStyle w:val="Strong"/>
                <w:rFonts w:ascii="Arial" w:eastAsia="SimSun" w:hAnsi="Arial" w:cs="Arial"/>
              </w:rPr>
              <w:t>6</w:t>
            </w:r>
          </w:p>
        </w:tc>
      </w:tr>
      <w:tr w:rsidR="007551D0" w:rsidRPr="00E92120" w:rsidTr="00DB2B5E">
        <w:trPr>
          <w:trHeight w:val="702"/>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1</w:t>
            </w:r>
          </w:p>
        </w:tc>
        <w:tc>
          <w:tcPr>
            <w:tcW w:w="6197" w:type="dxa"/>
            <w:shd w:val="clear" w:color="auto" w:fill="E5DFEC" w:themeFill="accent4" w:themeFillTint="33"/>
            <w:vAlign w:val="center"/>
          </w:tcPr>
          <w:p w:rsidR="007551D0" w:rsidRPr="00E92120" w:rsidRDefault="007551D0" w:rsidP="00DB2B5E">
            <w:pPr>
              <w:pStyle w:val="x95"/>
              <w:spacing w:before="0" w:beforeAutospacing="0" w:after="0" w:afterAutospacing="0"/>
              <w:rPr>
                <w:rFonts w:ascii="Arial" w:hAnsi="Arial" w:cs="Arial"/>
              </w:rPr>
            </w:pPr>
            <w:r w:rsidRPr="00E92120">
              <w:rPr>
                <w:rStyle w:val="Strong"/>
                <w:rFonts w:ascii="Arial" w:eastAsia="SimSun" w:hAnsi="Arial" w:cs="Arial"/>
              </w:rPr>
              <w:t xml:space="preserve">Proiect: Reabilitarea și modernizarea sistemelor de apă și apă uzată în județul </w:t>
            </w:r>
            <w:r w:rsidR="00217620">
              <w:rPr>
                <w:rStyle w:val="Strong"/>
                <w:rFonts w:ascii="Arial" w:eastAsia="SimSun" w:hAnsi="Arial" w:cs="Arial"/>
              </w:rPr>
              <w:t>Brăila</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rPr>
            </w:pPr>
            <w:r w:rsidRPr="00E92120">
              <w:rPr>
                <w:rStyle w:val="Strong"/>
                <w:rFonts w:ascii="Arial" w:eastAsia="SimSun" w:hAnsi="Arial" w:cs="Arial"/>
              </w:rPr>
              <w:t>În derulare</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2</w:t>
            </w:r>
          </w:p>
        </w:tc>
        <w:tc>
          <w:tcPr>
            <w:tcW w:w="6197" w:type="dxa"/>
            <w:shd w:val="clear" w:color="auto" w:fill="E5DFEC" w:themeFill="accent4" w:themeFillTint="33"/>
            <w:vAlign w:val="center"/>
          </w:tcPr>
          <w:p w:rsidR="007551D0" w:rsidRPr="00E92120" w:rsidRDefault="007551D0" w:rsidP="00DB2B5E">
            <w:pPr>
              <w:pStyle w:val="x95"/>
              <w:spacing w:before="0" w:beforeAutospacing="0" w:after="0" w:afterAutospacing="0"/>
              <w:rPr>
                <w:rFonts w:ascii="Arial" w:hAnsi="Arial" w:cs="Arial"/>
              </w:rPr>
            </w:pPr>
            <w:r w:rsidRPr="00E92120">
              <w:rPr>
                <w:rFonts w:ascii="Arial" w:hAnsi="Arial" w:cs="Arial"/>
              </w:rPr>
              <w:t>Asistența tehnică pentru Managementul Proiectului și Publicitate</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rPr>
            </w:pPr>
            <w:r w:rsidRPr="00E92120">
              <w:rPr>
                <w:rStyle w:val="Strong"/>
                <w:rFonts w:ascii="Arial" w:eastAsia="SimSun" w:hAnsi="Arial" w:cs="Arial"/>
              </w:rPr>
              <w:t>În derulare</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3</w:t>
            </w:r>
          </w:p>
        </w:tc>
        <w:tc>
          <w:tcPr>
            <w:tcW w:w="6197" w:type="dxa"/>
            <w:shd w:val="clear" w:color="auto" w:fill="E5DFEC" w:themeFill="accent4" w:themeFillTint="33"/>
            <w:vAlign w:val="center"/>
          </w:tcPr>
          <w:p w:rsidR="007551D0" w:rsidRPr="00E92120" w:rsidRDefault="007551D0" w:rsidP="00DB2B5E">
            <w:pPr>
              <w:rPr>
                <w:rFonts w:ascii="Arial" w:hAnsi="Arial" w:cs="Arial"/>
                <w:sz w:val="24"/>
                <w:szCs w:val="24"/>
              </w:rPr>
            </w:pPr>
            <w:r w:rsidRPr="00E92120">
              <w:rPr>
                <w:rFonts w:ascii="Arial" w:hAnsi="Arial" w:cs="Arial"/>
                <w:sz w:val="24"/>
                <w:szCs w:val="24"/>
              </w:rPr>
              <w:t xml:space="preserve">Reabilitare captare Chiscani, stație tratare Chiscani, stații de pompare și de clorinare, reabilitare și extindere rețele de apă și canalizare pe străzi comune- </w:t>
            </w:r>
            <w:r w:rsidRPr="00E92120">
              <w:rPr>
                <w:rStyle w:val="Strong"/>
                <w:rFonts w:ascii="Arial" w:hAnsi="Arial" w:cs="Arial"/>
                <w:sz w:val="24"/>
                <w:szCs w:val="24"/>
              </w:rPr>
              <w:t xml:space="preserve">Aglomerarea </w:t>
            </w:r>
            <w:r w:rsidR="00217620">
              <w:rPr>
                <w:rStyle w:val="Strong"/>
                <w:rFonts w:ascii="Arial" w:hAnsi="Arial" w:cs="Arial"/>
                <w:sz w:val="24"/>
                <w:szCs w:val="24"/>
              </w:rPr>
              <w:t>Brăila</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lucrarilor</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4</w:t>
            </w:r>
          </w:p>
        </w:tc>
        <w:tc>
          <w:tcPr>
            <w:tcW w:w="6197" w:type="dxa"/>
            <w:shd w:val="clear" w:color="auto" w:fill="E5DFEC" w:themeFill="accent4" w:themeFillTint="33"/>
            <w:vAlign w:val="center"/>
          </w:tcPr>
          <w:p w:rsidR="007551D0" w:rsidRPr="00E92120" w:rsidRDefault="007551D0" w:rsidP="00DB2B5E">
            <w:pPr>
              <w:pStyle w:val="x95"/>
              <w:spacing w:before="0" w:beforeAutospacing="0" w:after="0" w:afterAutospacing="0"/>
              <w:rPr>
                <w:rFonts w:ascii="Arial" w:hAnsi="Arial" w:cs="Arial"/>
                <w:b/>
                <w:bCs/>
              </w:rPr>
            </w:pPr>
            <w:r w:rsidRPr="00E92120">
              <w:rPr>
                <w:rFonts w:ascii="Arial" w:hAnsi="Arial" w:cs="Arial"/>
              </w:rPr>
              <w:t xml:space="preserve">Reabilitare captare Gropeni și stație nouă tratare, stații pompare apă </w:t>
            </w:r>
            <w:r w:rsidR="007C1699">
              <w:rPr>
                <w:rFonts w:ascii="Arial" w:hAnsi="Arial" w:cs="Arial"/>
              </w:rPr>
              <w:t>BR</w:t>
            </w:r>
            <w:r w:rsidRPr="00E92120">
              <w:rPr>
                <w:rFonts w:ascii="Arial" w:hAnsi="Arial" w:cs="Arial"/>
              </w:rPr>
              <w:t xml:space="preserve">ută și potabilă, conducte principale apă </w:t>
            </w:r>
            <w:r w:rsidR="007C1699">
              <w:rPr>
                <w:rFonts w:ascii="Arial" w:hAnsi="Arial" w:cs="Arial"/>
              </w:rPr>
              <w:t>BR</w:t>
            </w:r>
            <w:r w:rsidRPr="00E92120">
              <w:rPr>
                <w:rFonts w:ascii="Arial" w:hAnsi="Arial" w:cs="Arial"/>
              </w:rPr>
              <w:t xml:space="preserve">ută și potabilă- </w:t>
            </w:r>
            <w:r w:rsidRPr="00E92120">
              <w:rPr>
                <w:rStyle w:val="Strong"/>
                <w:rFonts w:ascii="Arial" w:eastAsia="SimSun" w:hAnsi="Arial" w:cs="Arial"/>
              </w:rPr>
              <w:t>Sistem Regional</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lucrarilor</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5</w:t>
            </w:r>
          </w:p>
        </w:tc>
        <w:tc>
          <w:tcPr>
            <w:tcW w:w="6197" w:type="dxa"/>
            <w:shd w:val="clear" w:color="auto" w:fill="E5DFEC" w:themeFill="accent4" w:themeFillTint="33"/>
            <w:vAlign w:val="center"/>
          </w:tcPr>
          <w:p w:rsidR="007551D0" w:rsidRPr="00E92120" w:rsidRDefault="007551D0" w:rsidP="00DB2B5E">
            <w:pPr>
              <w:rPr>
                <w:rFonts w:ascii="Arial" w:hAnsi="Arial" w:cs="Arial"/>
                <w:sz w:val="24"/>
                <w:szCs w:val="24"/>
              </w:rPr>
            </w:pPr>
            <w:r w:rsidRPr="00E92120">
              <w:rPr>
                <w:rFonts w:ascii="Arial" w:hAnsi="Arial" w:cs="Arial"/>
                <w:sz w:val="24"/>
                <w:szCs w:val="24"/>
              </w:rPr>
              <w:t xml:space="preserve">Reabilitare și extindere rețele de apă și canalizare pe străzi separate- </w:t>
            </w:r>
            <w:r w:rsidRPr="00E92120">
              <w:rPr>
                <w:rStyle w:val="Strong"/>
                <w:rFonts w:ascii="Arial" w:hAnsi="Arial" w:cs="Arial"/>
                <w:sz w:val="24"/>
                <w:szCs w:val="24"/>
              </w:rPr>
              <w:t xml:space="preserve">Aglomerarea </w:t>
            </w:r>
            <w:r w:rsidR="00217620">
              <w:rPr>
                <w:rStyle w:val="Strong"/>
                <w:rFonts w:ascii="Arial" w:hAnsi="Arial" w:cs="Arial"/>
                <w:sz w:val="24"/>
                <w:szCs w:val="24"/>
              </w:rPr>
              <w:t>Brăila</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lucrărilor</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6</w:t>
            </w:r>
          </w:p>
        </w:tc>
        <w:tc>
          <w:tcPr>
            <w:tcW w:w="6197" w:type="dxa"/>
            <w:shd w:val="clear" w:color="auto" w:fill="E5DFEC" w:themeFill="accent4" w:themeFillTint="33"/>
            <w:vAlign w:val="center"/>
          </w:tcPr>
          <w:p w:rsidR="007551D0" w:rsidRPr="00E92120" w:rsidRDefault="007551D0" w:rsidP="00DB2B5E">
            <w:pPr>
              <w:rPr>
                <w:rFonts w:ascii="Arial" w:hAnsi="Arial" w:cs="Arial"/>
                <w:sz w:val="24"/>
                <w:szCs w:val="24"/>
              </w:rPr>
            </w:pPr>
            <w:r w:rsidRPr="00E92120">
              <w:rPr>
                <w:rFonts w:ascii="Arial" w:hAnsi="Arial" w:cs="Arial"/>
                <w:sz w:val="24"/>
                <w:szCs w:val="24"/>
              </w:rPr>
              <w:t xml:space="preserve">Reabilitare și extindere stație de epurare – </w:t>
            </w:r>
          </w:p>
          <w:p w:rsidR="007551D0" w:rsidRPr="00E92120" w:rsidRDefault="007551D0" w:rsidP="00DB2B5E">
            <w:pPr>
              <w:rPr>
                <w:rFonts w:ascii="Arial" w:hAnsi="Arial" w:cs="Arial"/>
                <w:sz w:val="24"/>
                <w:szCs w:val="24"/>
              </w:rPr>
            </w:pPr>
            <w:r w:rsidRPr="00E92120">
              <w:rPr>
                <w:rFonts w:ascii="Arial" w:hAnsi="Arial" w:cs="Arial"/>
                <w:b/>
                <w:sz w:val="24"/>
                <w:szCs w:val="24"/>
              </w:rPr>
              <w:t>oraș</w:t>
            </w:r>
            <w:r w:rsidRPr="00E92120">
              <w:rPr>
                <w:rFonts w:ascii="Arial" w:hAnsi="Arial" w:cs="Arial"/>
                <w:sz w:val="24"/>
                <w:szCs w:val="24"/>
              </w:rPr>
              <w:t xml:space="preserve"> </w:t>
            </w:r>
            <w:r w:rsidRPr="00E92120">
              <w:rPr>
                <w:rStyle w:val="Strong"/>
                <w:rFonts w:ascii="Arial" w:hAnsi="Arial" w:cs="Arial"/>
                <w:sz w:val="24"/>
                <w:szCs w:val="24"/>
              </w:rPr>
              <w:t>Faurei</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lucrărilor</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7</w:t>
            </w:r>
          </w:p>
        </w:tc>
        <w:tc>
          <w:tcPr>
            <w:tcW w:w="6197" w:type="dxa"/>
            <w:shd w:val="clear" w:color="auto" w:fill="E5DFEC" w:themeFill="accent4" w:themeFillTint="33"/>
            <w:vAlign w:val="center"/>
          </w:tcPr>
          <w:p w:rsidR="007551D0" w:rsidRPr="00E92120" w:rsidRDefault="007551D0" w:rsidP="00DB2B5E">
            <w:pPr>
              <w:pStyle w:val="x95"/>
              <w:spacing w:before="0" w:beforeAutospacing="0" w:after="0" w:afterAutospacing="0"/>
              <w:rPr>
                <w:rFonts w:ascii="Arial" w:hAnsi="Arial" w:cs="Arial"/>
              </w:rPr>
            </w:pPr>
            <w:r w:rsidRPr="00E92120">
              <w:rPr>
                <w:rFonts w:ascii="Arial" w:hAnsi="Arial" w:cs="Arial"/>
              </w:rPr>
              <w:t xml:space="preserve">Reabilitare și extindere stație de epurare – </w:t>
            </w:r>
          </w:p>
          <w:p w:rsidR="007551D0" w:rsidRPr="00E92120" w:rsidRDefault="007551D0" w:rsidP="00DB2B5E">
            <w:pPr>
              <w:pStyle w:val="x95"/>
              <w:spacing w:before="0" w:beforeAutospacing="0" w:after="0" w:afterAutospacing="0"/>
              <w:rPr>
                <w:rFonts w:ascii="Arial" w:hAnsi="Arial" w:cs="Arial"/>
              </w:rPr>
            </w:pPr>
            <w:r w:rsidRPr="00E92120">
              <w:rPr>
                <w:rFonts w:ascii="Arial" w:hAnsi="Arial" w:cs="Arial"/>
                <w:b/>
              </w:rPr>
              <w:t>oraș</w:t>
            </w:r>
            <w:r w:rsidRPr="00E92120">
              <w:rPr>
                <w:rFonts w:ascii="Arial" w:hAnsi="Arial" w:cs="Arial"/>
              </w:rPr>
              <w:t xml:space="preserve"> </w:t>
            </w:r>
            <w:r w:rsidRPr="00E92120">
              <w:rPr>
                <w:rStyle w:val="Strong"/>
                <w:rFonts w:ascii="Arial" w:eastAsia="SimSun" w:hAnsi="Arial" w:cs="Arial"/>
              </w:rPr>
              <w:t>Insurătei</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bCs/>
              </w:rPr>
            </w:pPr>
            <w:r w:rsidRPr="00E92120">
              <w:rPr>
                <w:rStyle w:val="Strong"/>
                <w:rFonts w:ascii="Arial" w:eastAsia="SimSun" w:hAnsi="Arial" w:cs="Arial"/>
              </w:rPr>
              <w:t>Receptie la terminarea lucrarilor</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8</w:t>
            </w:r>
          </w:p>
        </w:tc>
        <w:tc>
          <w:tcPr>
            <w:tcW w:w="6197" w:type="dxa"/>
            <w:shd w:val="clear" w:color="auto" w:fill="E5DFEC" w:themeFill="accent4" w:themeFillTint="33"/>
            <w:vAlign w:val="center"/>
          </w:tcPr>
          <w:p w:rsidR="007551D0" w:rsidRPr="00E92120" w:rsidRDefault="007551D0" w:rsidP="00DB2B5E">
            <w:pPr>
              <w:pStyle w:val="x95"/>
              <w:spacing w:before="0" w:beforeAutospacing="0" w:after="0" w:afterAutospacing="0"/>
              <w:rPr>
                <w:rFonts w:ascii="Arial" w:hAnsi="Arial" w:cs="Arial"/>
              </w:rPr>
            </w:pPr>
            <w:r w:rsidRPr="00E92120">
              <w:rPr>
                <w:rFonts w:ascii="Arial" w:hAnsi="Arial" w:cs="Arial"/>
              </w:rPr>
              <w:t xml:space="preserve">Reabilitare rețele apă, reabilitare rezervor apă, stație pompare apă și stație clorinare, reabilitare și extindere rețele de canalizare, stații pompare ape uzate - </w:t>
            </w:r>
            <w:r w:rsidRPr="00E92120">
              <w:rPr>
                <w:rStyle w:val="Strong"/>
                <w:rFonts w:ascii="Arial" w:eastAsia="SimSun" w:hAnsi="Arial" w:cs="Arial"/>
              </w:rPr>
              <w:t>Aglomerarea Făurei</w:t>
            </w:r>
            <w:r w:rsidRPr="00E92120">
              <w:rPr>
                <w:rFonts w:ascii="Arial" w:hAnsi="Arial" w:cs="Arial"/>
              </w:rPr>
              <w:t xml:space="preserve"> -</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lucrărilor</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9</w:t>
            </w:r>
          </w:p>
        </w:tc>
        <w:tc>
          <w:tcPr>
            <w:tcW w:w="6197" w:type="dxa"/>
            <w:shd w:val="clear" w:color="auto" w:fill="E5DFEC" w:themeFill="accent4" w:themeFillTint="33"/>
            <w:vAlign w:val="center"/>
          </w:tcPr>
          <w:p w:rsidR="007551D0" w:rsidRPr="00E92120" w:rsidRDefault="007551D0" w:rsidP="00DB2B5E">
            <w:pPr>
              <w:pStyle w:val="x95"/>
              <w:spacing w:before="0" w:beforeAutospacing="0" w:after="0" w:afterAutospacing="0"/>
              <w:rPr>
                <w:rFonts w:ascii="Arial" w:hAnsi="Arial" w:cs="Arial"/>
              </w:rPr>
            </w:pPr>
            <w:r w:rsidRPr="00E92120">
              <w:rPr>
                <w:rFonts w:ascii="Arial" w:hAnsi="Arial" w:cs="Arial"/>
              </w:rPr>
              <w:t xml:space="preserve">Reabilitare și extindere rețele apa, reabilitare foraje, rezervor apa, stație pompare apă și stație clorinare, reabilitare și extindere rețele de canalizare, stație de pompare ape uzate - </w:t>
            </w:r>
            <w:r w:rsidRPr="00E92120">
              <w:rPr>
                <w:rStyle w:val="Strong"/>
                <w:rFonts w:ascii="Arial" w:eastAsia="SimSun" w:hAnsi="Arial" w:cs="Arial"/>
              </w:rPr>
              <w:t>Aglomerarea Insurăței</w:t>
            </w:r>
            <w:r w:rsidRPr="00E92120">
              <w:rPr>
                <w:rFonts w:ascii="Arial" w:hAnsi="Arial" w:cs="Arial"/>
              </w:rPr>
              <w:t xml:space="preserve"> </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rPr>
            </w:pPr>
            <w:r w:rsidRPr="00E92120">
              <w:rPr>
                <w:rStyle w:val="Strong"/>
                <w:rFonts w:ascii="Arial" w:eastAsia="SimSun" w:hAnsi="Arial" w:cs="Arial"/>
              </w:rPr>
              <w:t>Recepție la terminarea lucrarilor</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10</w:t>
            </w:r>
          </w:p>
        </w:tc>
        <w:tc>
          <w:tcPr>
            <w:tcW w:w="6197" w:type="dxa"/>
            <w:shd w:val="clear" w:color="auto" w:fill="E5DFEC" w:themeFill="accent4" w:themeFillTint="33"/>
            <w:vAlign w:val="center"/>
          </w:tcPr>
          <w:p w:rsidR="007551D0" w:rsidRPr="00E92120" w:rsidRDefault="007551D0" w:rsidP="00DB2B5E">
            <w:pPr>
              <w:pStyle w:val="x95"/>
              <w:spacing w:before="0" w:beforeAutospacing="0" w:after="0" w:afterAutospacing="0"/>
              <w:rPr>
                <w:rFonts w:ascii="Arial" w:hAnsi="Arial" w:cs="Arial"/>
              </w:rPr>
            </w:pPr>
            <w:r w:rsidRPr="00E92120">
              <w:rPr>
                <w:rFonts w:ascii="Arial" w:hAnsi="Arial" w:cs="Arial"/>
              </w:rPr>
              <w:t xml:space="preserve">Reabilitare și extindere rețele apă, reabilitare rezervor apă, stație pompare apă și stație clorinare, reabilitare și extindere rețele de canalizare, stație de pompare ape uzate- </w:t>
            </w:r>
            <w:r w:rsidRPr="00E92120">
              <w:rPr>
                <w:rStyle w:val="Strong"/>
                <w:rFonts w:ascii="Arial" w:eastAsia="SimSun" w:hAnsi="Arial" w:cs="Arial"/>
              </w:rPr>
              <w:t>Aglomerarea Ianca</w:t>
            </w:r>
            <w:r w:rsidRPr="00E92120">
              <w:rPr>
                <w:rFonts w:ascii="Arial" w:hAnsi="Arial" w:cs="Arial"/>
              </w:rPr>
              <w:t xml:space="preserve"> -</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lucrarilor</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11</w:t>
            </w:r>
          </w:p>
        </w:tc>
        <w:tc>
          <w:tcPr>
            <w:tcW w:w="6197" w:type="dxa"/>
            <w:shd w:val="clear" w:color="auto" w:fill="E5DFEC" w:themeFill="accent4" w:themeFillTint="33"/>
            <w:vAlign w:val="center"/>
          </w:tcPr>
          <w:p w:rsidR="007551D0" w:rsidRPr="00E92120" w:rsidRDefault="007551D0" w:rsidP="00DB2B5E">
            <w:pPr>
              <w:pStyle w:val="x95"/>
              <w:spacing w:before="0" w:beforeAutospacing="0" w:after="0" w:afterAutospacing="0"/>
              <w:rPr>
                <w:rFonts w:ascii="Arial" w:hAnsi="Arial" w:cs="Arial"/>
              </w:rPr>
            </w:pPr>
            <w:r w:rsidRPr="00E92120">
              <w:rPr>
                <w:rFonts w:ascii="Arial" w:hAnsi="Arial" w:cs="Arial"/>
              </w:rPr>
              <w:t xml:space="preserve">Extindere rețele apă, rezervor nou, rețele de canalizare, stație pompare ape uzate- </w:t>
            </w:r>
            <w:r w:rsidRPr="00E92120">
              <w:rPr>
                <w:rStyle w:val="Strong"/>
                <w:rFonts w:ascii="Arial" w:eastAsia="SimSun" w:hAnsi="Arial" w:cs="Arial"/>
              </w:rPr>
              <w:t>Aglomerarea Viziru</w:t>
            </w:r>
            <w:r w:rsidRPr="00E92120">
              <w:rPr>
                <w:rFonts w:ascii="Arial" w:hAnsi="Arial" w:cs="Arial"/>
              </w:rPr>
              <w:t xml:space="preserve"> -</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bCs/>
              </w:rPr>
            </w:pPr>
            <w:r w:rsidRPr="00E92120">
              <w:rPr>
                <w:rStyle w:val="Strong"/>
                <w:rFonts w:ascii="Arial" w:eastAsia="SimSun" w:hAnsi="Arial" w:cs="Arial"/>
              </w:rPr>
              <w:t>Recepție la terminarea lucrarilor</w:t>
            </w:r>
          </w:p>
        </w:tc>
      </w:tr>
      <w:tr w:rsidR="007551D0" w:rsidRPr="00E92120" w:rsidTr="00DB2B5E">
        <w:trPr>
          <w:jc w:val="center"/>
        </w:trPr>
        <w:tc>
          <w:tcPr>
            <w:tcW w:w="857" w:type="dxa"/>
            <w:shd w:val="clear" w:color="auto" w:fill="E5DFEC" w:themeFill="accent4" w:themeFillTint="33"/>
            <w:vAlign w:val="center"/>
          </w:tcPr>
          <w:p w:rsidR="007551D0" w:rsidRPr="00E92120" w:rsidRDefault="007551D0" w:rsidP="00DB2B5E">
            <w:pPr>
              <w:jc w:val="center"/>
              <w:rPr>
                <w:rFonts w:ascii="Arial" w:hAnsi="Arial" w:cs="Arial"/>
                <w:sz w:val="24"/>
                <w:szCs w:val="24"/>
              </w:rPr>
            </w:pPr>
            <w:r w:rsidRPr="00E92120">
              <w:rPr>
                <w:rFonts w:ascii="Arial" w:hAnsi="Arial" w:cs="Arial"/>
                <w:sz w:val="24"/>
                <w:szCs w:val="24"/>
              </w:rPr>
              <w:t>12</w:t>
            </w:r>
          </w:p>
        </w:tc>
        <w:tc>
          <w:tcPr>
            <w:tcW w:w="6197" w:type="dxa"/>
            <w:shd w:val="clear" w:color="auto" w:fill="E5DFEC" w:themeFill="accent4" w:themeFillTint="33"/>
            <w:vAlign w:val="center"/>
          </w:tcPr>
          <w:p w:rsidR="007551D0" w:rsidRPr="00E92120" w:rsidRDefault="007551D0" w:rsidP="00DB2B5E">
            <w:pPr>
              <w:pStyle w:val="x95"/>
              <w:spacing w:before="0" w:beforeAutospacing="0" w:after="0" w:afterAutospacing="0"/>
              <w:rPr>
                <w:rFonts w:ascii="Arial" w:hAnsi="Arial" w:cs="Arial"/>
              </w:rPr>
            </w:pPr>
            <w:r w:rsidRPr="00E92120">
              <w:rPr>
                <w:rFonts w:ascii="Arial" w:hAnsi="Arial" w:cs="Arial"/>
              </w:rPr>
              <w:t xml:space="preserve">Rețele de canalizare, stații pompare ape uzate- </w:t>
            </w:r>
            <w:r w:rsidRPr="00E92120">
              <w:rPr>
                <w:rStyle w:val="Strong"/>
                <w:rFonts w:ascii="Arial" w:eastAsia="SimSun" w:hAnsi="Arial" w:cs="Arial"/>
              </w:rPr>
              <w:t>Aglomerarea Tufesti</w:t>
            </w:r>
            <w:r w:rsidRPr="00E92120">
              <w:rPr>
                <w:rFonts w:ascii="Arial" w:hAnsi="Arial" w:cs="Arial"/>
              </w:rPr>
              <w:t xml:space="preserve"> -</w:t>
            </w:r>
          </w:p>
        </w:tc>
        <w:tc>
          <w:tcPr>
            <w:tcW w:w="2552" w:type="dxa"/>
            <w:shd w:val="clear" w:color="auto" w:fill="E5DFEC" w:themeFill="accent4" w:themeFillTint="33"/>
            <w:vAlign w:val="center"/>
          </w:tcPr>
          <w:p w:rsidR="007551D0" w:rsidRPr="00E92120" w:rsidRDefault="007551D0" w:rsidP="00DB2B5E">
            <w:pPr>
              <w:pStyle w:val="x95"/>
              <w:spacing w:before="0" w:beforeAutospacing="0" w:after="0" w:afterAutospacing="0"/>
              <w:jc w:val="center"/>
              <w:rPr>
                <w:rFonts w:ascii="Arial" w:hAnsi="Arial" w:cs="Arial"/>
              </w:rPr>
            </w:pPr>
            <w:r w:rsidRPr="00E92120">
              <w:rPr>
                <w:rStyle w:val="Strong"/>
                <w:rFonts w:ascii="Arial" w:eastAsia="SimSun" w:hAnsi="Arial" w:cs="Arial"/>
              </w:rPr>
              <w:t>Recepție la terminarea lucrarilor</w:t>
            </w:r>
          </w:p>
        </w:tc>
      </w:tr>
    </w:tbl>
    <w:p w:rsidR="007551D0" w:rsidRDefault="007551D0" w:rsidP="007551D0"/>
    <w:p w:rsidR="004346D5" w:rsidRDefault="004346D5" w:rsidP="007551D0"/>
    <w:p w:rsidR="0093284E" w:rsidRDefault="0093284E" w:rsidP="007551D0"/>
    <w:p w:rsidR="004346D5" w:rsidRDefault="004346D5" w:rsidP="007551D0"/>
    <w:p w:rsidR="004346D5" w:rsidRDefault="004346D5" w:rsidP="007551D0"/>
    <w:p w:rsidR="00FA5CE1" w:rsidRPr="00C625DB" w:rsidRDefault="00FA5CE1" w:rsidP="00C625DB">
      <w:pPr>
        <w:spacing w:after="0" w:line="240" w:lineRule="auto"/>
        <w:rPr>
          <w:rFonts w:ascii="Arial" w:hAnsi="Arial" w:cs="Arial"/>
          <w:sz w:val="24"/>
          <w:szCs w:val="24"/>
        </w:rPr>
      </w:pPr>
    </w:p>
    <w:p w:rsidR="00E00628" w:rsidRPr="007652A5" w:rsidRDefault="00E00628" w:rsidP="00C625DB">
      <w:pPr>
        <w:spacing w:after="0" w:line="240" w:lineRule="auto"/>
        <w:rPr>
          <w:rFonts w:ascii="Arial" w:hAnsi="Arial" w:cs="Arial"/>
          <w:b/>
          <w:sz w:val="24"/>
          <w:szCs w:val="24"/>
        </w:rPr>
      </w:pPr>
      <w:r w:rsidRPr="007652A5">
        <w:rPr>
          <w:rFonts w:ascii="Arial" w:hAnsi="Arial" w:cs="Arial"/>
          <w:b/>
          <w:sz w:val="24"/>
          <w:szCs w:val="24"/>
        </w:rPr>
        <w:lastRenderedPageBreak/>
        <w:t>III. SOLUL</w:t>
      </w:r>
    </w:p>
    <w:p w:rsidR="007652A5" w:rsidRPr="007652A5" w:rsidRDefault="007652A5" w:rsidP="00C625DB">
      <w:pPr>
        <w:spacing w:after="0" w:line="240" w:lineRule="auto"/>
        <w:rPr>
          <w:rFonts w:ascii="Arial" w:hAnsi="Arial" w:cs="Arial"/>
          <w:b/>
          <w:sz w:val="24"/>
          <w:szCs w:val="24"/>
        </w:rPr>
      </w:pPr>
    </w:p>
    <w:p w:rsidR="00E00628"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4346D5" w:rsidRPr="007652A5" w:rsidRDefault="004346D5" w:rsidP="00C625DB">
      <w:pPr>
        <w:tabs>
          <w:tab w:val="left" w:pos="709"/>
          <w:tab w:val="left" w:pos="2160"/>
          <w:tab w:val="left" w:leader="dot" w:pos="8640"/>
        </w:tabs>
        <w:spacing w:after="0" w:line="240" w:lineRule="auto"/>
        <w:ind w:right="-38" w:firstLine="851"/>
        <w:jc w:val="both"/>
        <w:rPr>
          <w:rFonts w:ascii="Arial" w:hAnsi="Arial" w:cs="Arial"/>
          <w:b/>
          <w:sz w:val="24"/>
          <w:szCs w:val="24"/>
        </w:rPr>
      </w:pPr>
    </w:p>
    <w:p w:rsidR="00E00628" w:rsidRPr="007652A5" w:rsidRDefault="00E00628" w:rsidP="00C625DB">
      <w:pPr>
        <w:pStyle w:val="BodyTextIndent"/>
        <w:tabs>
          <w:tab w:val="left" w:pos="2478"/>
        </w:tabs>
        <w:spacing w:after="0" w:line="240" w:lineRule="auto"/>
        <w:ind w:left="0"/>
        <w:jc w:val="both"/>
        <w:rPr>
          <w:rFonts w:ascii="Arial" w:hAnsi="Arial" w:cs="Arial"/>
          <w:b/>
          <w:sz w:val="24"/>
          <w:szCs w:val="24"/>
          <w:lang w:val="ro-RO"/>
        </w:rPr>
      </w:pPr>
      <w:r w:rsidRPr="007652A5">
        <w:rPr>
          <w:rFonts w:ascii="Arial" w:hAnsi="Arial" w:cs="Arial"/>
          <w:b/>
          <w:sz w:val="24"/>
          <w:szCs w:val="24"/>
          <w:lang w:val="ro-RO"/>
        </w:rPr>
        <w:t xml:space="preserve">    III.1.Calitatea solurilor: stare și tendințe</w:t>
      </w:r>
    </w:p>
    <w:p w:rsidR="00E00628" w:rsidRPr="007652A5" w:rsidRDefault="00E00628" w:rsidP="00C625DB">
      <w:pPr>
        <w:pStyle w:val="BodyTextIndent"/>
        <w:spacing w:after="0" w:line="240" w:lineRule="auto"/>
        <w:ind w:left="0" w:firstLine="709"/>
        <w:jc w:val="both"/>
        <w:rPr>
          <w:rFonts w:ascii="Arial" w:hAnsi="Arial" w:cs="Arial"/>
          <w:b/>
          <w:sz w:val="24"/>
          <w:szCs w:val="24"/>
          <w:lang w:val="ro-RO"/>
        </w:rPr>
      </w:pPr>
      <w:r w:rsidRPr="007652A5">
        <w:rPr>
          <w:rFonts w:ascii="Arial" w:hAnsi="Arial" w:cs="Arial"/>
          <w:b/>
          <w:sz w:val="24"/>
          <w:szCs w:val="24"/>
          <w:lang w:val="ro-RO"/>
        </w:rPr>
        <w:t>III.1.1.</w:t>
      </w:r>
      <w:r w:rsidRPr="007652A5">
        <w:rPr>
          <w:rFonts w:ascii="Arial" w:hAnsi="Arial" w:cs="Arial"/>
          <w:b/>
          <w:i/>
          <w:sz w:val="24"/>
          <w:szCs w:val="24"/>
          <w:lang w:val="ro-RO"/>
        </w:rPr>
        <w:t xml:space="preserve"> Repartiția terenurilor pe clase de calitate </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Condiţiile pedoclimatice din judeţul </w:t>
      </w:r>
      <w:r w:rsidR="00217620">
        <w:rPr>
          <w:rFonts w:ascii="Arial" w:hAnsi="Arial" w:cs="Arial"/>
          <w:sz w:val="24"/>
          <w:szCs w:val="24"/>
        </w:rPr>
        <w:t>Brăila</w:t>
      </w:r>
      <w:r w:rsidRPr="007652A5">
        <w:rPr>
          <w:rFonts w:ascii="Arial" w:hAnsi="Arial" w:cs="Arial"/>
          <w:sz w:val="24"/>
          <w:szCs w:val="24"/>
        </w:rPr>
        <w:t xml:space="preserve"> au determinat apariţia şi evoluţia unei cuverturi de soluri, diversă, dominată de solurile zonale de tip cernoziom, soluri azonale, soluri aluvionare, coluviale, neevoluate, psamosoluri, lăcovişti etc.</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Tipurile de sol caracteristice judeţului </w:t>
      </w:r>
      <w:r w:rsidR="00217620">
        <w:rPr>
          <w:rFonts w:ascii="Arial" w:hAnsi="Arial" w:cs="Arial"/>
          <w:sz w:val="24"/>
          <w:szCs w:val="24"/>
        </w:rPr>
        <w:t>Brăila</w:t>
      </w:r>
      <w:r w:rsidRPr="007652A5">
        <w:rPr>
          <w:rFonts w:ascii="Arial" w:hAnsi="Arial" w:cs="Arial"/>
          <w:sz w:val="24"/>
          <w:szCs w:val="24"/>
        </w:rPr>
        <w:t xml:space="preserve"> sunt prezentate în tabelul de mai jos:</w:t>
      </w:r>
    </w:p>
    <w:p w:rsidR="00E00628" w:rsidRPr="007652A5" w:rsidRDefault="00E00628" w:rsidP="00C625DB">
      <w:pPr>
        <w:pStyle w:val="BodyTextIndent"/>
        <w:spacing w:after="0" w:line="240" w:lineRule="auto"/>
        <w:ind w:left="0"/>
        <w:jc w:val="both"/>
        <w:rPr>
          <w:rFonts w:ascii="Arial" w:hAnsi="Arial" w:cs="Arial"/>
          <w:b/>
          <w:sz w:val="24"/>
          <w:szCs w:val="24"/>
        </w:rPr>
      </w:pPr>
      <w:r w:rsidRPr="007652A5">
        <w:rPr>
          <w:rFonts w:ascii="Arial" w:hAnsi="Arial" w:cs="Arial"/>
          <w:b/>
          <w:sz w:val="24"/>
          <w:szCs w:val="24"/>
        </w:rPr>
        <w:t xml:space="preserve">               </w:t>
      </w:r>
    </w:p>
    <w:p w:rsidR="00E00628" w:rsidRPr="004346D5" w:rsidRDefault="00E00628" w:rsidP="00C625DB">
      <w:pPr>
        <w:spacing w:after="0" w:line="240" w:lineRule="auto"/>
        <w:jc w:val="both"/>
        <w:rPr>
          <w:rFonts w:ascii="Arial" w:hAnsi="Arial" w:cs="Arial"/>
          <w:sz w:val="24"/>
          <w:szCs w:val="24"/>
        </w:rPr>
      </w:pPr>
      <w:r w:rsidRPr="007652A5">
        <w:rPr>
          <w:rFonts w:ascii="Arial" w:hAnsi="Arial" w:cs="Arial"/>
          <w:b/>
          <w:sz w:val="24"/>
          <w:szCs w:val="24"/>
        </w:rPr>
        <w:t xml:space="preserve">               </w:t>
      </w:r>
      <w:r w:rsidR="004346D5">
        <w:rPr>
          <w:rFonts w:ascii="Arial" w:hAnsi="Arial" w:cs="Arial"/>
          <w:b/>
          <w:sz w:val="24"/>
          <w:szCs w:val="24"/>
        </w:rPr>
        <w:t xml:space="preserve">        </w:t>
      </w:r>
      <w:r w:rsidRPr="004346D5">
        <w:rPr>
          <w:rFonts w:ascii="Arial" w:hAnsi="Arial" w:cs="Arial"/>
          <w:sz w:val="24"/>
          <w:szCs w:val="24"/>
        </w:rPr>
        <w:t xml:space="preserve">Tabelul III.1.1-1. Tipurile de sol caracteristice judeţului </w:t>
      </w:r>
      <w:r w:rsidR="00217620" w:rsidRPr="004346D5">
        <w:rPr>
          <w:rFonts w:ascii="Arial" w:hAnsi="Arial" w:cs="Arial"/>
          <w:sz w:val="24"/>
          <w:szCs w:val="24"/>
        </w:rPr>
        <w:t>Brăila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1964"/>
        <w:gridCol w:w="2030"/>
      </w:tblGrid>
      <w:tr w:rsidR="00E00628" w:rsidRPr="007652A5" w:rsidTr="00E00628">
        <w:trPr>
          <w:trHeight w:val="567"/>
          <w:jc w:val="center"/>
        </w:trPr>
        <w:tc>
          <w:tcPr>
            <w:tcW w:w="29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pStyle w:val="Heading4"/>
              <w:spacing w:before="0" w:after="0"/>
              <w:jc w:val="both"/>
              <w:rPr>
                <w:rFonts w:ascii="Arial" w:hAnsi="Arial" w:cs="Arial"/>
                <w:bCs w:val="0"/>
                <w:sz w:val="24"/>
                <w:szCs w:val="24"/>
              </w:rPr>
            </w:pPr>
            <w:r w:rsidRPr="007652A5">
              <w:rPr>
                <w:rFonts w:ascii="Arial" w:hAnsi="Arial" w:cs="Arial"/>
                <w:bCs w:val="0"/>
                <w:sz w:val="24"/>
                <w:szCs w:val="24"/>
              </w:rPr>
              <w:t>Tipuri de  sol</w:t>
            </w:r>
          </w:p>
        </w:tc>
        <w:tc>
          <w:tcPr>
            <w:tcW w:w="19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Suprafaţa (ha)</w:t>
            </w:r>
          </w:p>
        </w:tc>
        <w:tc>
          <w:tcPr>
            <w:tcW w:w="20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Procentual (%)</w:t>
            </w:r>
          </w:p>
        </w:tc>
      </w:tr>
      <w:tr w:rsidR="008E6C7B" w:rsidRPr="007652A5" w:rsidTr="00E00628">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E6C7B" w:rsidRPr="007652A5" w:rsidRDefault="008E6C7B" w:rsidP="00C625DB">
            <w:pPr>
              <w:spacing w:after="0" w:line="240" w:lineRule="auto"/>
              <w:jc w:val="both"/>
              <w:rPr>
                <w:rFonts w:ascii="Arial" w:hAnsi="Arial" w:cs="Arial"/>
                <w:sz w:val="24"/>
                <w:szCs w:val="24"/>
              </w:rPr>
            </w:pPr>
            <w:r w:rsidRPr="007652A5">
              <w:rPr>
                <w:rFonts w:ascii="Arial" w:hAnsi="Arial" w:cs="Arial"/>
                <w:sz w:val="24"/>
                <w:szCs w:val="24"/>
              </w:rPr>
              <w:t>Protisoluri</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8E6C7B" w:rsidRPr="007652A5" w:rsidRDefault="008E6C7B" w:rsidP="00C625DB">
            <w:pPr>
              <w:spacing w:after="0" w:line="240" w:lineRule="auto"/>
              <w:jc w:val="right"/>
              <w:rPr>
                <w:rFonts w:ascii="Arial" w:hAnsi="Arial" w:cs="Arial"/>
                <w:sz w:val="24"/>
                <w:szCs w:val="24"/>
              </w:rPr>
            </w:pPr>
            <w:r w:rsidRPr="007652A5">
              <w:rPr>
                <w:rFonts w:ascii="Arial" w:hAnsi="Arial" w:cs="Arial"/>
                <w:sz w:val="24"/>
                <w:szCs w:val="24"/>
              </w:rPr>
              <w:t>135.686,75</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8E6C7B" w:rsidRPr="007652A5" w:rsidRDefault="008E6C7B" w:rsidP="00C625DB">
            <w:pPr>
              <w:spacing w:after="0" w:line="240" w:lineRule="auto"/>
              <w:jc w:val="right"/>
              <w:rPr>
                <w:rFonts w:ascii="Arial" w:hAnsi="Arial" w:cs="Arial"/>
                <w:sz w:val="24"/>
                <w:szCs w:val="24"/>
              </w:rPr>
            </w:pPr>
            <w:r w:rsidRPr="007652A5">
              <w:rPr>
                <w:rFonts w:ascii="Arial" w:hAnsi="Arial" w:cs="Arial"/>
                <w:sz w:val="24"/>
                <w:szCs w:val="24"/>
              </w:rPr>
              <w:t>34,65</w:t>
            </w:r>
          </w:p>
        </w:tc>
      </w:tr>
      <w:tr w:rsidR="008E6C7B" w:rsidRPr="007652A5" w:rsidTr="00E00628">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E6C7B" w:rsidRPr="007652A5" w:rsidRDefault="008E6C7B" w:rsidP="00C625DB">
            <w:pPr>
              <w:spacing w:after="0" w:line="240" w:lineRule="auto"/>
              <w:jc w:val="both"/>
              <w:rPr>
                <w:rFonts w:ascii="Arial" w:hAnsi="Arial" w:cs="Arial"/>
                <w:sz w:val="24"/>
                <w:szCs w:val="24"/>
              </w:rPr>
            </w:pPr>
            <w:r w:rsidRPr="007652A5">
              <w:rPr>
                <w:rFonts w:ascii="Arial" w:hAnsi="Arial" w:cs="Arial"/>
                <w:sz w:val="24"/>
                <w:szCs w:val="24"/>
              </w:rPr>
              <w:t xml:space="preserve">Cernisoluri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8E6C7B" w:rsidRPr="007652A5" w:rsidRDefault="008E6C7B" w:rsidP="00C625DB">
            <w:pPr>
              <w:spacing w:after="0" w:line="240" w:lineRule="auto"/>
              <w:jc w:val="right"/>
              <w:rPr>
                <w:rFonts w:ascii="Arial" w:hAnsi="Arial" w:cs="Arial"/>
                <w:sz w:val="24"/>
                <w:szCs w:val="24"/>
              </w:rPr>
            </w:pPr>
            <w:r w:rsidRPr="007652A5">
              <w:rPr>
                <w:rFonts w:ascii="Arial" w:hAnsi="Arial" w:cs="Arial"/>
                <w:sz w:val="24"/>
                <w:szCs w:val="24"/>
              </w:rPr>
              <w:t>203.552,00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8E6C7B" w:rsidRPr="007652A5" w:rsidRDefault="008E6C7B" w:rsidP="00C625DB">
            <w:pPr>
              <w:spacing w:after="0" w:line="240" w:lineRule="auto"/>
              <w:jc w:val="right"/>
              <w:rPr>
                <w:rFonts w:ascii="Arial" w:hAnsi="Arial" w:cs="Arial"/>
                <w:sz w:val="24"/>
                <w:szCs w:val="24"/>
              </w:rPr>
            </w:pPr>
            <w:r w:rsidRPr="007652A5">
              <w:rPr>
                <w:rFonts w:ascii="Arial" w:hAnsi="Arial" w:cs="Arial"/>
                <w:sz w:val="24"/>
                <w:szCs w:val="24"/>
              </w:rPr>
              <w:t>51,98</w:t>
            </w:r>
          </w:p>
        </w:tc>
      </w:tr>
      <w:tr w:rsidR="008E6C7B" w:rsidRPr="007652A5" w:rsidTr="00E00628">
        <w:trPr>
          <w:trHeight w:val="245"/>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E6C7B" w:rsidRPr="007652A5" w:rsidRDefault="008E6C7B" w:rsidP="00C625DB">
            <w:pPr>
              <w:spacing w:after="0" w:line="240" w:lineRule="auto"/>
              <w:jc w:val="both"/>
              <w:rPr>
                <w:rFonts w:ascii="Arial" w:hAnsi="Arial" w:cs="Arial"/>
                <w:sz w:val="24"/>
                <w:szCs w:val="24"/>
              </w:rPr>
            </w:pPr>
            <w:r w:rsidRPr="007652A5">
              <w:rPr>
                <w:rFonts w:ascii="Arial" w:hAnsi="Arial" w:cs="Arial"/>
                <w:sz w:val="24"/>
                <w:szCs w:val="24"/>
              </w:rPr>
              <w:t xml:space="preserve">Hidrisoluri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8E6C7B" w:rsidRPr="007652A5" w:rsidRDefault="008E6C7B" w:rsidP="00C625DB">
            <w:pPr>
              <w:spacing w:after="0" w:line="240" w:lineRule="auto"/>
              <w:jc w:val="right"/>
              <w:rPr>
                <w:rFonts w:ascii="Arial" w:hAnsi="Arial" w:cs="Arial"/>
                <w:sz w:val="24"/>
                <w:szCs w:val="24"/>
              </w:rPr>
            </w:pPr>
            <w:r w:rsidRPr="007652A5">
              <w:rPr>
                <w:rFonts w:ascii="Arial" w:hAnsi="Arial" w:cs="Arial"/>
                <w:sz w:val="24"/>
                <w:szCs w:val="24"/>
              </w:rPr>
              <w:t>36.477,00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8E6C7B" w:rsidRPr="007652A5" w:rsidRDefault="008E6C7B" w:rsidP="00C625DB">
            <w:pPr>
              <w:spacing w:after="0" w:line="240" w:lineRule="auto"/>
              <w:jc w:val="right"/>
              <w:rPr>
                <w:rFonts w:ascii="Arial" w:hAnsi="Arial" w:cs="Arial"/>
                <w:sz w:val="24"/>
                <w:szCs w:val="24"/>
              </w:rPr>
            </w:pPr>
            <w:r w:rsidRPr="007652A5">
              <w:rPr>
                <w:rFonts w:ascii="Arial" w:hAnsi="Arial" w:cs="Arial"/>
                <w:sz w:val="24"/>
                <w:szCs w:val="24"/>
              </w:rPr>
              <w:t>9,31</w:t>
            </w:r>
          </w:p>
        </w:tc>
      </w:tr>
      <w:tr w:rsidR="008E6C7B" w:rsidRPr="007652A5" w:rsidTr="00E00628">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E6C7B" w:rsidRPr="007652A5" w:rsidRDefault="008E6C7B" w:rsidP="00C625DB">
            <w:pPr>
              <w:spacing w:after="0" w:line="240" w:lineRule="auto"/>
              <w:jc w:val="both"/>
              <w:rPr>
                <w:rFonts w:ascii="Arial" w:hAnsi="Arial" w:cs="Arial"/>
                <w:sz w:val="24"/>
                <w:szCs w:val="24"/>
              </w:rPr>
            </w:pPr>
            <w:r w:rsidRPr="007652A5">
              <w:rPr>
                <w:rFonts w:ascii="Arial" w:hAnsi="Arial" w:cs="Arial"/>
                <w:sz w:val="24"/>
                <w:szCs w:val="24"/>
              </w:rPr>
              <w:t xml:space="preserve">Salsodisoluri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8E6C7B" w:rsidRPr="007652A5" w:rsidRDefault="008E6C7B" w:rsidP="00C625DB">
            <w:pPr>
              <w:spacing w:after="0" w:line="240" w:lineRule="auto"/>
              <w:jc w:val="right"/>
              <w:rPr>
                <w:rFonts w:ascii="Arial" w:hAnsi="Arial" w:cs="Arial"/>
                <w:sz w:val="24"/>
                <w:szCs w:val="24"/>
              </w:rPr>
            </w:pPr>
            <w:r w:rsidRPr="007652A5">
              <w:rPr>
                <w:rFonts w:ascii="Arial" w:hAnsi="Arial" w:cs="Arial"/>
                <w:sz w:val="24"/>
                <w:szCs w:val="24"/>
              </w:rPr>
              <w:t>15.863,00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8E6C7B" w:rsidRPr="007652A5" w:rsidRDefault="008E6C7B" w:rsidP="00C625DB">
            <w:pPr>
              <w:spacing w:after="0" w:line="240" w:lineRule="auto"/>
              <w:jc w:val="right"/>
              <w:rPr>
                <w:rFonts w:ascii="Arial" w:hAnsi="Arial" w:cs="Arial"/>
                <w:sz w:val="24"/>
                <w:szCs w:val="24"/>
              </w:rPr>
            </w:pPr>
            <w:r w:rsidRPr="007652A5">
              <w:rPr>
                <w:rFonts w:ascii="Arial" w:hAnsi="Arial" w:cs="Arial"/>
                <w:sz w:val="24"/>
                <w:szCs w:val="24"/>
              </w:rPr>
              <w:t>4,05</w:t>
            </w:r>
          </w:p>
        </w:tc>
      </w:tr>
      <w:tr w:rsidR="00E00628" w:rsidRPr="007652A5" w:rsidTr="00E00628">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00628" w:rsidRPr="007652A5" w:rsidRDefault="00E00628" w:rsidP="00C625DB">
            <w:pPr>
              <w:spacing w:after="0" w:line="240" w:lineRule="auto"/>
              <w:jc w:val="both"/>
              <w:rPr>
                <w:rFonts w:ascii="Arial" w:hAnsi="Arial" w:cs="Arial"/>
                <w:sz w:val="24"/>
                <w:szCs w:val="24"/>
              </w:rPr>
            </w:pPr>
            <w:r w:rsidRPr="007652A5">
              <w:rPr>
                <w:rFonts w:ascii="Arial" w:hAnsi="Arial" w:cs="Arial"/>
                <w:sz w:val="24"/>
                <w:szCs w:val="24"/>
              </w:rPr>
              <w:t xml:space="preserve">Antrisoluri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w:t>
            </w:r>
          </w:p>
        </w:tc>
      </w:tr>
      <w:tr w:rsidR="00E00628" w:rsidRPr="007652A5" w:rsidTr="00E00628">
        <w:trPr>
          <w:trHeight w:val="287"/>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00628" w:rsidRPr="007652A5" w:rsidRDefault="00E00628" w:rsidP="00C625DB">
            <w:pPr>
              <w:spacing w:after="0" w:line="240" w:lineRule="auto"/>
              <w:rPr>
                <w:rFonts w:ascii="Arial" w:hAnsi="Arial" w:cs="Arial"/>
                <w:b/>
                <w:sz w:val="24"/>
                <w:szCs w:val="24"/>
              </w:rPr>
            </w:pPr>
            <w:r w:rsidRPr="007652A5">
              <w:rPr>
                <w:rFonts w:ascii="Arial" w:hAnsi="Arial" w:cs="Arial"/>
                <w:sz w:val="24"/>
                <w:szCs w:val="24"/>
              </w:rPr>
              <w:t xml:space="preserve"> </w:t>
            </w:r>
            <w:r w:rsidRPr="007652A5">
              <w:rPr>
                <w:rFonts w:ascii="Arial" w:hAnsi="Arial" w:cs="Arial"/>
                <w:b/>
                <w:sz w:val="24"/>
                <w:szCs w:val="24"/>
              </w:rPr>
              <w:t xml:space="preserve">TOTAL JUDEŢ </w:t>
            </w:r>
            <w:r w:rsidR="00217620">
              <w:rPr>
                <w:rFonts w:ascii="Arial" w:hAnsi="Arial" w:cs="Arial"/>
                <w:b/>
                <w:sz w:val="24"/>
                <w:szCs w:val="24"/>
              </w:rPr>
              <w:t>BRĂILA</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7652A5" w:rsidRDefault="008E6C7B" w:rsidP="00C625DB">
            <w:pPr>
              <w:spacing w:after="0" w:line="240" w:lineRule="auto"/>
              <w:jc w:val="center"/>
              <w:rPr>
                <w:rFonts w:ascii="Arial" w:hAnsi="Arial" w:cs="Arial"/>
                <w:b/>
                <w:sz w:val="24"/>
                <w:szCs w:val="24"/>
              </w:rPr>
            </w:pPr>
            <w:r w:rsidRPr="007652A5">
              <w:rPr>
                <w:rFonts w:ascii="Arial" w:hAnsi="Arial" w:cs="Arial"/>
                <w:b/>
                <w:sz w:val="24"/>
                <w:szCs w:val="24"/>
              </w:rPr>
              <w:t>391.578,75</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100</w:t>
            </w:r>
          </w:p>
        </w:tc>
      </w:tr>
    </w:tbl>
    <w:p w:rsidR="00E00628" w:rsidRPr="007652A5" w:rsidRDefault="00E00628" w:rsidP="00C625DB">
      <w:pPr>
        <w:spacing w:after="0" w:line="240" w:lineRule="auto"/>
        <w:jc w:val="both"/>
        <w:rPr>
          <w:rFonts w:ascii="Arial" w:hAnsi="Arial" w:cs="Arial"/>
          <w:sz w:val="24"/>
          <w:szCs w:val="24"/>
        </w:rPr>
      </w:pP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Unitatea de pretabilitate reprezintă arealul rezultat din gruparea unităţilor de teren conform unui anumit set de caracteristici specifice, în vederea stabilirii categoriilor de folosinţă.</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Calitatea terenurilor agricole este determinată atât de fertilitatea solului cât şi de modul de manifestare al celorlalţi factori de mediu faţă de plante. Din acest punct de vedere, terenurile agricole se grupează în cinci clase de calitate diferenţiate după nota medie de bonitare (clasa I: 81 -100 puncte; clasa a II-a: 61 – 80 puncte, clasa a III-a: 41 – 60 puncte, clasa a IV-a: 21 – 40 puncte, clasa a V-a: 1 – 20 puncte). Clasele de calitate a terenurilor stabilesc pretabilitatea acestora pentru folosinţele agricole. Numărul de puncte de bonitare se obţine printr-o operaţiune complexă de cunoaştere aprofundată a unui teren, exprimând favorabilitatea acestuia pentru cerinţele de existenţă ale unor plante de cultură date, în condiţii climatice normale şi în cadrul folosirii raţionale.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Din punct de vedere al calităţii, pe baza notelor de bonitare, încadrarea terenurilor agricole din judeţul </w:t>
      </w:r>
      <w:r w:rsidR="00217620">
        <w:rPr>
          <w:rFonts w:ascii="Arial" w:hAnsi="Arial" w:cs="Arial"/>
          <w:sz w:val="24"/>
          <w:szCs w:val="24"/>
        </w:rPr>
        <w:t>Brăila</w:t>
      </w:r>
      <w:r w:rsidRPr="007652A5">
        <w:rPr>
          <w:rFonts w:ascii="Arial" w:hAnsi="Arial" w:cs="Arial"/>
          <w:sz w:val="24"/>
          <w:szCs w:val="24"/>
        </w:rPr>
        <w:t xml:space="preserve">, pe clase de pretabilitate, se prezintă astfel (conform informaţiilor transmise de Oficiul Județean de Studii Pedologice și Agrochimice </w:t>
      </w:r>
      <w:r w:rsidR="00217620">
        <w:rPr>
          <w:rFonts w:ascii="Arial" w:hAnsi="Arial" w:cs="Arial"/>
          <w:sz w:val="24"/>
          <w:szCs w:val="24"/>
        </w:rPr>
        <w:t>Brăila</w:t>
      </w:r>
      <w:r w:rsidRPr="007652A5">
        <w:rPr>
          <w:rFonts w:ascii="Arial" w:hAnsi="Arial" w:cs="Arial"/>
          <w:sz w:val="24"/>
          <w:szCs w:val="24"/>
        </w:rPr>
        <w:t xml:space="preserve">):    </w:t>
      </w:r>
    </w:p>
    <w:p w:rsidR="004346D5" w:rsidRDefault="004346D5" w:rsidP="00C625DB">
      <w:pPr>
        <w:pStyle w:val="BodyTextIndent"/>
        <w:spacing w:after="0" w:line="240" w:lineRule="auto"/>
        <w:jc w:val="both"/>
        <w:rPr>
          <w:rFonts w:ascii="Arial" w:hAnsi="Arial" w:cs="Arial"/>
          <w:b/>
          <w:sz w:val="24"/>
          <w:szCs w:val="24"/>
        </w:rPr>
      </w:pPr>
    </w:p>
    <w:p w:rsidR="00E00628" w:rsidRPr="004346D5" w:rsidRDefault="00E00628" w:rsidP="00202088">
      <w:pPr>
        <w:pStyle w:val="BodyTextIndent"/>
        <w:spacing w:after="0" w:line="240" w:lineRule="auto"/>
        <w:ind w:firstLine="425"/>
        <w:jc w:val="both"/>
        <w:rPr>
          <w:rFonts w:ascii="Arial" w:hAnsi="Arial" w:cs="Arial"/>
          <w:sz w:val="24"/>
          <w:szCs w:val="24"/>
        </w:rPr>
      </w:pPr>
      <w:r w:rsidRPr="004346D5">
        <w:rPr>
          <w:rFonts w:ascii="Arial" w:hAnsi="Arial" w:cs="Arial"/>
          <w:sz w:val="24"/>
          <w:szCs w:val="24"/>
        </w:rPr>
        <w:t xml:space="preserve">Tabelul III.1.1- 2 Repartiţia terenurilor pe clase de pretabilitate în judeţul </w:t>
      </w:r>
      <w:r w:rsidR="00217620" w:rsidRPr="004346D5">
        <w:rPr>
          <w:rFonts w:ascii="Arial" w:hAnsi="Arial" w:cs="Arial"/>
          <w:sz w:val="24"/>
          <w:szCs w:val="24"/>
        </w:rPr>
        <w:t>Brăila</w:t>
      </w:r>
    </w:p>
    <w:p w:rsidR="00E00628" w:rsidRPr="007652A5" w:rsidRDefault="00E00628" w:rsidP="00C625DB">
      <w:pPr>
        <w:pStyle w:val="BodyTextIndent"/>
        <w:spacing w:after="0" w:line="240" w:lineRule="auto"/>
        <w:jc w:val="both"/>
        <w:rPr>
          <w:rFonts w:ascii="Arial" w:hAnsi="Arial" w:cs="Arial"/>
          <w:b/>
          <w:sz w:val="24"/>
          <w:szCs w:val="24"/>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
        <w:gridCol w:w="1003"/>
        <w:gridCol w:w="723"/>
        <w:gridCol w:w="884"/>
        <w:gridCol w:w="1017"/>
        <w:gridCol w:w="1364"/>
        <w:gridCol w:w="884"/>
        <w:gridCol w:w="884"/>
        <w:gridCol w:w="236"/>
      </w:tblGrid>
      <w:tr w:rsidR="00E00628" w:rsidRPr="007652A5" w:rsidTr="001C6AE3">
        <w:trPr>
          <w:jc w:val="center"/>
        </w:trPr>
        <w:tc>
          <w:tcPr>
            <w:tcW w:w="67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Nr. crt.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Specif.</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U.M.</w:t>
            </w:r>
          </w:p>
        </w:tc>
        <w:tc>
          <w:tcPr>
            <w:tcW w:w="5269" w:type="dxa"/>
            <w:gridSpan w:val="6"/>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A54188">
            <w:pPr>
              <w:spacing w:after="0" w:line="240" w:lineRule="auto"/>
              <w:jc w:val="center"/>
              <w:rPr>
                <w:rFonts w:ascii="Arial" w:hAnsi="Arial" w:cs="Arial"/>
                <w:b/>
                <w:sz w:val="24"/>
                <w:szCs w:val="24"/>
              </w:rPr>
            </w:pPr>
            <w:r w:rsidRPr="007652A5">
              <w:rPr>
                <w:rFonts w:ascii="Arial" w:hAnsi="Arial" w:cs="Arial"/>
                <w:b/>
                <w:sz w:val="24"/>
                <w:szCs w:val="24"/>
              </w:rPr>
              <w:t>Clase de bonitate ale solurilor</w:t>
            </w:r>
          </w:p>
        </w:tc>
      </w:tr>
      <w:tr w:rsidR="00E00628" w:rsidRPr="007652A5" w:rsidTr="001C6A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A54188">
            <w:pPr>
              <w:spacing w:after="0" w:line="240" w:lineRule="auto"/>
              <w:jc w:val="center"/>
              <w:rPr>
                <w:rFonts w:ascii="Arial" w:hAnsi="Arial" w:cs="Arial"/>
                <w:b/>
                <w:sz w:val="24"/>
                <w:szCs w:val="24"/>
              </w:rPr>
            </w:pPr>
            <w:r w:rsidRPr="007652A5">
              <w:rPr>
                <w:rFonts w:ascii="Arial" w:hAnsi="Arial" w:cs="Arial"/>
                <w:b/>
                <w:sz w:val="24"/>
                <w:szCs w:val="24"/>
              </w:rPr>
              <w:t>I</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A54188">
            <w:pPr>
              <w:spacing w:after="0" w:line="240" w:lineRule="auto"/>
              <w:jc w:val="center"/>
              <w:rPr>
                <w:rFonts w:ascii="Arial" w:hAnsi="Arial" w:cs="Arial"/>
                <w:b/>
                <w:sz w:val="24"/>
                <w:szCs w:val="24"/>
              </w:rPr>
            </w:pPr>
            <w:r w:rsidRPr="007652A5">
              <w:rPr>
                <w:rFonts w:ascii="Arial" w:hAnsi="Arial" w:cs="Arial"/>
                <w:b/>
                <w:sz w:val="24"/>
                <w:szCs w:val="24"/>
              </w:rPr>
              <w:t>II</w:t>
            </w:r>
          </w:p>
        </w:tc>
        <w:tc>
          <w:tcPr>
            <w:tcW w:w="136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A54188">
            <w:pPr>
              <w:spacing w:after="0" w:line="240" w:lineRule="auto"/>
              <w:jc w:val="center"/>
              <w:rPr>
                <w:rFonts w:ascii="Arial" w:hAnsi="Arial" w:cs="Arial"/>
                <w:b/>
                <w:sz w:val="24"/>
                <w:szCs w:val="24"/>
              </w:rPr>
            </w:pPr>
            <w:r w:rsidRPr="007652A5">
              <w:rPr>
                <w:rFonts w:ascii="Arial" w:hAnsi="Arial" w:cs="Arial"/>
                <w:b/>
                <w:sz w:val="24"/>
                <w:szCs w:val="24"/>
              </w:rPr>
              <w:t>III</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A54188">
            <w:pPr>
              <w:spacing w:after="0" w:line="240" w:lineRule="auto"/>
              <w:jc w:val="center"/>
              <w:rPr>
                <w:rFonts w:ascii="Arial" w:hAnsi="Arial" w:cs="Arial"/>
                <w:b/>
                <w:sz w:val="24"/>
                <w:szCs w:val="24"/>
              </w:rPr>
            </w:pPr>
            <w:r w:rsidRPr="007652A5">
              <w:rPr>
                <w:rFonts w:ascii="Arial" w:hAnsi="Arial" w:cs="Arial"/>
                <w:b/>
                <w:sz w:val="24"/>
                <w:szCs w:val="24"/>
              </w:rPr>
              <w:t>IV</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A54188">
            <w:pPr>
              <w:spacing w:after="0" w:line="240" w:lineRule="auto"/>
              <w:jc w:val="center"/>
              <w:rPr>
                <w:rFonts w:ascii="Arial" w:hAnsi="Arial" w:cs="Arial"/>
                <w:b/>
                <w:sz w:val="24"/>
                <w:szCs w:val="24"/>
              </w:rPr>
            </w:pPr>
            <w:r w:rsidRPr="007652A5">
              <w:rPr>
                <w:rFonts w:ascii="Arial" w:hAnsi="Arial" w:cs="Arial"/>
                <w:b/>
                <w:sz w:val="24"/>
                <w:szCs w:val="24"/>
              </w:rPr>
              <w:t>V</w:t>
            </w:r>
          </w:p>
        </w:tc>
        <w:tc>
          <w:tcPr>
            <w:tcW w:w="236"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spacing w:after="0" w:line="240" w:lineRule="auto"/>
              <w:jc w:val="center"/>
              <w:rPr>
                <w:rFonts w:ascii="Arial" w:hAnsi="Arial" w:cs="Arial"/>
                <w:b/>
                <w:sz w:val="24"/>
                <w:szCs w:val="24"/>
              </w:rPr>
            </w:pPr>
          </w:p>
        </w:tc>
      </w:tr>
      <w:tr w:rsidR="001C6AE3" w:rsidRPr="007652A5" w:rsidTr="001C6AE3">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Arabil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24230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146194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131086</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35734</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13920</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right"/>
              <w:rPr>
                <w:rFonts w:ascii="Arial" w:hAnsi="Arial" w:cs="Arial"/>
                <w:sz w:val="24"/>
                <w:szCs w:val="24"/>
              </w:rPr>
            </w:pPr>
          </w:p>
        </w:tc>
      </w:tr>
      <w:tr w:rsidR="001C6AE3" w:rsidRPr="007652A5" w:rsidTr="001C6AE3">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Păşuni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2347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11417</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1611</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7336</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right"/>
              <w:rPr>
                <w:rFonts w:ascii="Arial" w:hAnsi="Arial" w:cs="Arial"/>
                <w:sz w:val="24"/>
                <w:szCs w:val="24"/>
              </w:rPr>
            </w:pPr>
          </w:p>
        </w:tc>
      </w:tr>
      <w:tr w:rsidR="001C6AE3" w:rsidRPr="007652A5" w:rsidTr="001C6AE3">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lastRenderedPageBreak/>
              <w:t>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Vii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247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1715</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1437</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3312</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30</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right"/>
              <w:rPr>
                <w:rFonts w:ascii="Arial" w:hAnsi="Arial" w:cs="Arial"/>
                <w:sz w:val="24"/>
                <w:szCs w:val="24"/>
              </w:rPr>
            </w:pPr>
          </w:p>
        </w:tc>
      </w:tr>
      <w:tr w:rsidR="001C6AE3" w:rsidRPr="007652A5" w:rsidTr="001C6AE3">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Livezi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293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315</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339</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A54188">
            <w:pPr>
              <w:spacing w:after="0" w:line="240" w:lineRule="auto"/>
              <w:jc w:val="center"/>
              <w:rPr>
                <w:rFonts w:ascii="Arial" w:hAnsi="Arial" w:cs="Arial"/>
                <w:sz w:val="24"/>
                <w:szCs w:val="24"/>
              </w:rPr>
            </w:pPr>
            <w:r w:rsidRPr="007652A5">
              <w:rPr>
                <w:rFonts w:ascii="Arial" w:hAnsi="Arial" w:cs="Arial"/>
                <w:sz w:val="24"/>
                <w:szCs w:val="24"/>
              </w:rPr>
              <w:t>1</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right"/>
              <w:rPr>
                <w:rFonts w:ascii="Arial" w:hAnsi="Arial" w:cs="Arial"/>
                <w:sz w:val="24"/>
                <w:szCs w:val="24"/>
              </w:rPr>
            </w:pPr>
          </w:p>
        </w:tc>
      </w:tr>
      <w:tr w:rsidR="001C6AE3" w:rsidRPr="007652A5" w:rsidTr="001C6AE3">
        <w:trPr>
          <w:jc w:val="center"/>
        </w:trPr>
        <w:tc>
          <w:tcPr>
            <w:tcW w:w="677" w:type="dxa"/>
            <w:tcBorders>
              <w:top w:val="single" w:sz="4" w:space="0" w:color="auto"/>
              <w:left w:val="single" w:sz="4" w:space="0" w:color="auto"/>
              <w:bottom w:val="single" w:sz="4" w:space="0" w:color="auto"/>
              <w:right w:val="single" w:sz="4" w:space="0" w:color="auto"/>
            </w:tcBorders>
            <w:shd w:val="clear" w:color="auto" w:fill="DBE6C4"/>
          </w:tcPr>
          <w:p w:rsidR="001C6AE3" w:rsidRPr="007652A5" w:rsidRDefault="001C6AE3" w:rsidP="00C625DB">
            <w:pPr>
              <w:spacing w:after="0" w:line="240" w:lineRule="auto"/>
              <w:jc w:val="both"/>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b/>
                <w:sz w:val="24"/>
                <w:szCs w:val="24"/>
              </w:rPr>
            </w:pPr>
            <w:r w:rsidRPr="007652A5">
              <w:rPr>
                <w:rFonts w:ascii="Arial" w:hAnsi="Arial" w:cs="Arial"/>
                <w:b/>
                <w:sz w:val="24"/>
                <w:szCs w:val="24"/>
              </w:rPr>
              <w:t>Total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both"/>
              <w:rPr>
                <w:rFonts w:ascii="Arial" w:hAnsi="Arial" w:cs="Arial"/>
                <w:b/>
                <w:sz w:val="24"/>
                <w:szCs w:val="24"/>
              </w:rPr>
            </w:pPr>
            <w:r w:rsidRPr="007652A5">
              <w:rPr>
                <w:rFonts w:ascii="Arial" w:hAnsi="Arial" w:cs="Arial"/>
                <w:b/>
                <w:sz w:val="24"/>
                <w:szCs w:val="24"/>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rPr>
                <w:rFonts w:ascii="Arial" w:hAnsi="Arial" w:cs="Arial"/>
                <w:b/>
                <w:sz w:val="24"/>
                <w:szCs w:val="24"/>
              </w:rPr>
            </w:pPr>
            <w:r w:rsidRPr="007652A5">
              <w:rPr>
                <w:rFonts w:ascii="Arial" w:hAnsi="Arial" w:cs="Arial"/>
                <w:b/>
                <w:sz w:val="24"/>
                <w:szCs w:val="24"/>
              </w:rPr>
              <w:t>24489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rPr>
                <w:rFonts w:ascii="Arial" w:hAnsi="Arial" w:cs="Arial"/>
                <w:b/>
                <w:sz w:val="24"/>
                <w:szCs w:val="24"/>
              </w:rPr>
            </w:pPr>
            <w:r w:rsidRPr="007652A5">
              <w:rPr>
                <w:rFonts w:ascii="Arial" w:hAnsi="Arial" w:cs="Arial"/>
                <w:b/>
                <w:sz w:val="24"/>
                <w:szCs w:val="24"/>
              </w:rPr>
              <w:t>150549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rPr>
                <w:rFonts w:ascii="Arial" w:hAnsi="Arial" w:cs="Arial"/>
                <w:b/>
                <w:sz w:val="24"/>
                <w:szCs w:val="24"/>
              </w:rPr>
            </w:pPr>
            <w:r w:rsidRPr="007652A5">
              <w:rPr>
                <w:rFonts w:ascii="Arial" w:hAnsi="Arial" w:cs="Arial"/>
                <w:b/>
                <w:sz w:val="24"/>
                <w:szCs w:val="24"/>
              </w:rPr>
              <w:t>144255</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rPr>
                <w:rFonts w:ascii="Arial" w:hAnsi="Arial" w:cs="Arial"/>
                <w:b/>
                <w:sz w:val="24"/>
                <w:szCs w:val="24"/>
              </w:rPr>
            </w:pPr>
            <w:r w:rsidRPr="007652A5">
              <w:rPr>
                <w:rFonts w:ascii="Arial" w:hAnsi="Arial" w:cs="Arial"/>
                <w:b/>
                <w:sz w:val="24"/>
                <w:szCs w:val="24"/>
              </w:rPr>
              <w:t>40996</w:t>
            </w:r>
          </w:p>
        </w:tc>
        <w:tc>
          <w:tcPr>
            <w:tcW w:w="884"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rPr>
                <w:rFonts w:ascii="Arial" w:hAnsi="Arial" w:cs="Arial"/>
                <w:b/>
                <w:sz w:val="24"/>
                <w:szCs w:val="24"/>
              </w:rPr>
            </w:pPr>
            <w:r w:rsidRPr="007652A5">
              <w:rPr>
                <w:rFonts w:ascii="Arial" w:hAnsi="Arial" w:cs="Arial"/>
                <w:b/>
                <w:sz w:val="24"/>
                <w:szCs w:val="24"/>
              </w:rPr>
              <w:t>21287</w:t>
            </w:r>
          </w:p>
        </w:tc>
        <w:tc>
          <w:tcPr>
            <w:tcW w:w="236" w:type="dxa"/>
            <w:tcBorders>
              <w:top w:val="single" w:sz="4" w:space="0" w:color="auto"/>
              <w:left w:val="single" w:sz="4" w:space="0" w:color="auto"/>
              <w:bottom w:val="single" w:sz="4" w:space="0" w:color="auto"/>
              <w:right w:val="single" w:sz="4" w:space="0" w:color="auto"/>
            </w:tcBorders>
            <w:shd w:val="clear" w:color="auto" w:fill="DBE6C4"/>
            <w:hideMark/>
          </w:tcPr>
          <w:p w:rsidR="001C6AE3" w:rsidRPr="007652A5" w:rsidRDefault="001C6AE3" w:rsidP="00C625DB">
            <w:pPr>
              <w:spacing w:after="0" w:line="240" w:lineRule="auto"/>
              <w:jc w:val="right"/>
              <w:rPr>
                <w:rFonts w:ascii="Arial" w:hAnsi="Arial" w:cs="Arial"/>
                <w:b/>
                <w:sz w:val="24"/>
                <w:szCs w:val="24"/>
              </w:rPr>
            </w:pPr>
          </w:p>
        </w:tc>
      </w:tr>
    </w:tbl>
    <w:p w:rsidR="00E00628" w:rsidRPr="007652A5" w:rsidRDefault="00E00628" w:rsidP="00C625DB">
      <w:pPr>
        <w:tabs>
          <w:tab w:val="left" w:pos="2160"/>
          <w:tab w:val="left" w:leader="dot" w:pos="8820"/>
        </w:tabs>
        <w:spacing w:after="0" w:line="240" w:lineRule="auto"/>
        <w:ind w:left="1980" w:right="360"/>
        <w:jc w:val="both"/>
        <w:rPr>
          <w:rFonts w:ascii="Arial" w:hAnsi="Arial" w:cs="Arial"/>
          <w:sz w:val="24"/>
          <w:szCs w:val="24"/>
        </w:rPr>
      </w:pPr>
    </w:p>
    <w:p w:rsidR="001C6AE3" w:rsidRPr="007652A5" w:rsidRDefault="001C6AE3" w:rsidP="00C625DB">
      <w:pPr>
        <w:tabs>
          <w:tab w:val="left" w:leader="dot" w:pos="9072"/>
        </w:tabs>
        <w:spacing w:after="0" w:line="240" w:lineRule="auto"/>
        <w:jc w:val="both"/>
        <w:rPr>
          <w:rFonts w:ascii="Arial" w:hAnsi="Arial" w:cs="Arial"/>
          <w:sz w:val="24"/>
          <w:szCs w:val="24"/>
          <w:lang w:val="it-IT"/>
        </w:rPr>
      </w:pPr>
    </w:p>
    <w:p w:rsidR="001C6AE3" w:rsidRPr="007652A5" w:rsidRDefault="001C6AE3" w:rsidP="00C625DB">
      <w:pPr>
        <w:tabs>
          <w:tab w:val="left" w:leader="dot" w:pos="9072"/>
        </w:tabs>
        <w:spacing w:after="0" w:line="240" w:lineRule="auto"/>
        <w:jc w:val="both"/>
        <w:rPr>
          <w:rFonts w:ascii="Arial" w:hAnsi="Arial" w:cs="Arial"/>
          <w:sz w:val="24"/>
          <w:szCs w:val="24"/>
          <w:lang w:val="it-IT"/>
        </w:rPr>
      </w:pPr>
    </w:p>
    <w:p w:rsidR="001C6AE3" w:rsidRPr="007652A5" w:rsidRDefault="001C6AE3" w:rsidP="007652A5">
      <w:pPr>
        <w:tabs>
          <w:tab w:val="left" w:leader="dot" w:pos="9072"/>
        </w:tabs>
        <w:spacing w:after="0" w:line="240" w:lineRule="auto"/>
        <w:jc w:val="center"/>
        <w:rPr>
          <w:rFonts w:ascii="Arial" w:hAnsi="Arial" w:cs="Arial"/>
          <w:sz w:val="24"/>
          <w:szCs w:val="24"/>
          <w:lang w:val="it-IT"/>
        </w:rPr>
      </w:pPr>
      <w:r w:rsidRPr="007652A5">
        <w:rPr>
          <w:rFonts w:ascii="Arial" w:hAnsi="Arial" w:cs="Arial"/>
          <w:noProof/>
          <w:sz w:val="24"/>
          <w:szCs w:val="24"/>
          <w:lang w:eastAsia="ro-RO"/>
        </w:rPr>
        <w:drawing>
          <wp:inline distT="0" distB="0" distL="0" distR="0">
            <wp:extent cx="5064125" cy="1800225"/>
            <wp:effectExtent l="19050" t="0" r="3175" b="0"/>
            <wp:docPr id="39"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C6AE3" w:rsidRPr="007652A5" w:rsidRDefault="001C6AE3" w:rsidP="00C625DB">
      <w:pPr>
        <w:tabs>
          <w:tab w:val="left" w:leader="dot" w:pos="9072"/>
        </w:tabs>
        <w:spacing w:after="0" w:line="240" w:lineRule="auto"/>
        <w:jc w:val="both"/>
        <w:rPr>
          <w:rFonts w:ascii="Arial" w:hAnsi="Arial" w:cs="Arial"/>
          <w:sz w:val="24"/>
          <w:szCs w:val="24"/>
          <w:lang w:val="it-IT"/>
        </w:rPr>
      </w:pPr>
    </w:p>
    <w:p w:rsidR="001C6AE3" w:rsidRPr="007652A5" w:rsidRDefault="001C6AE3" w:rsidP="00C625DB">
      <w:pPr>
        <w:tabs>
          <w:tab w:val="left" w:leader="dot" w:pos="9072"/>
        </w:tabs>
        <w:spacing w:after="0" w:line="240" w:lineRule="auto"/>
        <w:jc w:val="both"/>
        <w:rPr>
          <w:rFonts w:ascii="Arial" w:hAnsi="Arial" w:cs="Arial"/>
          <w:sz w:val="24"/>
          <w:szCs w:val="24"/>
          <w:lang w:val="it-IT"/>
        </w:rPr>
      </w:pPr>
    </w:p>
    <w:p w:rsidR="00202088" w:rsidRPr="007652A5" w:rsidRDefault="00202088" w:rsidP="00202088">
      <w:pPr>
        <w:tabs>
          <w:tab w:val="left" w:leader="dot" w:pos="9072"/>
        </w:tabs>
        <w:spacing w:after="0" w:line="240" w:lineRule="auto"/>
        <w:jc w:val="both"/>
        <w:rPr>
          <w:rFonts w:ascii="Arial" w:hAnsi="Arial" w:cs="Arial"/>
          <w:sz w:val="24"/>
          <w:szCs w:val="24"/>
          <w:lang w:val="it-IT"/>
        </w:rPr>
      </w:pPr>
      <w:r w:rsidRPr="00202088">
        <w:rPr>
          <w:rFonts w:ascii="Arial" w:hAnsi="Arial" w:cs="Arial"/>
          <w:sz w:val="24"/>
          <w:szCs w:val="24"/>
          <w:lang w:val="it-IT"/>
        </w:rPr>
        <w:t>Figura III.1.1-1</w:t>
      </w:r>
      <w:r w:rsidRPr="007652A5">
        <w:rPr>
          <w:rFonts w:ascii="Arial" w:hAnsi="Arial" w:cs="Arial"/>
          <w:sz w:val="24"/>
          <w:szCs w:val="24"/>
          <w:lang w:val="it-IT"/>
        </w:rPr>
        <w:t xml:space="preserve">:Ponderea tipurilor de folosințe din totalul agricol la nivelul anului 2016 </w:t>
      </w:r>
    </w:p>
    <w:p w:rsidR="00E00628" w:rsidRPr="007652A5" w:rsidRDefault="00E00628" w:rsidP="00C625DB">
      <w:pPr>
        <w:tabs>
          <w:tab w:val="left" w:pos="2160"/>
          <w:tab w:val="left" w:leader="dot" w:pos="8820"/>
        </w:tabs>
        <w:spacing w:after="0" w:line="240" w:lineRule="auto"/>
        <w:ind w:left="1134" w:right="360"/>
        <w:jc w:val="center"/>
        <w:rPr>
          <w:rFonts w:ascii="Arial" w:hAnsi="Arial" w:cs="Arial"/>
          <w:sz w:val="24"/>
          <w:szCs w:val="24"/>
        </w:rPr>
      </w:pP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Modificările în ponderea tipurilor de folosințe în perioada 2011- 201</w:t>
      </w:r>
      <w:r w:rsidR="001C6AE3" w:rsidRPr="007652A5">
        <w:rPr>
          <w:rFonts w:ascii="Arial" w:hAnsi="Arial" w:cs="Arial"/>
          <w:sz w:val="24"/>
          <w:szCs w:val="24"/>
        </w:rPr>
        <w:t>6</w:t>
      </w:r>
      <w:r w:rsidRPr="007652A5">
        <w:rPr>
          <w:rFonts w:ascii="Arial" w:hAnsi="Arial" w:cs="Arial"/>
          <w:sz w:val="24"/>
          <w:szCs w:val="24"/>
        </w:rPr>
        <w:t xml:space="preserve"> au fost foarte mici, </w:t>
      </w:r>
      <w:r w:rsidR="001C6AE3" w:rsidRPr="007652A5">
        <w:rPr>
          <w:rFonts w:ascii="Arial" w:hAnsi="Arial" w:cs="Arial"/>
          <w:sz w:val="24"/>
          <w:szCs w:val="24"/>
          <w:lang w:val="it-IT"/>
        </w:rPr>
        <w:t>terenurile arabile având o ușoară scădere iar pășunile, livezile și viile o ușoară cre</w:t>
      </w:r>
      <w:r w:rsidR="001C6AE3" w:rsidRPr="007652A5">
        <w:rPr>
          <w:rFonts w:ascii="Arial" w:hAnsi="Arial" w:cs="Arial"/>
          <w:sz w:val="24"/>
          <w:szCs w:val="24"/>
        </w:rPr>
        <w:t>ștere</w:t>
      </w:r>
      <w:r w:rsidRPr="007652A5">
        <w:rPr>
          <w:rFonts w:ascii="Arial" w:hAnsi="Arial" w:cs="Arial"/>
          <w:sz w:val="24"/>
          <w:szCs w:val="24"/>
        </w:rPr>
        <w:t xml:space="preserve">. </w:t>
      </w:r>
    </w:p>
    <w:p w:rsidR="001C6AE3" w:rsidRPr="007652A5" w:rsidRDefault="001C6AE3" w:rsidP="00C625DB">
      <w:pPr>
        <w:tabs>
          <w:tab w:val="left" w:pos="709"/>
          <w:tab w:val="left" w:pos="2160"/>
          <w:tab w:val="left" w:leader="dot" w:pos="8640"/>
        </w:tabs>
        <w:spacing w:after="0" w:line="240" w:lineRule="auto"/>
        <w:ind w:right="-38" w:firstLine="851"/>
        <w:jc w:val="both"/>
        <w:rPr>
          <w:rFonts w:ascii="Arial" w:hAnsi="Arial" w:cs="Arial"/>
          <w:b/>
          <w:sz w:val="24"/>
          <w:szCs w:val="24"/>
        </w:rPr>
      </w:pP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b/>
          <w:sz w:val="24"/>
          <w:szCs w:val="24"/>
        </w:rPr>
      </w:pPr>
      <w:r w:rsidRPr="007652A5">
        <w:rPr>
          <w:rFonts w:ascii="Arial" w:hAnsi="Arial" w:cs="Arial"/>
          <w:b/>
          <w:sz w:val="24"/>
          <w:szCs w:val="24"/>
        </w:rPr>
        <w:t xml:space="preserve">III.1.2. Terenuri afectate de diverși factori limitativi </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Calitatea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Restricţiile calităţii solurilor, cu referire la degradare şi potenţial productiv redus, se regăsesc în următoarele grupări de soluri:</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a) Soluri sărăturate sau afectate de sărăturare: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soluri halomorfe (solonceacuri, soloneţuri, complex de solonceacuri-soloneţuri), având un potenţial productiv foarte redus (pajişti foarte slabe);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cernozomuri sărăturate (salinizate şi alcalizate);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soluri aluviale sărăturate (salinizate şi alcalizate).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Dacă solurile halomorfe în majoritate au origine primară, procesele de sărăturare pe cernozomuri şi soluri aluviale sunt de origine antropică (secundară) şi au apărut în condiţiile îndiguirii şi neaplicării lucrărilor ameliorative pe lunci şi în condiţiile pierderilor de apă din amenajările de irigaţie, ridicării pânzei freatice şi neaplicării tehnologiilor ameliorative corespunzătoare.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b) Soluri afectate de exces de umiditate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În luncă excesul periodic de apă se produce cu precădere în zonele controlate de fluviu şi râuri (lunci şi zone depresionare de câmpie) şi sub incidenţa aportului de apă din precipitaţii sau irigaţii.</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c) Soluri afectate de compactare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În luncă aceste soluri sunt frecvente. S-au format datorită configuraţiei litologice favorabile (prezenţa cu preponderenţă a fracţiunilor fine în stratul arabil) cât şi prin efectuarea lucrărilor agricole în condiţii de umiditate ridicată, toamna târziu.</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În câmpie procesele de compactare sunt localizate frecvent la adâncimea părţii inferioare a stratului arabil (talpa plugului) datorându-se agrotehnicii necorespunzătoare aplicate.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d) Soluri afectate de eroziune eoliană</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lastRenderedPageBreak/>
        <w:t>Sunt soluri nisipoase situate majoritatea în câmpia Călmăţuiului şi pe terasele râului Buzău. Datorită texturii grosiere, a fertilităţii reduse şi a vegetaţiei slab reprezentate, aceste soluri sunt frecvent supuse deflaţiei, reclamând intervenţii de fixare şi aplicarea unor sisteme de agricultură ameliorativă specifice. După anul 1991, odată cu defrişările intense ale plantaţiilor de vii şi tăierea necontrolată a perdelelor forestiere, fenomenul de eroziune prin deflaţie pe aceste soluri s-a accentuat.</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e) Zone vulnerabile şi potenţial vulnerabile la poluarea cu nitraţi din surse agricole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La sfârşitul anului </w:t>
      </w:r>
      <w:smartTag w:uri="urn:schemas-microsoft-com:office:smarttags" w:element="metricconverter">
        <w:smartTagPr>
          <w:attr w:name="ProductID" w:val="2008 a"/>
        </w:smartTagPr>
        <w:r w:rsidRPr="007652A5">
          <w:rPr>
            <w:rFonts w:ascii="Arial" w:hAnsi="Arial" w:cs="Arial"/>
            <w:sz w:val="24"/>
            <w:szCs w:val="24"/>
          </w:rPr>
          <w:t>2008 a</w:t>
        </w:r>
      </w:smartTag>
      <w:r w:rsidRPr="007652A5">
        <w:rPr>
          <w:rFonts w:ascii="Arial" w:hAnsi="Arial" w:cs="Arial"/>
          <w:sz w:val="24"/>
          <w:szCs w:val="24"/>
        </w:rPr>
        <w:t xml:space="preserve"> fost emis Ordinul nr. 1.552/743  al Ministrului Mediului şi Dezvoltării Durabile şi al Ministrului Agriculturii şi Dezvoltării Rurale pentru aprobarea listei localităţilor, pe judeţe, unde există surse de nitraţi din activităţi agricole. În judeţul </w:t>
      </w:r>
      <w:r w:rsidR="00217620">
        <w:rPr>
          <w:rFonts w:ascii="Arial" w:hAnsi="Arial" w:cs="Arial"/>
          <w:sz w:val="24"/>
          <w:szCs w:val="24"/>
        </w:rPr>
        <w:t>Brăila</w:t>
      </w:r>
      <w:r w:rsidRPr="007652A5">
        <w:rPr>
          <w:rFonts w:ascii="Arial" w:hAnsi="Arial" w:cs="Arial"/>
          <w:sz w:val="24"/>
          <w:szCs w:val="24"/>
        </w:rPr>
        <w:t xml:space="preserve"> acestă listă cuprinde 40 de localităţi. </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Pentru exploataţiile agricole cu un număr de animale cuprins între 8 şi 100 UVM de pe raza localităţilor vulnerabile la poluarea cu nitraţi este obligatorie aplicarea măsurilor din Programul de acţiune pentru zonele vulnerabile la nitraţi din surse agricole. Consiliile locale au elaborat planuri de acţiune locale care cuprind măsuri pentru protecţia apelor şi solului împotriva poluării cu nitraţi pentru localităţile respective.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Pentru o mai bună gospodărire a solului în zonele identificate drept vulnerabile se aplică obligatoriu „Codul de bune practici agricole”. Totodată, s-a organizat „Sistemul naţional de monitoring integrat al solului, de supraveghere, control şi decizii pentru reducerea aportului de poluanţi proveniţi din surse agricole şi de management al reziduurilor organice provenite din zootehnie în zone vulnerabile şi potenţial vulnerabile la poluarea cu nitraţi” .</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Pentru două comune – Vădeni și Chiscani - au fost realizate două platforme de depozitare și gospodărire a gunoiului de grajd în cadrul proiectului „Controlul Integrat al Poluării cu Nutrienţi,” derulat de autoritatea centrală pentru protecția mediului, lucrările fiind deja finalizate și recepționate în fe</w:t>
      </w:r>
      <w:r w:rsidR="007C1699">
        <w:rPr>
          <w:rFonts w:ascii="Arial" w:hAnsi="Arial" w:cs="Arial"/>
          <w:sz w:val="24"/>
          <w:szCs w:val="24"/>
        </w:rPr>
        <w:t>BR</w:t>
      </w:r>
      <w:r w:rsidRPr="007652A5">
        <w:rPr>
          <w:rFonts w:ascii="Arial" w:hAnsi="Arial" w:cs="Arial"/>
          <w:sz w:val="24"/>
          <w:szCs w:val="24"/>
        </w:rPr>
        <w:t>uarie 2015.</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b/>
          <w:sz w:val="24"/>
          <w:szCs w:val="24"/>
        </w:rPr>
      </w:pPr>
      <w:r w:rsidRPr="007652A5">
        <w:rPr>
          <w:rFonts w:ascii="Arial" w:hAnsi="Arial" w:cs="Arial"/>
          <w:b/>
          <w:sz w:val="24"/>
          <w:szCs w:val="24"/>
        </w:rPr>
        <w:t>III.2. Zone critice sub aspectul deteriorării solurilor</w:t>
      </w:r>
    </w:p>
    <w:p w:rsidR="00E00628" w:rsidRPr="007652A5" w:rsidRDefault="00DD64A4" w:rsidP="00C625DB">
      <w:pPr>
        <w:tabs>
          <w:tab w:val="left" w:pos="709"/>
          <w:tab w:val="left" w:pos="2160"/>
          <w:tab w:val="left" w:leader="dot" w:pos="8640"/>
        </w:tabs>
        <w:spacing w:after="0" w:line="240" w:lineRule="auto"/>
        <w:ind w:right="-38" w:firstLine="851"/>
        <w:jc w:val="both"/>
        <w:rPr>
          <w:rFonts w:ascii="Arial" w:hAnsi="Arial" w:cs="Arial"/>
          <w:b/>
          <w:sz w:val="24"/>
          <w:szCs w:val="24"/>
        </w:rPr>
      </w:pPr>
      <w:r>
        <w:rPr>
          <w:rFonts w:ascii="Arial" w:hAnsi="Arial" w:cs="Arial"/>
          <w:b/>
          <w:sz w:val="24"/>
          <w:szCs w:val="24"/>
        </w:rPr>
        <w:t xml:space="preserve">  </w:t>
      </w:r>
      <w:r w:rsidR="00E00628" w:rsidRPr="007652A5">
        <w:rPr>
          <w:rFonts w:ascii="Arial" w:hAnsi="Arial" w:cs="Arial"/>
          <w:b/>
          <w:sz w:val="24"/>
          <w:szCs w:val="24"/>
        </w:rPr>
        <w:t>III.2.1 Zone afectate de procese naturale</w:t>
      </w:r>
    </w:p>
    <w:p w:rsidR="00202088" w:rsidRDefault="00202088" w:rsidP="00C625DB">
      <w:pPr>
        <w:tabs>
          <w:tab w:val="left" w:pos="709"/>
          <w:tab w:val="left" w:pos="2160"/>
          <w:tab w:val="left" w:leader="dot" w:pos="8640"/>
        </w:tabs>
        <w:spacing w:after="0" w:line="240" w:lineRule="auto"/>
        <w:ind w:right="-38" w:firstLine="851"/>
        <w:jc w:val="both"/>
        <w:rPr>
          <w:rFonts w:ascii="Arial" w:hAnsi="Arial" w:cs="Arial"/>
          <w:sz w:val="24"/>
          <w:szCs w:val="24"/>
        </w:rPr>
      </w:pP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Din inventarierea efectuată de Oficiul Judeţean pentru Studii Pedologice şi Agrochimice </w:t>
      </w:r>
      <w:r w:rsidR="00217620">
        <w:rPr>
          <w:rFonts w:ascii="Arial" w:hAnsi="Arial" w:cs="Arial"/>
          <w:sz w:val="24"/>
          <w:szCs w:val="24"/>
        </w:rPr>
        <w:t>Brăila</w:t>
      </w:r>
      <w:r w:rsidRPr="007652A5">
        <w:rPr>
          <w:rFonts w:ascii="Arial" w:hAnsi="Arial" w:cs="Arial"/>
          <w:sz w:val="24"/>
          <w:szCs w:val="24"/>
        </w:rPr>
        <w:t>, calitatea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Aceste restricţii sunt determinate fie de factori naturali (climă, forme de relief, caracteristici edafice etc.), fie de acţiuni antropice agricole şi industriale. Factorii menţionaţi pot acţiona sinergic în sens negativ, având ca efect scăderea calităţii solurilor şi chiar anularea funcţiilor acestora.</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r w:rsidRPr="007652A5">
        <w:rPr>
          <w:rFonts w:ascii="Arial" w:hAnsi="Arial" w:cs="Arial"/>
          <w:sz w:val="24"/>
          <w:szCs w:val="24"/>
        </w:rPr>
        <w:t xml:space="preserve">Inventarul terenurilor afectate de diferite procese este redat în tabelul de mai jos, conform informațiilor furnizate de OSPA </w:t>
      </w:r>
      <w:r w:rsidR="00217620">
        <w:rPr>
          <w:rFonts w:ascii="Arial" w:hAnsi="Arial" w:cs="Arial"/>
          <w:sz w:val="24"/>
          <w:szCs w:val="24"/>
        </w:rPr>
        <w:t>Brăila</w:t>
      </w:r>
      <w:r w:rsidRPr="007652A5">
        <w:rPr>
          <w:rFonts w:ascii="Arial" w:hAnsi="Arial" w:cs="Arial"/>
          <w:sz w:val="24"/>
          <w:szCs w:val="24"/>
        </w:rPr>
        <w:t xml:space="preserve"> pentru anul 2013 este redat în tabelul de mai jos:</w:t>
      </w:r>
    </w:p>
    <w:p w:rsidR="00E00628" w:rsidRPr="007652A5" w:rsidRDefault="00E00628" w:rsidP="00C625DB">
      <w:pPr>
        <w:tabs>
          <w:tab w:val="left" w:pos="709"/>
          <w:tab w:val="left" w:pos="2160"/>
          <w:tab w:val="left" w:leader="dot" w:pos="8640"/>
        </w:tabs>
        <w:spacing w:after="0" w:line="240" w:lineRule="auto"/>
        <w:ind w:right="-38" w:firstLine="851"/>
        <w:jc w:val="both"/>
        <w:rPr>
          <w:rFonts w:ascii="Arial" w:hAnsi="Arial" w:cs="Arial"/>
          <w:sz w:val="24"/>
          <w:szCs w:val="24"/>
        </w:rPr>
      </w:pPr>
    </w:p>
    <w:p w:rsidR="00E00628" w:rsidRPr="00202088" w:rsidRDefault="00E00628" w:rsidP="00C625DB">
      <w:pPr>
        <w:spacing w:after="0" w:line="240" w:lineRule="auto"/>
        <w:ind w:firstLine="709"/>
        <w:jc w:val="both"/>
        <w:rPr>
          <w:rFonts w:ascii="Arial" w:hAnsi="Arial" w:cs="Arial"/>
          <w:sz w:val="24"/>
          <w:szCs w:val="24"/>
        </w:rPr>
      </w:pPr>
      <w:r w:rsidRPr="007652A5">
        <w:rPr>
          <w:rFonts w:ascii="Arial" w:hAnsi="Arial" w:cs="Arial"/>
          <w:b/>
          <w:sz w:val="24"/>
          <w:szCs w:val="24"/>
        </w:rPr>
        <w:t xml:space="preserve">     </w:t>
      </w:r>
      <w:r w:rsidRPr="00202088">
        <w:rPr>
          <w:rFonts w:ascii="Arial" w:hAnsi="Arial" w:cs="Arial"/>
          <w:sz w:val="24"/>
          <w:szCs w:val="24"/>
        </w:rPr>
        <w:t>Tabelul III.2.1-1 Inventarul terenurilor afectate de diferite procese</w:t>
      </w:r>
      <w:r w:rsidRPr="00202088">
        <w:rPr>
          <w:rFonts w:ascii="Arial" w:hAnsi="Arial" w:cs="Arial"/>
          <w:sz w:val="24"/>
          <w:szCs w:val="24"/>
          <w:lang w:val="it-IT"/>
        </w:rPr>
        <w:t xml:space="preserve"> naturale</w:t>
      </w:r>
    </w:p>
    <w:p w:rsidR="00E00628" w:rsidRPr="00202088" w:rsidRDefault="00E00628" w:rsidP="00C625DB">
      <w:pPr>
        <w:pStyle w:val="BodyTextIndent2BodyTextIndent2Char"/>
        <w:ind w:left="0" w:firstLine="720"/>
        <w:rPr>
          <w:rFonts w:ascii="Arial" w:hAnsi="Arial" w:cs="Arial"/>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9"/>
        <w:gridCol w:w="1471"/>
        <w:gridCol w:w="1620"/>
        <w:gridCol w:w="1800"/>
      </w:tblGrid>
      <w:tr w:rsidR="00E00628" w:rsidRPr="007652A5" w:rsidTr="00E00628">
        <w:tc>
          <w:tcPr>
            <w:tcW w:w="26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pStyle w:val="BodyTextIndent2BodyTextIndent2Char"/>
              <w:ind w:left="0"/>
              <w:jc w:val="center"/>
              <w:rPr>
                <w:rFonts w:ascii="Arial" w:hAnsi="Arial" w:cs="Arial"/>
                <w:b/>
                <w:sz w:val="24"/>
                <w:szCs w:val="24"/>
              </w:rPr>
            </w:pPr>
            <w:r w:rsidRPr="007652A5">
              <w:rPr>
                <w:rFonts w:ascii="Arial" w:hAnsi="Arial" w:cs="Arial"/>
                <w:b/>
                <w:sz w:val="24"/>
                <w:szCs w:val="24"/>
              </w:rPr>
              <w:t>Tip de proces</w:t>
            </w:r>
          </w:p>
        </w:tc>
        <w:tc>
          <w:tcPr>
            <w:tcW w:w="1471" w:type="dxa"/>
            <w:tcBorders>
              <w:top w:val="single" w:sz="4" w:space="0" w:color="auto"/>
              <w:left w:val="single" w:sz="4" w:space="0" w:color="auto"/>
              <w:bottom w:val="nil"/>
              <w:right w:val="single" w:sz="4" w:space="0" w:color="auto"/>
            </w:tcBorders>
            <w:shd w:val="clear" w:color="auto" w:fill="D9D9D9"/>
            <w:vAlign w:val="center"/>
          </w:tcPr>
          <w:p w:rsidR="00E00628" w:rsidRPr="007652A5" w:rsidRDefault="00E00628" w:rsidP="00C625DB">
            <w:pPr>
              <w:pStyle w:val="BodyTextIndent2BodyTextIndent2Char"/>
              <w:ind w:left="0"/>
              <w:jc w:val="center"/>
              <w:rPr>
                <w:rFonts w:ascii="Arial" w:hAnsi="Arial" w:cs="Arial"/>
                <w:b/>
                <w:sz w:val="24"/>
                <w:szCs w:val="24"/>
              </w:rPr>
            </w:pPr>
          </w:p>
        </w:tc>
        <w:tc>
          <w:tcPr>
            <w:tcW w:w="1620" w:type="dxa"/>
            <w:tcBorders>
              <w:top w:val="single" w:sz="4" w:space="0" w:color="auto"/>
              <w:left w:val="single" w:sz="4" w:space="0" w:color="auto"/>
              <w:bottom w:val="nil"/>
              <w:right w:val="single" w:sz="4" w:space="0" w:color="auto"/>
            </w:tcBorders>
            <w:shd w:val="clear" w:color="auto" w:fill="D9D9D9"/>
            <w:vAlign w:val="center"/>
          </w:tcPr>
          <w:p w:rsidR="00E00628" w:rsidRPr="007652A5" w:rsidRDefault="00E00628" w:rsidP="00C625DB">
            <w:pPr>
              <w:pStyle w:val="BodyTextIndent2BodyTextIndent2Char"/>
              <w:ind w:left="0"/>
              <w:jc w:val="center"/>
              <w:rPr>
                <w:rFonts w:ascii="Arial" w:hAnsi="Arial" w:cs="Arial"/>
                <w:b/>
                <w:sz w:val="24"/>
                <w:szCs w:val="24"/>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00628" w:rsidRPr="007652A5" w:rsidRDefault="00E00628" w:rsidP="00C625DB">
            <w:pPr>
              <w:pStyle w:val="BodyTextIndent2BodyTextIndent2Char"/>
              <w:ind w:left="0"/>
              <w:jc w:val="center"/>
              <w:rPr>
                <w:rFonts w:ascii="Arial" w:hAnsi="Arial" w:cs="Arial"/>
                <w:b/>
                <w:sz w:val="24"/>
                <w:szCs w:val="24"/>
              </w:rPr>
            </w:pPr>
          </w:p>
          <w:p w:rsidR="00E00628" w:rsidRPr="007652A5" w:rsidRDefault="00E00628" w:rsidP="00C625DB">
            <w:pPr>
              <w:pStyle w:val="BodyTextIndent2BodyTextIndent2Char"/>
              <w:ind w:left="0"/>
              <w:jc w:val="center"/>
              <w:rPr>
                <w:rFonts w:ascii="Arial" w:hAnsi="Arial" w:cs="Arial"/>
                <w:b/>
                <w:sz w:val="24"/>
                <w:szCs w:val="24"/>
              </w:rPr>
            </w:pPr>
            <w:r w:rsidRPr="007652A5">
              <w:rPr>
                <w:rFonts w:ascii="Arial" w:hAnsi="Arial" w:cs="Arial"/>
                <w:b/>
                <w:sz w:val="24"/>
                <w:szCs w:val="24"/>
              </w:rPr>
              <w:t>%</w:t>
            </w:r>
          </w:p>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b/>
                <w:sz w:val="24"/>
                <w:szCs w:val="24"/>
              </w:rPr>
              <w:t>din totalul suprafeţei agricole</w:t>
            </w:r>
          </w:p>
        </w:tc>
      </w:tr>
      <w:tr w:rsidR="00E00628" w:rsidRPr="007652A5" w:rsidTr="00A54188">
        <w:trPr>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eastAsia="Times New Roman" w:hAnsi="Arial" w:cs="Arial"/>
                <w:b/>
                <w:sz w:val="24"/>
                <w:szCs w:val="24"/>
              </w:rPr>
            </w:pPr>
          </w:p>
        </w:tc>
        <w:tc>
          <w:tcPr>
            <w:tcW w:w="1471" w:type="dxa"/>
            <w:tcBorders>
              <w:top w:val="nil"/>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center"/>
              <w:rPr>
                <w:rFonts w:ascii="Arial" w:hAnsi="Arial" w:cs="Arial"/>
                <w:b/>
                <w:bCs/>
                <w:sz w:val="24"/>
                <w:szCs w:val="24"/>
              </w:rPr>
            </w:pPr>
            <w:r w:rsidRPr="007652A5">
              <w:rPr>
                <w:rFonts w:ascii="Arial" w:hAnsi="Arial" w:cs="Arial"/>
                <w:b/>
                <w:bCs/>
                <w:sz w:val="24"/>
                <w:szCs w:val="24"/>
              </w:rPr>
              <w:t>Suprafață</w:t>
            </w:r>
          </w:p>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b/>
                <w:sz w:val="24"/>
                <w:szCs w:val="24"/>
              </w:rPr>
              <w:t>ha</w:t>
            </w:r>
          </w:p>
        </w:tc>
        <w:tc>
          <w:tcPr>
            <w:tcW w:w="1620" w:type="dxa"/>
            <w:tcBorders>
              <w:top w:val="nil"/>
              <w:left w:val="single" w:sz="4" w:space="0" w:color="auto"/>
              <w:bottom w:val="single" w:sz="4" w:space="0" w:color="auto"/>
              <w:right w:val="single" w:sz="4" w:space="0" w:color="auto"/>
            </w:tcBorders>
            <w:shd w:val="clear" w:color="auto" w:fill="D9D9D9"/>
            <w:vAlign w:val="center"/>
            <w:hideMark/>
          </w:tcPr>
          <w:p w:rsidR="00E00628" w:rsidRPr="007652A5" w:rsidRDefault="00E00628" w:rsidP="00A54188">
            <w:pPr>
              <w:pStyle w:val="BodyTextIndent2BodyTextIndent2Char"/>
              <w:ind w:left="0"/>
              <w:jc w:val="center"/>
              <w:rPr>
                <w:rFonts w:ascii="Arial" w:hAnsi="Arial" w:cs="Arial"/>
                <w:b/>
                <w:sz w:val="24"/>
                <w:szCs w:val="24"/>
              </w:rPr>
            </w:pPr>
            <w:r w:rsidRPr="007652A5">
              <w:rPr>
                <w:rFonts w:ascii="Arial" w:hAnsi="Arial" w:cs="Arial"/>
                <w:b/>
                <w:sz w:val="24"/>
                <w:szCs w:val="24"/>
              </w:rPr>
              <w:t>%</w:t>
            </w:r>
          </w:p>
          <w:p w:rsidR="00E00628" w:rsidRPr="007652A5" w:rsidRDefault="00E00628" w:rsidP="00C625DB">
            <w:pPr>
              <w:pStyle w:val="BodyTextIndent2BodyTextIndent2Char"/>
              <w:ind w:left="0"/>
              <w:jc w:val="center"/>
              <w:rPr>
                <w:rFonts w:ascii="Arial" w:hAnsi="Arial" w:cs="Arial"/>
                <w:sz w:val="24"/>
                <w:szCs w:val="24"/>
                <w:lang w:val="en-US"/>
              </w:rPr>
            </w:pPr>
            <w:r w:rsidRPr="007652A5">
              <w:rPr>
                <w:rFonts w:ascii="Arial" w:hAnsi="Arial" w:cs="Arial"/>
                <w:b/>
                <w:sz w:val="24"/>
                <w:szCs w:val="24"/>
              </w:rPr>
              <w:t>din suprafa</w:t>
            </w:r>
            <w:r w:rsidRPr="007652A5">
              <w:rPr>
                <w:rFonts w:ascii="Arial" w:hAnsi="Arial" w:cs="Arial"/>
                <w:b/>
                <w:sz w:val="24"/>
                <w:szCs w:val="24"/>
                <w:lang w:val="en-US"/>
              </w:rPr>
              <w:t>ţa afectată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eastAsia="Times New Roman" w:hAnsi="Arial" w:cs="Arial"/>
                <w:sz w:val="24"/>
                <w:szCs w:val="24"/>
              </w:rPr>
            </w:pPr>
          </w:p>
        </w:tc>
      </w:tr>
      <w:tr w:rsidR="00E00628" w:rsidRPr="007652A5"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left"/>
              <w:rPr>
                <w:rFonts w:ascii="Arial" w:hAnsi="Arial" w:cs="Arial"/>
                <w:sz w:val="24"/>
                <w:szCs w:val="24"/>
              </w:rPr>
            </w:pPr>
            <w:r w:rsidRPr="007652A5">
              <w:rPr>
                <w:rFonts w:ascii="Arial" w:hAnsi="Arial" w:cs="Arial"/>
                <w:sz w:val="24"/>
                <w:szCs w:val="24"/>
              </w:rPr>
              <w:t>Gleizare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33687,12</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29,18</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8,70</w:t>
            </w:r>
          </w:p>
        </w:tc>
      </w:tr>
      <w:tr w:rsidR="00E00628" w:rsidRPr="007652A5"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left"/>
              <w:rPr>
                <w:rFonts w:ascii="Arial" w:hAnsi="Arial" w:cs="Arial"/>
                <w:sz w:val="24"/>
                <w:szCs w:val="24"/>
              </w:rPr>
            </w:pPr>
            <w:r w:rsidRPr="007652A5">
              <w:rPr>
                <w:rFonts w:ascii="Arial" w:hAnsi="Arial" w:cs="Arial"/>
                <w:sz w:val="24"/>
                <w:szCs w:val="24"/>
              </w:rPr>
              <w:t>Salinizate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17469,75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15,13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4,51</w:t>
            </w:r>
          </w:p>
        </w:tc>
      </w:tr>
      <w:tr w:rsidR="00E00628" w:rsidRPr="007652A5"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left"/>
              <w:rPr>
                <w:rFonts w:ascii="Arial" w:hAnsi="Arial" w:cs="Arial"/>
                <w:sz w:val="24"/>
                <w:szCs w:val="24"/>
              </w:rPr>
            </w:pPr>
            <w:r w:rsidRPr="007652A5">
              <w:rPr>
                <w:rFonts w:ascii="Arial" w:hAnsi="Arial" w:cs="Arial"/>
                <w:sz w:val="24"/>
                <w:szCs w:val="24"/>
              </w:rPr>
              <w:t>Sodizate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6042,95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5,23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1,56</w:t>
            </w:r>
          </w:p>
        </w:tc>
      </w:tr>
      <w:tr w:rsidR="00E00628" w:rsidRPr="007652A5"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left"/>
              <w:rPr>
                <w:rFonts w:ascii="Arial" w:hAnsi="Arial" w:cs="Arial"/>
                <w:sz w:val="24"/>
                <w:szCs w:val="24"/>
              </w:rPr>
            </w:pPr>
            <w:r w:rsidRPr="007652A5">
              <w:rPr>
                <w:rFonts w:ascii="Arial" w:hAnsi="Arial" w:cs="Arial"/>
                <w:sz w:val="24"/>
                <w:szCs w:val="24"/>
              </w:rPr>
              <w:t>Salinizare + sodizare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35939,99</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31,13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9,28</w:t>
            </w:r>
          </w:p>
        </w:tc>
      </w:tr>
      <w:tr w:rsidR="00E00628" w:rsidRPr="007652A5"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left"/>
              <w:rPr>
                <w:rFonts w:ascii="Arial" w:hAnsi="Arial" w:cs="Arial"/>
                <w:sz w:val="24"/>
                <w:szCs w:val="24"/>
              </w:rPr>
            </w:pPr>
            <w:r w:rsidRPr="007652A5">
              <w:rPr>
                <w:rFonts w:ascii="Arial" w:hAnsi="Arial" w:cs="Arial"/>
                <w:sz w:val="24"/>
                <w:szCs w:val="24"/>
              </w:rPr>
              <w:lastRenderedPageBreak/>
              <w:t>Eroziune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770,00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0,67</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0,20</w:t>
            </w:r>
          </w:p>
        </w:tc>
      </w:tr>
      <w:tr w:rsidR="00E00628" w:rsidRPr="007652A5"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left"/>
              <w:rPr>
                <w:rFonts w:ascii="Arial" w:hAnsi="Arial" w:cs="Arial"/>
                <w:sz w:val="24"/>
                <w:szCs w:val="24"/>
              </w:rPr>
            </w:pPr>
            <w:r w:rsidRPr="007652A5">
              <w:rPr>
                <w:rFonts w:ascii="Arial" w:hAnsi="Arial" w:cs="Arial"/>
                <w:sz w:val="24"/>
                <w:szCs w:val="24"/>
              </w:rPr>
              <w:t>Relief de dune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21540,00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18,66</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sz w:val="24"/>
                <w:szCs w:val="24"/>
              </w:rPr>
            </w:pPr>
            <w:r w:rsidRPr="007652A5">
              <w:rPr>
                <w:rFonts w:ascii="Arial" w:hAnsi="Arial" w:cs="Arial"/>
                <w:sz w:val="24"/>
                <w:szCs w:val="24"/>
              </w:rPr>
              <w:t>5,60</w:t>
            </w:r>
          </w:p>
        </w:tc>
      </w:tr>
      <w:tr w:rsidR="00E00628" w:rsidRPr="007652A5" w:rsidTr="00E00628">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b/>
                <w:sz w:val="24"/>
                <w:szCs w:val="24"/>
              </w:rPr>
            </w:pPr>
            <w:r w:rsidRPr="007652A5">
              <w:rPr>
                <w:rFonts w:ascii="Arial" w:hAnsi="Arial" w:cs="Arial"/>
                <w:b/>
                <w:sz w:val="24"/>
                <w:szCs w:val="24"/>
              </w:rPr>
              <w:t>Total</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b/>
                <w:sz w:val="24"/>
                <w:szCs w:val="24"/>
              </w:rPr>
            </w:pPr>
            <w:r w:rsidRPr="007652A5">
              <w:rPr>
                <w:rFonts w:ascii="Arial" w:hAnsi="Arial" w:cs="Arial"/>
                <w:b/>
                <w:sz w:val="24"/>
                <w:szCs w:val="24"/>
              </w:rPr>
              <w:t>115451,81</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b/>
                <w:sz w:val="24"/>
                <w:szCs w:val="24"/>
              </w:rPr>
            </w:pPr>
            <w:r w:rsidRPr="007652A5">
              <w:rPr>
                <w:rFonts w:ascii="Arial" w:hAnsi="Arial" w:cs="Arial"/>
                <w:b/>
                <w:sz w:val="24"/>
                <w:szCs w:val="24"/>
              </w:rPr>
              <w:t>100,00</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E00628" w:rsidRPr="007652A5" w:rsidRDefault="00E00628" w:rsidP="00C625DB">
            <w:pPr>
              <w:pStyle w:val="BodyTextIndent2BodyTextIndent2Char"/>
              <w:ind w:left="0"/>
              <w:jc w:val="center"/>
              <w:rPr>
                <w:rFonts w:ascii="Arial" w:hAnsi="Arial" w:cs="Arial"/>
                <w:b/>
                <w:sz w:val="24"/>
                <w:szCs w:val="24"/>
              </w:rPr>
            </w:pPr>
            <w:r w:rsidRPr="007652A5">
              <w:rPr>
                <w:rFonts w:ascii="Arial" w:hAnsi="Arial" w:cs="Arial"/>
                <w:b/>
                <w:sz w:val="24"/>
                <w:szCs w:val="24"/>
              </w:rPr>
              <w:t>29,82</w:t>
            </w:r>
          </w:p>
        </w:tc>
      </w:tr>
    </w:tbl>
    <w:p w:rsidR="00E00628" w:rsidRPr="007652A5" w:rsidRDefault="00E00628" w:rsidP="00C625DB">
      <w:pPr>
        <w:tabs>
          <w:tab w:val="left" w:pos="2160"/>
          <w:tab w:val="left" w:leader="dot" w:pos="8820"/>
        </w:tabs>
        <w:spacing w:after="0" w:line="240" w:lineRule="auto"/>
        <w:ind w:right="360"/>
        <w:jc w:val="both"/>
        <w:rPr>
          <w:rFonts w:ascii="Arial" w:hAnsi="Arial" w:cs="Arial"/>
          <w:sz w:val="24"/>
          <w:szCs w:val="24"/>
        </w:rPr>
      </w:pPr>
    </w:p>
    <w:p w:rsidR="00E00628" w:rsidRPr="007652A5" w:rsidRDefault="00E00628" w:rsidP="00C625DB">
      <w:pPr>
        <w:tabs>
          <w:tab w:val="left" w:leader="dot" w:pos="8820"/>
        </w:tabs>
        <w:spacing w:after="0" w:line="240" w:lineRule="auto"/>
        <w:ind w:right="360"/>
        <w:jc w:val="both"/>
        <w:rPr>
          <w:rFonts w:ascii="Arial" w:hAnsi="Arial" w:cs="Arial"/>
          <w:b/>
          <w:sz w:val="24"/>
          <w:szCs w:val="24"/>
          <w:lang w:val="it-IT"/>
        </w:rPr>
      </w:pPr>
      <w:r w:rsidRPr="007652A5">
        <w:rPr>
          <w:rFonts w:ascii="Arial" w:hAnsi="Arial" w:cs="Arial"/>
          <w:b/>
          <w:sz w:val="24"/>
          <w:szCs w:val="24"/>
          <w:lang w:val="it-IT"/>
        </w:rPr>
        <w:t xml:space="preserve">III.3. Presiuni ale unor factori asupra stării de calitate a solurilor din județul </w:t>
      </w:r>
      <w:r w:rsidR="00217620">
        <w:rPr>
          <w:rFonts w:ascii="Arial" w:hAnsi="Arial" w:cs="Arial"/>
          <w:b/>
          <w:sz w:val="24"/>
          <w:szCs w:val="24"/>
          <w:lang w:val="it-IT"/>
        </w:rPr>
        <w:t>Brăila</w:t>
      </w:r>
    </w:p>
    <w:p w:rsidR="00E00628" w:rsidRPr="007652A5" w:rsidRDefault="00E00628" w:rsidP="00C625DB">
      <w:pPr>
        <w:spacing w:after="0" w:line="240" w:lineRule="auto"/>
        <w:jc w:val="both"/>
        <w:rPr>
          <w:rFonts w:ascii="Arial" w:eastAsia="SimSun" w:hAnsi="Arial" w:cs="Arial"/>
          <w:b/>
          <w:sz w:val="24"/>
          <w:szCs w:val="24"/>
          <w:lang w:val="it-IT"/>
        </w:rPr>
      </w:pPr>
      <w:r w:rsidRPr="007652A5">
        <w:rPr>
          <w:rFonts w:ascii="Arial" w:hAnsi="Arial" w:cs="Arial"/>
          <w:b/>
          <w:sz w:val="24"/>
          <w:szCs w:val="24"/>
          <w:lang w:val="it-IT"/>
        </w:rPr>
        <w:t xml:space="preserve">       III.3.1. </w:t>
      </w:r>
      <w:r w:rsidRPr="007652A5">
        <w:rPr>
          <w:rFonts w:ascii="Arial" w:hAnsi="Arial" w:cs="Arial"/>
          <w:b/>
          <w:i/>
          <w:sz w:val="24"/>
          <w:szCs w:val="24"/>
          <w:lang w:val="it-IT"/>
        </w:rPr>
        <w:t>Utilizarea și consumul de îngrăşăminte</w:t>
      </w:r>
    </w:p>
    <w:p w:rsidR="00202088" w:rsidRDefault="00202088" w:rsidP="00C625DB">
      <w:pPr>
        <w:pStyle w:val="BodyTextIndent2BodyTextIndent2Char"/>
        <w:ind w:left="0"/>
        <w:rPr>
          <w:rFonts w:ascii="Arial" w:hAnsi="Arial" w:cs="Arial"/>
          <w:sz w:val="24"/>
          <w:szCs w:val="24"/>
        </w:rPr>
      </w:pPr>
    </w:p>
    <w:p w:rsidR="00E00628" w:rsidRPr="007652A5" w:rsidRDefault="00E00628" w:rsidP="00C625DB">
      <w:pPr>
        <w:pStyle w:val="BodyTextIndent2BodyTextIndent2Char"/>
        <w:ind w:left="0"/>
        <w:rPr>
          <w:rFonts w:ascii="Arial" w:hAnsi="Arial" w:cs="Arial"/>
          <w:sz w:val="24"/>
          <w:szCs w:val="24"/>
        </w:rPr>
      </w:pPr>
      <w:r w:rsidRPr="007652A5">
        <w:rPr>
          <w:rFonts w:ascii="Arial" w:hAnsi="Arial" w:cs="Arial"/>
          <w:sz w:val="24"/>
          <w:szCs w:val="24"/>
        </w:rPr>
        <w:t>Îngrăşămintele de orice natură, aplicate în mod raţional, ocupă un loc prioritar pentru menţinerea şi sporirea fertilităţii solului, pentru creşterea producţiilor agricole. În cazul în care sunt folosite fără a se lua în considerare natura solurilor, condiţiile meteorologice concrete şi necesităţile plantelor, pot provoca dereglarea echili</w:t>
      </w:r>
      <w:r w:rsidR="007C1699">
        <w:rPr>
          <w:rFonts w:ascii="Arial" w:hAnsi="Arial" w:cs="Arial"/>
          <w:sz w:val="24"/>
          <w:szCs w:val="24"/>
        </w:rPr>
        <w:t>BR</w:t>
      </w:r>
      <w:r w:rsidRPr="007652A5">
        <w:rPr>
          <w:rFonts w:ascii="Arial" w:hAnsi="Arial" w:cs="Arial"/>
          <w:sz w:val="24"/>
          <w:szCs w:val="24"/>
        </w:rPr>
        <w:t>ului ecologic.</w:t>
      </w:r>
    </w:p>
    <w:p w:rsidR="00E00628" w:rsidRPr="007652A5" w:rsidRDefault="00E00628" w:rsidP="00C625DB">
      <w:pPr>
        <w:spacing w:after="0" w:line="240" w:lineRule="auto"/>
        <w:jc w:val="both"/>
        <w:rPr>
          <w:rFonts w:ascii="Arial" w:hAnsi="Arial" w:cs="Arial"/>
          <w:sz w:val="24"/>
          <w:szCs w:val="24"/>
        </w:rPr>
      </w:pPr>
    </w:p>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lang w:val="pt-BR"/>
        </w:rPr>
        <w:t>Utilizarea îngrăşămintelor în anii 2011-201</w:t>
      </w:r>
      <w:r w:rsidR="00A20DD3" w:rsidRPr="007652A5">
        <w:rPr>
          <w:rFonts w:ascii="Arial" w:hAnsi="Arial" w:cs="Arial"/>
          <w:b/>
          <w:sz w:val="24"/>
          <w:szCs w:val="24"/>
          <w:lang w:val="pt-BR"/>
        </w:rPr>
        <w:t>6</w:t>
      </w:r>
      <w:r w:rsidRPr="007652A5">
        <w:rPr>
          <w:rFonts w:ascii="Arial" w:hAnsi="Arial" w:cs="Arial"/>
          <w:b/>
          <w:sz w:val="24"/>
          <w:szCs w:val="24"/>
          <w:lang w:val="pt-BR"/>
        </w:rPr>
        <w:t xml:space="preserve"> este redată în tabelul și graficele de mai jos.</w:t>
      </w:r>
    </w:p>
    <w:p w:rsidR="00E00628" w:rsidRPr="00202088" w:rsidRDefault="00E00628" w:rsidP="00C625DB">
      <w:pPr>
        <w:spacing w:after="0" w:line="240" w:lineRule="auto"/>
        <w:rPr>
          <w:rFonts w:ascii="Arial" w:hAnsi="Arial" w:cs="Arial"/>
          <w:sz w:val="24"/>
          <w:szCs w:val="24"/>
          <w:lang w:val="pt-BR"/>
        </w:rPr>
      </w:pPr>
      <w:r w:rsidRPr="007652A5">
        <w:rPr>
          <w:rFonts w:ascii="Arial" w:hAnsi="Arial" w:cs="Arial"/>
          <w:b/>
          <w:sz w:val="24"/>
          <w:szCs w:val="24"/>
          <w:lang w:val="pt-BR"/>
        </w:rPr>
        <w:t xml:space="preserve">                    </w:t>
      </w:r>
      <w:r w:rsidRPr="00202088">
        <w:rPr>
          <w:rFonts w:ascii="Arial" w:hAnsi="Arial" w:cs="Arial"/>
          <w:sz w:val="24"/>
          <w:szCs w:val="24"/>
          <w:lang w:val="pt-BR"/>
        </w:rPr>
        <w:t xml:space="preserve"> Tabelul III.3.1-1 </w:t>
      </w:r>
    </w:p>
    <w:tbl>
      <w:tblPr>
        <w:tblpPr w:leftFromText="180" w:rightFromText="180" w:vertAnchor="text" w:horzAnchor="page" w:tblpX="2063"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951"/>
        <w:gridCol w:w="951"/>
        <w:gridCol w:w="896"/>
        <w:gridCol w:w="1033"/>
        <w:gridCol w:w="1777"/>
        <w:gridCol w:w="1710"/>
      </w:tblGrid>
      <w:tr w:rsidR="00E00628" w:rsidRPr="007652A5" w:rsidTr="00E00628">
        <w:tc>
          <w:tcPr>
            <w:tcW w:w="89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Anul</w:t>
            </w:r>
          </w:p>
        </w:tc>
        <w:tc>
          <w:tcPr>
            <w:tcW w:w="3813" w:type="dxa"/>
            <w:gridSpan w:val="4"/>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Îngrăşăminte chimice folosite</w:t>
            </w:r>
          </w:p>
          <w:p w:rsidR="00E00628" w:rsidRPr="007652A5" w:rsidRDefault="00E00628" w:rsidP="00C625DB">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(tone substanţă activă)</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N+P2O5+K2O</w:t>
            </w:r>
          </w:p>
          <w:p w:rsidR="00E00628" w:rsidRPr="007652A5" w:rsidRDefault="00E00628" w:rsidP="00C625DB">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 kg/ha )</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Îngrăşăminte</w:t>
            </w:r>
          </w:p>
          <w:p w:rsidR="00E00628" w:rsidRPr="007652A5" w:rsidRDefault="00E00628" w:rsidP="00C625DB">
            <w:pPr>
              <w:tabs>
                <w:tab w:val="left" w:pos="770"/>
                <w:tab w:val="left" w:pos="3801"/>
              </w:tabs>
              <w:spacing w:after="0" w:line="240" w:lineRule="auto"/>
              <w:jc w:val="both"/>
              <w:rPr>
                <w:rFonts w:ascii="Arial" w:hAnsi="Arial" w:cs="Arial"/>
                <w:b/>
                <w:sz w:val="24"/>
                <w:szCs w:val="24"/>
              </w:rPr>
            </w:pPr>
            <w:r w:rsidRPr="007652A5">
              <w:rPr>
                <w:rFonts w:ascii="Arial" w:hAnsi="Arial" w:cs="Arial"/>
                <w:b/>
                <w:sz w:val="24"/>
                <w:szCs w:val="24"/>
              </w:rPr>
              <w:t>organice</w:t>
            </w:r>
          </w:p>
          <w:p w:rsidR="00E00628" w:rsidRPr="007652A5" w:rsidRDefault="00E00628" w:rsidP="00C625DB">
            <w:pPr>
              <w:tabs>
                <w:tab w:val="left" w:pos="770"/>
                <w:tab w:val="left" w:pos="3801"/>
              </w:tabs>
              <w:spacing w:after="0" w:line="240" w:lineRule="auto"/>
              <w:jc w:val="both"/>
              <w:rPr>
                <w:rFonts w:ascii="Arial" w:hAnsi="Arial" w:cs="Arial"/>
                <w:sz w:val="24"/>
                <w:szCs w:val="24"/>
              </w:rPr>
            </w:pPr>
            <w:r w:rsidRPr="007652A5">
              <w:rPr>
                <w:rFonts w:ascii="Arial" w:hAnsi="Arial" w:cs="Arial"/>
                <w:b/>
                <w:sz w:val="24"/>
                <w:szCs w:val="24"/>
              </w:rPr>
              <w:t>(tone)</w:t>
            </w:r>
          </w:p>
        </w:tc>
      </w:tr>
      <w:tr w:rsidR="00E00628" w:rsidRPr="007652A5" w:rsidTr="00E00628">
        <w:tc>
          <w:tcPr>
            <w:tcW w:w="890" w:type="dxa"/>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hAnsi="Arial" w:cs="Arial"/>
                <w:b/>
                <w:sz w:val="24"/>
                <w:szCs w:val="24"/>
              </w:rPr>
            </w:pPr>
          </w:p>
        </w:tc>
        <w:tc>
          <w:tcPr>
            <w:tcW w:w="937"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N</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P2O5</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K2O</w:t>
            </w:r>
          </w:p>
        </w:tc>
        <w:tc>
          <w:tcPr>
            <w:tcW w:w="1033"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Total</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7652A5" w:rsidRDefault="00E00628" w:rsidP="00C625DB">
            <w:pPr>
              <w:spacing w:after="0" w:line="240" w:lineRule="auto"/>
              <w:jc w:val="both"/>
              <w:rPr>
                <w:rFonts w:ascii="Arial" w:hAnsi="Arial" w:cs="Arial"/>
                <w:b/>
                <w:sz w:val="24"/>
                <w:szCs w:val="24"/>
              </w:rPr>
            </w:pPr>
            <w:r w:rsidRPr="007652A5">
              <w:rPr>
                <w:rFonts w:ascii="Arial" w:hAnsi="Arial" w:cs="Arial"/>
                <w:b/>
                <w:sz w:val="24"/>
                <w:szCs w:val="24"/>
              </w:rPr>
              <w:t>Arabil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hAnsi="Arial" w:cs="Arial"/>
                <w:sz w:val="24"/>
                <w:szCs w:val="24"/>
              </w:rPr>
            </w:pPr>
          </w:p>
        </w:tc>
      </w:tr>
      <w:tr w:rsidR="00E00628" w:rsidRPr="007652A5" w:rsidTr="00E00628">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both"/>
              <w:rPr>
                <w:rFonts w:ascii="Arial" w:hAnsi="Arial" w:cs="Arial"/>
                <w:sz w:val="24"/>
                <w:szCs w:val="24"/>
              </w:rPr>
            </w:pPr>
            <w:r w:rsidRPr="007652A5">
              <w:rPr>
                <w:rFonts w:ascii="Arial" w:hAnsi="Arial" w:cs="Arial"/>
                <w:sz w:val="24"/>
                <w:szCs w:val="24"/>
              </w:rPr>
              <w:t>2011</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8</w:t>
            </w:r>
            <w:r w:rsidR="00A20DD3" w:rsidRPr="007652A5">
              <w:rPr>
                <w:rFonts w:ascii="Arial" w:hAnsi="Arial" w:cs="Arial"/>
                <w:sz w:val="24"/>
                <w:szCs w:val="24"/>
              </w:rPr>
              <w:t>.</w:t>
            </w:r>
            <w:r w:rsidRPr="007652A5">
              <w:rPr>
                <w:rFonts w:ascii="Arial" w:hAnsi="Arial" w:cs="Arial"/>
                <w:sz w:val="24"/>
                <w:szCs w:val="24"/>
              </w:rPr>
              <w:t>177</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6</w:t>
            </w:r>
            <w:r w:rsidR="00A20DD3" w:rsidRPr="007652A5">
              <w:rPr>
                <w:rFonts w:ascii="Arial" w:hAnsi="Arial" w:cs="Arial"/>
                <w:sz w:val="24"/>
                <w:szCs w:val="24"/>
              </w:rPr>
              <w:t>.</w:t>
            </w:r>
            <w:r w:rsidRPr="007652A5">
              <w:rPr>
                <w:rFonts w:ascii="Arial" w:hAnsi="Arial" w:cs="Arial"/>
                <w:sz w:val="24"/>
                <w:szCs w:val="24"/>
              </w:rPr>
              <w:t>343</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w:t>
            </w:r>
            <w:r w:rsidR="00A20DD3" w:rsidRPr="007652A5">
              <w:rPr>
                <w:rFonts w:ascii="Arial" w:hAnsi="Arial" w:cs="Arial"/>
                <w:sz w:val="24"/>
                <w:szCs w:val="24"/>
              </w:rPr>
              <w:t>.</w:t>
            </w:r>
            <w:r w:rsidRPr="007652A5">
              <w:rPr>
                <w:rFonts w:ascii="Arial" w:hAnsi="Arial" w:cs="Arial"/>
                <w:sz w:val="24"/>
                <w:szCs w:val="24"/>
              </w:rPr>
              <w:t>512</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16</w:t>
            </w:r>
            <w:r w:rsidR="00A20DD3" w:rsidRPr="007652A5">
              <w:rPr>
                <w:rFonts w:ascii="Arial" w:hAnsi="Arial" w:cs="Arial"/>
                <w:sz w:val="24"/>
                <w:szCs w:val="24"/>
              </w:rPr>
              <w:t>.</w:t>
            </w:r>
            <w:r w:rsidRPr="007652A5">
              <w:rPr>
                <w:rFonts w:ascii="Arial" w:hAnsi="Arial" w:cs="Arial"/>
                <w:sz w:val="24"/>
                <w:szCs w:val="24"/>
              </w:rPr>
              <w:t>032</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65,60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693</w:t>
            </w:r>
            <w:r w:rsidR="00A20DD3" w:rsidRPr="007652A5">
              <w:rPr>
                <w:rFonts w:ascii="Arial" w:hAnsi="Arial" w:cs="Arial"/>
                <w:sz w:val="24"/>
                <w:szCs w:val="24"/>
              </w:rPr>
              <w:t>.</w:t>
            </w:r>
            <w:r w:rsidRPr="007652A5">
              <w:rPr>
                <w:rFonts w:ascii="Arial" w:hAnsi="Arial" w:cs="Arial"/>
                <w:sz w:val="24"/>
                <w:szCs w:val="24"/>
              </w:rPr>
              <w:t>000</w:t>
            </w:r>
          </w:p>
        </w:tc>
      </w:tr>
      <w:tr w:rsidR="00E00628" w:rsidRPr="007652A5" w:rsidTr="00E00628">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both"/>
              <w:rPr>
                <w:rFonts w:ascii="Arial" w:hAnsi="Arial" w:cs="Arial"/>
                <w:sz w:val="24"/>
                <w:szCs w:val="24"/>
              </w:rPr>
            </w:pPr>
            <w:r w:rsidRPr="007652A5">
              <w:rPr>
                <w:rFonts w:ascii="Arial" w:hAnsi="Arial" w:cs="Arial"/>
                <w:sz w:val="24"/>
                <w:szCs w:val="24"/>
              </w:rPr>
              <w:t>2012</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8</w:t>
            </w:r>
            <w:r w:rsidR="00A20DD3" w:rsidRPr="007652A5">
              <w:rPr>
                <w:rFonts w:ascii="Arial" w:hAnsi="Arial" w:cs="Arial"/>
                <w:sz w:val="24"/>
                <w:szCs w:val="24"/>
              </w:rPr>
              <w:t>.</w:t>
            </w:r>
            <w:r w:rsidRPr="007652A5">
              <w:rPr>
                <w:rFonts w:ascii="Arial" w:hAnsi="Arial" w:cs="Arial"/>
                <w:sz w:val="24"/>
                <w:szCs w:val="24"/>
              </w:rPr>
              <w:t>575</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6</w:t>
            </w:r>
            <w:r w:rsidR="00A20DD3" w:rsidRPr="007652A5">
              <w:rPr>
                <w:rFonts w:ascii="Arial" w:hAnsi="Arial" w:cs="Arial"/>
                <w:sz w:val="24"/>
                <w:szCs w:val="24"/>
              </w:rPr>
              <w:t>.</w:t>
            </w:r>
            <w:r w:rsidRPr="007652A5">
              <w:rPr>
                <w:rFonts w:ascii="Arial" w:hAnsi="Arial" w:cs="Arial"/>
                <w:sz w:val="24"/>
                <w:szCs w:val="24"/>
              </w:rPr>
              <w:t>723</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w:t>
            </w:r>
            <w:r w:rsidR="00A20DD3" w:rsidRPr="007652A5">
              <w:rPr>
                <w:rFonts w:ascii="Arial" w:hAnsi="Arial" w:cs="Arial"/>
                <w:sz w:val="24"/>
                <w:szCs w:val="24"/>
              </w:rPr>
              <w:t>.</w:t>
            </w:r>
            <w:r w:rsidRPr="007652A5">
              <w:rPr>
                <w:rFonts w:ascii="Arial" w:hAnsi="Arial" w:cs="Arial"/>
                <w:sz w:val="24"/>
                <w:szCs w:val="24"/>
              </w:rPr>
              <w:t>285</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16</w:t>
            </w:r>
            <w:r w:rsidR="00A20DD3" w:rsidRPr="007652A5">
              <w:rPr>
                <w:rFonts w:ascii="Arial" w:hAnsi="Arial" w:cs="Arial"/>
                <w:sz w:val="24"/>
                <w:szCs w:val="24"/>
              </w:rPr>
              <w:t>.</w:t>
            </w:r>
            <w:r w:rsidRPr="007652A5">
              <w:rPr>
                <w:rFonts w:ascii="Arial" w:hAnsi="Arial" w:cs="Arial"/>
                <w:sz w:val="24"/>
                <w:szCs w:val="24"/>
              </w:rPr>
              <w:t>583</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67,60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693</w:t>
            </w:r>
            <w:r w:rsidR="00A20DD3" w:rsidRPr="007652A5">
              <w:rPr>
                <w:rFonts w:ascii="Arial" w:hAnsi="Arial" w:cs="Arial"/>
                <w:sz w:val="24"/>
                <w:szCs w:val="24"/>
              </w:rPr>
              <w:t>.</w:t>
            </w:r>
            <w:r w:rsidRPr="007652A5">
              <w:rPr>
                <w:rFonts w:ascii="Arial" w:hAnsi="Arial" w:cs="Arial"/>
                <w:sz w:val="24"/>
                <w:szCs w:val="24"/>
              </w:rPr>
              <w:t>000</w:t>
            </w:r>
          </w:p>
        </w:tc>
      </w:tr>
      <w:tr w:rsidR="00E00628" w:rsidRPr="007652A5" w:rsidTr="00E00628">
        <w:trPr>
          <w:trHeight w:val="260"/>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both"/>
              <w:rPr>
                <w:rFonts w:ascii="Arial" w:hAnsi="Arial" w:cs="Arial"/>
                <w:sz w:val="24"/>
                <w:szCs w:val="24"/>
              </w:rPr>
            </w:pPr>
            <w:r w:rsidRPr="007652A5">
              <w:rPr>
                <w:rFonts w:ascii="Arial" w:hAnsi="Arial" w:cs="Arial"/>
                <w:sz w:val="24"/>
                <w:szCs w:val="24"/>
              </w:rPr>
              <w:t>2013</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7</w:t>
            </w:r>
            <w:r w:rsidR="00A20DD3" w:rsidRPr="007652A5">
              <w:rPr>
                <w:rFonts w:ascii="Arial" w:hAnsi="Arial" w:cs="Arial"/>
                <w:sz w:val="24"/>
                <w:szCs w:val="24"/>
              </w:rPr>
              <w:t>.</w:t>
            </w:r>
            <w:r w:rsidRPr="007652A5">
              <w:rPr>
                <w:rFonts w:ascii="Arial" w:hAnsi="Arial" w:cs="Arial"/>
                <w:sz w:val="24"/>
                <w:szCs w:val="24"/>
              </w:rPr>
              <w:t>908</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6</w:t>
            </w:r>
            <w:r w:rsidR="00A20DD3" w:rsidRPr="007652A5">
              <w:rPr>
                <w:rFonts w:ascii="Arial" w:hAnsi="Arial" w:cs="Arial"/>
                <w:sz w:val="24"/>
                <w:szCs w:val="24"/>
              </w:rPr>
              <w:t>.</w:t>
            </w:r>
            <w:r w:rsidRPr="007652A5">
              <w:rPr>
                <w:rFonts w:ascii="Arial" w:hAnsi="Arial" w:cs="Arial"/>
                <w:sz w:val="24"/>
                <w:szCs w:val="24"/>
              </w:rPr>
              <w:t>150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571</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14</w:t>
            </w:r>
            <w:r w:rsidR="00A20DD3" w:rsidRPr="007652A5">
              <w:rPr>
                <w:rFonts w:ascii="Arial" w:hAnsi="Arial" w:cs="Arial"/>
                <w:sz w:val="24"/>
                <w:szCs w:val="24"/>
              </w:rPr>
              <w:t>.</w:t>
            </w:r>
            <w:r w:rsidRPr="007652A5">
              <w:rPr>
                <w:rFonts w:ascii="Arial" w:hAnsi="Arial" w:cs="Arial"/>
                <w:sz w:val="24"/>
                <w:szCs w:val="24"/>
              </w:rPr>
              <w:t>629</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48,60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668</w:t>
            </w:r>
            <w:r w:rsidR="00A20DD3" w:rsidRPr="007652A5">
              <w:rPr>
                <w:rFonts w:ascii="Arial" w:hAnsi="Arial" w:cs="Arial"/>
                <w:sz w:val="24"/>
                <w:szCs w:val="24"/>
              </w:rPr>
              <w:t>.</w:t>
            </w:r>
            <w:r w:rsidRPr="007652A5">
              <w:rPr>
                <w:rFonts w:ascii="Arial" w:hAnsi="Arial" w:cs="Arial"/>
                <w:sz w:val="24"/>
                <w:szCs w:val="24"/>
              </w:rPr>
              <w:t>700</w:t>
            </w:r>
          </w:p>
        </w:tc>
      </w:tr>
      <w:tr w:rsidR="00E00628" w:rsidRPr="007652A5" w:rsidTr="00E00628">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both"/>
              <w:rPr>
                <w:rFonts w:ascii="Arial" w:hAnsi="Arial" w:cs="Arial"/>
                <w:sz w:val="24"/>
                <w:szCs w:val="24"/>
              </w:rPr>
            </w:pPr>
            <w:r w:rsidRPr="007652A5">
              <w:rPr>
                <w:rFonts w:ascii="Arial" w:hAnsi="Arial" w:cs="Arial"/>
                <w:sz w:val="24"/>
                <w:szCs w:val="24"/>
              </w:rPr>
              <w:t>2014</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8</w:t>
            </w:r>
            <w:r w:rsidR="00A20DD3" w:rsidRPr="007652A5">
              <w:rPr>
                <w:rFonts w:ascii="Arial" w:hAnsi="Arial" w:cs="Arial"/>
                <w:sz w:val="24"/>
                <w:szCs w:val="24"/>
              </w:rPr>
              <w:t>.</w:t>
            </w:r>
            <w:r w:rsidRPr="007652A5">
              <w:rPr>
                <w:rFonts w:ascii="Arial" w:hAnsi="Arial" w:cs="Arial"/>
                <w:sz w:val="24"/>
                <w:szCs w:val="24"/>
              </w:rPr>
              <w:t>085</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6</w:t>
            </w:r>
            <w:r w:rsidR="00A20DD3" w:rsidRPr="007652A5">
              <w:rPr>
                <w:rFonts w:ascii="Arial" w:hAnsi="Arial" w:cs="Arial"/>
                <w:sz w:val="24"/>
                <w:szCs w:val="24"/>
              </w:rPr>
              <w:t>.</w:t>
            </w:r>
            <w:r w:rsidRPr="007652A5">
              <w:rPr>
                <w:rFonts w:ascii="Arial" w:hAnsi="Arial" w:cs="Arial"/>
                <w:sz w:val="24"/>
                <w:szCs w:val="24"/>
              </w:rPr>
              <w:t>290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429</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14</w:t>
            </w:r>
            <w:r w:rsidR="00A20DD3" w:rsidRPr="007652A5">
              <w:rPr>
                <w:rFonts w:ascii="Arial" w:hAnsi="Arial" w:cs="Arial"/>
                <w:sz w:val="24"/>
                <w:szCs w:val="24"/>
              </w:rPr>
              <w:t>.</w:t>
            </w:r>
            <w:r w:rsidRPr="007652A5">
              <w:rPr>
                <w:rFonts w:ascii="Arial" w:hAnsi="Arial" w:cs="Arial"/>
                <w:sz w:val="24"/>
                <w:szCs w:val="24"/>
              </w:rPr>
              <w:t>804</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62,40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668</w:t>
            </w:r>
            <w:r w:rsidR="00A20DD3" w:rsidRPr="007652A5">
              <w:rPr>
                <w:rFonts w:ascii="Arial" w:hAnsi="Arial" w:cs="Arial"/>
                <w:sz w:val="24"/>
                <w:szCs w:val="24"/>
              </w:rPr>
              <w:t>.</w:t>
            </w:r>
            <w:r w:rsidRPr="007652A5">
              <w:rPr>
                <w:rFonts w:ascii="Arial" w:hAnsi="Arial" w:cs="Arial"/>
                <w:sz w:val="24"/>
                <w:szCs w:val="24"/>
              </w:rPr>
              <w:t>700</w:t>
            </w:r>
          </w:p>
        </w:tc>
      </w:tr>
      <w:tr w:rsidR="00E00628" w:rsidRPr="007652A5" w:rsidTr="00E00628">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both"/>
              <w:rPr>
                <w:rFonts w:ascii="Arial" w:hAnsi="Arial" w:cs="Arial"/>
                <w:sz w:val="24"/>
                <w:szCs w:val="24"/>
              </w:rPr>
            </w:pPr>
            <w:r w:rsidRPr="007652A5">
              <w:rPr>
                <w:rFonts w:ascii="Arial" w:hAnsi="Arial" w:cs="Arial"/>
                <w:sz w:val="24"/>
                <w:szCs w:val="24"/>
              </w:rPr>
              <w:t>2015</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12005</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right"/>
              <w:rPr>
                <w:rFonts w:ascii="Arial" w:hAnsi="Arial" w:cs="Arial"/>
                <w:sz w:val="24"/>
                <w:szCs w:val="24"/>
              </w:rPr>
            </w:pPr>
            <w:r w:rsidRPr="007652A5">
              <w:rPr>
                <w:rFonts w:ascii="Arial" w:hAnsi="Arial" w:cs="Arial"/>
                <w:sz w:val="24"/>
                <w:szCs w:val="24"/>
              </w:rPr>
              <w:t>9150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7131</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27</w:t>
            </w:r>
            <w:r w:rsidR="00A20DD3" w:rsidRPr="007652A5">
              <w:rPr>
                <w:rFonts w:ascii="Arial" w:hAnsi="Arial" w:cs="Arial"/>
                <w:sz w:val="24"/>
                <w:szCs w:val="24"/>
              </w:rPr>
              <w:t>.</w:t>
            </w:r>
            <w:r w:rsidRPr="007652A5">
              <w:rPr>
                <w:rFonts w:ascii="Arial" w:hAnsi="Arial" w:cs="Arial"/>
                <w:sz w:val="24"/>
                <w:szCs w:val="24"/>
              </w:rPr>
              <w:t>701</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78,74</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668</w:t>
            </w:r>
            <w:r w:rsidR="00A20DD3" w:rsidRPr="007652A5">
              <w:rPr>
                <w:rFonts w:ascii="Arial" w:hAnsi="Arial" w:cs="Arial"/>
                <w:sz w:val="24"/>
                <w:szCs w:val="24"/>
              </w:rPr>
              <w:t>.</w:t>
            </w:r>
            <w:r w:rsidRPr="007652A5">
              <w:rPr>
                <w:rFonts w:ascii="Arial" w:hAnsi="Arial" w:cs="Arial"/>
                <w:sz w:val="24"/>
                <w:szCs w:val="24"/>
              </w:rPr>
              <w:t>700</w:t>
            </w:r>
          </w:p>
        </w:tc>
      </w:tr>
      <w:tr w:rsidR="001C6AE3" w:rsidRPr="007652A5" w:rsidTr="00E00628">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1C6AE3" w:rsidRPr="007652A5" w:rsidRDefault="001C6AE3" w:rsidP="00C625DB">
            <w:pPr>
              <w:spacing w:after="0" w:line="240" w:lineRule="auto"/>
              <w:jc w:val="both"/>
              <w:rPr>
                <w:rFonts w:ascii="Arial" w:hAnsi="Arial" w:cs="Arial"/>
                <w:sz w:val="24"/>
                <w:szCs w:val="24"/>
              </w:rPr>
            </w:pPr>
            <w:r w:rsidRPr="007652A5">
              <w:rPr>
                <w:rFonts w:ascii="Arial" w:hAnsi="Arial" w:cs="Arial"/>
                <w:sz w:val="24"/>
                <w:szCs w:val="24"/>
              </w:rPr>
              <w:t>2016</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1C6AE3" w:rsidRPr="007652A5" w:rsidRDefault="001C6AE3" w:rsidP="00C625DB">
            <w:pPr>
              <w:spacing w:after="0" w:line="240" w:lineRule="auto"/>
              <w:jc w:val="right"/>
              <w:rPr>
                <w:rFonts w:ascii="Arial" w:hAnsi="Arial" w:cs="Arial"/>
                <w:sz w:val="24"/>
                <w:szCs w:val="24"/>
              </w:rPr>
            </w:pPr>
            <w:r w:rsidRPr="007652A5">
              <w:rPr>
                <w:rFonts w:ascii="Arial" w:hAnsi="Arial" w:cs="Arial"/>
                <w:sz w:val="24"/>
                <w:szCs w:val="24"/>
              </w:rPr>
              <w:t>14</w:t>
            </w:r>
            <w:r w:rsidR="00A20DD3" w:rsidRPr="007652A5">
              <w:rPr>
                <w:rFonts w:ascii="Arial" w:hAnsi="Arial" w:cs="Arial"/>
                <w:sz w:val="24"/>
                <w:szCs w:val="24"/>
              </w:rPr>
              <w:t>.</w:t>
            </w:r>
            <w:r w:rsidRPr="007652A5">
              <w:rPr>
                <w:rFonts w:ascii="Arial" w:hAnsi="Arial" w:cs="Arial"/>
                <w:sz w:val="24"/>
                <w:szCs w:val="24"/>
              </w:rPr>
              <w:t>762</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1C6AE3" w:rsidRPr="007652A5" w:rsidRDefault="001C6AE3" w:rsidP="00C625DB">
            <w:pPr>
              <w:spacing w:after="0" w:line="240" w:lineRule="auto"/>
              <w:jc w:val="right"/>
              <w:rPr>
                <w:rFonts w:ascii="Arial" w:hAnsi="Arial" w:cs="Arial"/>
                <w:sz w:val="24"/>
                <w:szCs w:val="24"/>
              </w:rPr>
            </w:pPr>
            <w:r w:rsidRPr="007652A5">
              <w:rPr>
                <w:rFonts w:ascii="Arial" w:hAnsi="Arial" w:cs="Arial"/>
                <w:sz w:val="24"/>
                <w:szCs w:val="24"/>
              </w:rPr>
              <w:t>11</w:t>
            </w:r>
            <w:r w:rsidR="00A20DD3" w:rsidRPr="007652A5">
              <w:rPr>
                <w:rFonts w:ascii="Arial" w:hAnsi="Arial" w:cs="Arial"/>
                <w:sz w:val="24"/>
                <w:szCs w:val="24"/>
              </w:rPr>
              <w:t>.</w:t>
            </w:r>
            <w:r w:rsidRPr="007652A5">
              <w:rPr>
                <w:rFonts w:ascii="Arial" w:hAnsi="Arial" w:cs="Arial"/>
                <w:sz w:val="24"/>
                <w:szCs w:val="24"/>
              </w:rPr>
              <w:t>437</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1C6AE3" w:rsidRPr="007652A5" w:rsidRDefault="001C6AE3" w:rsidP="00C625DB">
            <w:pPr>
              <w:spacing w:after="0" w:line="240" w:lineRule="auto"/>
              <w:jc w:val="center"/>
              <w:rPr>
                <w:rFonts w:ascii="Arial" w:hAnsi="Arial" w:cs="Arial"/>
                <w:sz w:val="24"/>
                <w:szCs w:val="24"/>
              </w:rPr>
            </w:pPr>
            <w:r w:rsidRPr="007652A5">
              <w:rPr>
                <w:rFonts w:ascii="Arial" w:hAnsi="Arial" w:cs="Arial"/>
                <w:sz w:val="24"/>
                <w:szCs w:val="24"/>
              </w:rPr>
              <w:t>8</w:t>
            </w:r>
            <w:r w:rsidR="00A20DD3" w:rsidRPr="007652A5">
              <w:rPr>
                <w:rFonts w:ascii="Arial" w:hAnsi="Arial" w:cs="Arial"/>
                <w:sz w:val="24"/>
                <w:szCs w:val="24"/>
              </w:rPr>
              <w:t>.</w:t>
            </w:r>
            <w:r w:rsidRPr="007652A5">
              <w:rPr>
                <w:rFonts w:ascii="Arial" w:hAnsi="Arial" w:cs="Arial"/>
                <w:sz w:val="24"/>
                <w:szCs w:val="24"/>
              </w:rPr>
              <w:t>257</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1C6AE3" w:rsidRPr="007652A5" w:rsidRDefault="001C6AE3" w:rsidP="00C625DB">
            <w:pPr>
              <w:spacing w:after="0" w:line="240" w:lineRule="auto"/>
              <w:jc w:val="center"/>
              <w:rPr>
                <w:rFonts w:ascii="Arial" w:hAnsi="Arial" w:cs="Arial"/>
                <w:sz w:val="24"/>
                <w:szCs w:val="24"/>
              </w:rPr>
            </w:pPr>
            <w:r w:rsidRPr="007652A5">
              <w:rPr>
                <w:rFonts w:ascii="Arial" w:hAnsi="Arial" w:cs="Arial"/>
                <w:sz w:val="24"/>
                <w:szCs w:val="24"/>
              </w:rPr>
              <w:t>34</w:t>
            </w:r>
            <w:r w:rsidR="00A20DD3" w:rsidRPr="007652A5">
              <w:rPr>
                <w:rFonts w:ascii="Arial" w:hAnsi="Arial" w:cs="Arial"/>
                <w:sz w:val="24"/>
                <w:szCs w:val="24"/>
              </w:rPr>
              <w:t>.</w:t>
            </w:r>
            <w:r w:rsidRPr="007652A5">
              <w:rPr>
                <w:rFonts w:ascii="Arial" w:hAnsi="Arial" w:cs="Arial"/>
                <w:sz w:val="24"/>
                <w:szCs w:val="24"/>
              </w:rPr>
              <w:t>456</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1C6AE3" w:rsidRPr="007652A5" w:rsidRDefault="001C6AE3" w:rsidP="00C625DB">
            <w:pPr>
              <w:spacing w:after="0" w:line="240" w:lineRule="auto"/>
              <w:jc w:val="center"/>
              <w:rPr>
                <w:rFonts w:ascii="Arial" w:hAnsi="Arial" w:cs="Arial"/>
                <w:sz w:val="24"/>
                <w:szCs w:val="24"/>
              </w:rPr>
            </w:pPr>
            <w:r w:rsidRPr="007652A5">
              <w:rPr>
                <w:rFonts w:ascii="Arial" w:hAnsi="Arial" w:cs="Arial"/>
                <w:sz w:val="24"/>
                <w:szCs w:val="24"/>
              </w:rPr>
              <w:t>-</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1C6AE3" w:rsidRPr="007652A5" w:rsidRDefault="001C6AE3" w:rsidP="00C625DB">
            <w:pPr>
              <w:spacing w:after="0" w:line="240" w:lineRule="auto"/>
              <w:jc w:val="center"/>
              <w:rPr>
                <w:rFonts w:ascii="Arial" w:hAnsi="Arial" w:cs="Arial"/>
                <w:sz w:val="24"/>
                <w:szCs w:val="24"/>
              </w:rPr>
            </w:pPr>
            <w:r w:rsidRPr="007652A5">
              <w:rPr>
                <w:rFonts w:ascii="Arial" w:hAnsi="Arial" w:cs="Arial"/>
                <w:sz w:val="24"/>
                <w:szCs w:val="24"/>
              </w:rPr>
              <w:t>-</w:t>
            </w:r>
          </w:p>
        </w:tc>
      </w:tr>
      <w:tr w:rsidR="00E00628" w:rsidRPr="007652A5" w:rsidTr="00E00628">
        <w:tc>
          <w:tcPr>
            <w:tcW w:w="890" w:type="dxa"/>
            <w:tcBorders>
              <w:top w:val="single" w:sz="4" w:space="0" w:color="auto"/>
              <w:left w:val="single" w:sz="4" w:space="0" w:color="auto"/>
              <w:bottom w:val="single" w:sz="4" w:space="0" w:color="auto"/>
              <w:right w:val="single" w:sz="4" w:space="0" w:color="auto"/>
            </w:tcBorders>
            <w:hideMark/>
          </w:tcPr>
          <w:p w:rsidR="00E00628" w:rsidRPr="007652A5" w:rsidRDefault="00E00628" w:rsidP="00C625DB">
            <w:pPr>
              <w:spacing w:after="0" w:line="240" w:lineRule="auto"/>
              <w:jc w:val="both"/>
              <w:rPr>
                <w:rFonts w:ascii="Arial" w:hAnsi="Arial" w:cs="Arial"/>
                <w:sz w:val="24"/>
                <w:szCs w:val="24"/>
              </w:rPr>
            </w:pPr>
          </w:p>
        </w:tc>
        <w:tc>
          <w:tcPr>
            <w:tcW w:w="937" w:type="dxa"/>
            <w:tcBorders>
              <w:top w:val="single" w:sz="4" w:space="0" w:color="auto"/>
              <w:left w:val="single" w:sz="4" w:space="0" w:color="auto"/>
              <w:bottom w:val="single" w:sz="4" w:space="0" w:color="auto"/>
              <w:right w:val="single" w:sz="4" w:space="0" w:color="auto"/>
            </w:tcBorders>
            <w:hideMark/>
          </w:tcPr>
          <w:p w:rsidR="00E00628" w:rsidRPr="007652A5" w:rsidRDefault="00E00628" w:rsidP="00C625DB">
            <w:pPr>
              <w:spacing w:after="0" w:line="240" w:lineRule="auto"/>
              <w:jc w:val="right"/>
              <w:rPr>
                <w:rFonts w:ascii="Arial" w:hAnsi="Arial" w:cs="Arial"/>
                <w:sz w:val="24"/>
                <w:szCs w:val="24"/>
              </w:rPr>
            </w:pPr>
          </w:p>
        </w:tc>
        <w:tc>
          <w:tcPr>
            <w:tcW w:w="947" w:type="dxa"/>
            <w:tcBorders>
              <w:top w:val="single" w:sz="4" w:space="0" w:color="auto"/>
              <w:left w:val="single" w:sz="4" w:space="0" w:color="auto"/>
              <w:bottom w:val="single" w:sz="4" w:space="0" w:color="auto"/>
              <w:right w:val="single" w:sz="4" w:space="0" w:color="auto"/>
            </w:tcBorders>
            <w:hideMark/>
          </w:tcPr>
          <w:p w:rsidR="00E00628" w:rsidRPr="007652A5" w:rsidRDefault="00E00628" w:rsidP="00C625DB">
            <w:pPr>
              <w:spacing w:after="0" w:line="240" w:lineRule="auto"/>
              <w:jc w:val="right"/>
              <w:rPr>
                <w:rFonts w:ascii="Arial" w:hAnsi="Arial" w:cs="Arial"/>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rsidR="00E00628" w:rsidRPr="007652A5" w:rsidRDefault="00E00628" w:rsidP="00C625DB">
            <w:pPr>
              <w:spacing w:after="0" w:line="240" w:lineRule="auto"/>
              <w:jc w:val="center"/>
              <w:rPr>
                <w:rFonts w:ascii="Arial" w:hAnsi="Arial" w:cs="Arial"/>
                <w:sz w:val="24"/>
                <w:szCs w:val="24"/>
              </w:rPr>
            </w:pPr>
          </w:p>
        </w:tc>
        <w:tc>
          <w:tcPr>
            <w:tcW w:w="1033" w:type="dxa"/>
            <w:tcBorders>
              <w:top w:val="single" w:sz="4" w:space="0" w:color="auto"/>
              <w:left w:val="single" w:sz="4" w:space="0" w:color="auto"/>
              <w:bottom w:val="single" w:sz="4" w:space="0" w:color="auto"/>
              <w:right w:val="single" w:sz="4" w:space="0" w:color="auto"/>
            </w:tcBorders>
            <w:hideMark/>
          </w:tcPr>
          <w:p w:rsidR="00E00628" w:rsidRPr="007652A5" w:rsidRDefault="00E00628" w:rsidP="00C625DB">
            <w:pPr>
              <w:spacing w:after="0" w:line="240" w:lineRule="auto"/>
              <w:jc w:val="center"/>
              <w:rPr>
                <w:rFonts w:ascii="Arial" w:hAnsi="Arial" w:cs="Arial"/>
                <w:sz w:val="24"/>
                <w:szCs w:val="24"/>
              </w:rPr>
            </w:pPr>
          </w:p>
        </w:tc>
        <w:tc>
          <w:tcPr>
            <w:tcW w:w="1777" w:type="dxa"/>
            <w:tcBorders>
              <w:top w:val="single" w:sz="4" w:space="0" w:color="auto"/>
              <w:left w:val="single" w:sz="4" w:space="0" w:color="auto"/>
              <w:bottom w:val="single" w:sz="4" w:space="0" w:color="auto"/>
              <w:right w:val="single" w:sz="4" w:space="0" w:color="auto"/>
            </w:tcBorders>
            <w:hideMark/>
          </w:tcPr>
          <w:p w:rsidR="00E00628" w:rsidRPr="007652A5" w:rsidRDefault="00E00628" w:rsidP="00C625DB">
            <w:pPr>
              <w:spacing w:after="0" w:line="240" w:lineRule="auto"/>
              <w:jc w:val="center"/>
              <w:rPr>
                <w:rFonts w:ascii="Arial" w:hAnsi="Arial" w:cs="Arial"/>
                <w:sz w:val="24"/>
                <w:szCs w:val="24"/>
              </w:rPr>
            </w:pPr>
          </w:p>
        </w:tc>
        <w:tc>
          <w:tcPr>
            <w:tcW w:w="1710" w:type="dxa"/>
            <w:tcBorders>
              <w:top w:val="single" w:sz="4" w:space="0" w:color="auto"/>
              <w:left w:val="single" w:sz="4" w:space="0" w:color="auto"/>
              <w:bottom w:val="single" w:sz="4" w:space="0" w:color="auto"/>
              <w:right w:val="single" w:sz="4" w:space="0" w:color="auto"/>
            </w:tcBorders>
            <w:hideMark/>
          </w:tcPr>
          <w:p w:rsidR="00E00628" w:rsidRPr="007652A5" w:rsidRDefault="00E00628" w:rsidP="00C625DB">
            <w:pPr>
              <w:spacing w:after="0" w:line="240" w:lineRule="auto"/>
              <w:jc w:val="center"/>
              <w:rPr>
                <w:rFonts w:ascii="Arial" w:hAnsi="Arial" w:cs="Arial"/>
                <w:sz w:val="24"/>
                <w:szCs w:val="24"/>
              </w:rPr>
            </w:pPr>
          </w:p>
        </w:tc>
      </w:tr>
    </w:tbl>
    <w:p w:rsidR="00E00628" w:rsidRPr="007652A5" w:rsidRDefault="00E00628" w:rsidP="00C625DB">
      <w:pPr>
        <w:spacing w:after="0" w:line="240" w:lineRule="auto"/>
        <w:jc w:val="both"/>
        <w:rPr>
          <w:rFonts w:ascii="Arial" w:hAnsi="Arial" w:cs="Arial"/>
        </w:rPr>
      </w:pPr>
    </w:p>
    <w:p w:rsidR="00E00628" w:rsidRPr="007652A5" w:rsidRDefault="00E00628" w:rsidP="00C625DB">
      <w:pPr>
        <w:spacing w:after="0" w:line="240" w:lineRule="auto"/>
        <w:jc w:val="both"/>
        <w:rPr>
          <w:rFonts w:ascii="Arial" w:hAnsi="Arial" w:cs="Arial"/>
        </w:rPr>
      </w:pPr>
    </w:p>
    <w:p w:rsidR="00E00628" w:rsidRPr="007652A5" w:rsidRDefault="00E00628" w:rsidP="00C625DB">
      <w:pPr>
        <w:spacing w:after="0" w:line="240" w:lineRule="auto"/>
        <w:jc w:val="both"/>
        <w:rPr>
          <w:rFonts w:ascii="Arial" w:hAnsi="Arial" w:cs="Arial"/>
        </w:rPr>
      </w:pPr>
    </w:p>
    <w:p w:rsidR="00E00628" w:rsidRPr="007652A5" w:rsidRDefault="00E00628" w:rsidP="00C625DB">
      <w:pPr>
        <w:spacing w:after="0" w:line="240" w:lineRule="auto"/>
        <w:jc w:val="both"/>
        <w:rPr>
          <w:rFonts w:ascii="Arial" w:hAnsi="Arial" w:cs="Arial"/>
          <w:sz w:val="24"/>
          <w:szCs w:val="24"/>
        </w:rPr>
      </w:pPr>
    </w:p>
    <w:p w:rsidR="00E00628" w:rsidRPr="007652A5" w:rsidRDefault="00E00628" w:rsidP="00C625DB">
      <w:pPr>
        <w:spacing w:after="0" w:line="240" w:lineRule="auto"/>
        <w:jc w:val="center"/>
        <w:rPr>
          <w:rFonts w:ascii="Arial" w:hAnsi="Arial" w:cs="Arial"/>
          <w:b/>
          <w:sz w:val="24"/>
          <w:szCs w:val="24"/>
          <w:lang w:val="pt-BR"/>
        </w:rPr>
      </w:pPr>
      <w:r w:rsidRPr="007652A5">
        <w:rPr>
          <w:rFonts w:ascii="Arial" w:hAnsi="Arial" w:cs="Arial"/>
          <w:b/>
          <w:sz w:val="24"/>
          <w:szCs w:val="24"/>
          <w:lang w:val="pt-BR"/>
        </w:rPr>
        <w:t xml:space="preserve">    </w:t>
      </w:r>
    </w:p>
    <w:p w:rsidR="001C6AE3" w:rsidRPr="007652A5" w:rsidRDefault="001C6AE3" w:rsidP="00C625DB">
      <w:pPr>
        <w:spacing w:after="0" w:line="240" w:lineRule="auto"/>
        <w:jc w:val="center"/>
        <w:rPr>
          <w:rFonts w:ascii="Arial" w:hAnsi="Arial" w:cs="Arial"/>
          <w:b/>
          <w:sz w:val="24"/>
          <w:szCs w:val="24"/>
          <w:lang w:val="pt-BR"/>
        </w:rPr>
      </w:pPr>
    </w:p>
    <w:p w:rsidR="00E00628" w:rsidRPr="007652A5" w:rsidRDefault="00E00628" w:rsidP="00C625DB">
      <w:pPr>
        <w:spacing w:after="0" w:line="240" w:lineRule="auto"/>
        <w:jc w:val="center"/>
        <w:rPr>
          <w:rFonts w:ascii="Arial" w:hAnsi="Arial" w:cs="Arial"/>
          <w:b/>
          <w:sz w:val="24"/>
          <w:szCs w:val="24"/>
          <w:lang w:val="pt-BR"/>
        </w:rPr>
      </w:pPr>
    </w:p>
    <w:p w:rsidR="00E00628" w:rsidRPr="007652A5" w:rsidRDefault="00E00628" w:rsidP="00C625DB">
      <w:pPr>
        <w:spacing w:after="0" w:line="240" w:lineRule="auto"/>
        <w:jc w:val="center"/>
        <w:rPr>
          <w:rFonts w:ascii="Arial" w:hAnsi="Arial" w:cs="Arial"/>
          <w:b/>
          <w:sz w:val="24"/>
          <w:szCs w:val="24"/>
          <w:lang w:val="pt-BR"/>
        </w:rPr>
      </w:pPr>
    </w:p>
    <w:p w:rsidR="00A20DD3" w:rsidRPr="007652A5" w:rsidRDefault="00A20DD3" w:rsidP="00C625DB">
      <w:pPr>
        <w:spacing w:after="0" w:line="240" w:lineRule="auto"/>
        <w:jc w:val="center"/>
        <w:rPr>
          <w:rFonts w:ascii="Arial" w:hAnsi="Arial" w:cs="Arial"/>
          <w:b/>
          <w:sz w:val="24"/>
          <w:szCs w:val="24"/>
          <w:lang w:val="pt-BR"/>
        </w:rPr>
      </w:pPr>
    </w:p>
    <w:p w:rsidR="00A20DD3" w:rsidRPr="007652A5" w:rsidRDefault="00A20DD3" w:rsidP="00C625DB">
      <w:pPr>
        <w:spacing w:after="0" w:line="240" w:lineRule="auto"/>
        <w:jc w:val="center"/>
        <w:rPr>
          <w:rFonts w:ascii="Arial" w:hAnsi="Arial" w:cs="Arial"/>
          <w:b/>
          <w:sz w:val="24"/>
          <w:szCs w:val="24"/>
          <w:lang w:val="pt-BR"/>
        </w:rPr>
      </w:pPr>
    </w:p>
    <w:p w:rsidR="00A20DD3" w:rsidRPr="007652A5" w:rsidRDefault="00A20DD3" w:rsidP="00C625DB">
      <w:pPr>
        <w:spacing w:after="0" w:line="240" w:lineRule="auto"/>
        <w:jc w:val="center"/>
        <w:rPr>
          <w:rFonts w:ascii="Arial" w:hAnsi="Arial" w:cs="Arial"/>
          <w:b/>
          <w:sz w:val="24"/>
          <w:szCs w:val="24"/>
          <w:lang w:val="pt-BR"/>
        </w:rPr>
      </w:pPr>
    </w:p>
    <w:p w:rsidR="00A20DD3" w:rsidRPr="007652A5" w:rsidRDefault="00A20DD3" w:rsidP="00C625DB">
      <w:pPr>
        <w:spacing w:after="0" w:line="240" w:lineRule="auto"/>
        <w:jc w:val="center"/>
        <w:rPr>
          <w:rFonts w:ascii="Arial" w:hAnsi="Arial" w:cs="Arial"/>
          <w:b/>
          <w:sz w:val="24"/>
          <w:szCs w:val="24"/>
          <w:lang w:val="pt-BR"/>
        </w:rPr>
      </w:pPr>
    </w:p>
    <w:p w:rsidR="00A20DD3" w:rsidRPr="007652A5" w:rsidRDefault="00A20DD3" w:rsidP="00C625DB">
      <w:pPr>
        <w:spacing w:after="0" w:line="240" w:lineRule="auto"/>
        <w:jc w:val="center"/>
        <w:rPr>
          <w:rFonts w:ascii="Arial" w:hAnsi="Arial" w:cs="Arial"/>
          <w:b/>
          <w:sz w:val="24"/>
          <w:szCs w:val="24"/>
          <w:lang w:val="pt-BR"/>
        </w:rPr>
      </w:pPr>
      <w:r w:rsidRPr="007652A5">
        <w:rPr>
          <w:rFonts w:ascii="Arial" w:hAnsi="Arial" w:cs="Arial"/>
          <w:b/>
          <w:noProof/>
          <w:sz w:val="24"/>
          <w:szCs w:val="24"/>
          <w:lang w:eastAsia="ro-RO"/>
        </w:rPr>
        <w:drawing>
          <wp:inline distT="0" distB="0" distL="0" distR="0">
            <wp:extent cx="4724400" cy="1952625"/>
            <wp:effectExtent l="57150" t="0" r="57150" b="66675"/>
            <wp:docPr id="4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00628" w:rsidRPr="00202088" w:rsidRDefault="00E00628" w:rsidP="00C625DB">
      <w:pPr>
        <w:spacing w:after="0" w:line="240" w:lineRule="auto"/>
        <w:jc w:val="center"/>
        <w:rPr>
          <w:rFonts w:ascii="Arial" w:hAnsi="Arial" w:cs="Arial"/>
          <w:sz w:val="24"/>
          <w:szCs w:val="24"/>
          <w:lang w:val="pt-BR"/>
        </w:rPr>
      </w:pPr>
      <w:r w:rsidRPr="00202088">
        <w:rPr>
          <w:rFonts w:ascii="Arial" w:hAnsi="Arial" w:cs="Arial"/>
          <w:sz w:val="24"/>
          <w:szCs w:val="24"/>
          <w:lang w:val="pt-BR"/>
        </w:rPr>
        <w:t>Fig. III.3.1-1</w:t>
      </w:r>
      <w:r w:rsidRPr="00202088">
        <w:rPr>
          <w:rFonts w:ascii="Arial" w:hAnsi="Arial" w:cs="Arial"/>
          <w:lang w:val="pt-BR"/>
        </w:rPr>
        <w:t xml:space="preserve"> </w:t>
      </w:r>
      <w:r w:rsidRPr="00202088">
        <w:rPr>
          <w:rFonts w:ascii="Arial" w:hAnsi="Arial" w:cs="Arial"/>
          <w:sz w:val="24"/>
          <w:szCs w:val="24"/>
          <w:lang w:val="pt-BR"/>
        </w:rPr>
        <w:t>Utilizarea îngrăşămintelor în anii 201</w:t>
      </w:r>
      <w:r w:rsidR="00A20DD3" w:rsidRPr="00202088">
        <w:rPr>
          <w:rFonts w:ascii="Arial" w:hAnsi="Arial" w:cs="Arial"/>
          <w:sz w:val="24"/>
          <w:szCs w:val="24"/>
          <w:lang w:val="pt-BR"/>
        </w:rPr>
        <w:t>2</w:t>
      </w:r>
      <w:r w:rsidRPr="00202088">
        <w:rPr>
          <w:rFonts w:ascii="Arial" w:hAnsi="Arial" w:cs="Arial"/>
          <w:sz w:val="24"/>
          <w:szCs w:val="24"/>
          <w:lang w:val="pt-BR"/>
        </w:rPr>
        <w:t>-2015</w:t>
      </w:r>
    </w:p>
    <w:p w:rsidR="00A20DD3" w:rsidRPr="007652A5" w:rsidRDefault="00A20DD3" w:rsidP="00C625DB">
      <w:pPr>
        <w:spacing w:after="0" w:line="240" w:lineRule="auto"/>
        <w:jc w:val="center"/>
        <w:rPr>
          <w:rFonts w:ascii="Arial" w:hAnsi="Arial" w:cs="Arial"/>
          <w:b/>
          <w:sz w:val="24"/>
          <w:szCs w:val="24"/>
          <w:lang w:val="pt-BR"/>
        </w:rPr>
      </w:pPr>
    </w:p>
    <w:p w:rsidR="00A20DD3" w:rsidRPr="007652A5" w:rsidRDefault="00A20DD3" w:rsidP="00C625DB">
      <w:pPr>
        <w:spacing w:after="0" w:line="240" w:lineRule="auto"/>
        <w:jc w:val="center"/>
        <w:rPr>
          <w:rFonts w:ascii="Arial" w:hAnsi="Arial" w:cs="Arial"/>
          <w:b/>
          <w:sz w:val="24"/>
          <w:szCs w:val="24"/>
          <w:lang w:val="pt-BR"/>
        </w:rPr>
      </w:pPr>
    </w:p>
    <w:p w:rsidR="00E00628" w:rsidRPr="007652A5" w:rsidRDefault="00A20DD3" w:rsidP="00C625DB">
      <w:pPr>
        <w:spacing w:after="0" w:line="240" w:lineRule="auto"/>
        <w:jc w:val="center"/>
        <w:rPr>
          <w:rFonts w:ascii="Arial" w:hAnsi="Arial" w:cs="Arial"/>
          <w:b/>
          <w:sz w:val="24"/>
          <w:szCs w:val="24"/>
          <w:lang w:val="pt-BR"/>
        </w:rPr>
      </w:pPr>
      <w:r w:rsidRPr="007652A5">
        <w:rPr>
          <w:rFonts w:ascii="Arial" w:hAnsi="Arial" w:cs="Arial"/>
          <w:b/>
          <w:noProof/>
          <w:sz w:val="24"/>
          <w:szCs w:val="24"/>
          <w:lang w:eastAsia="ro-RO"/>
        </w:rPr>
        <w:drawing>
          <wp:inline distT="0" distB="0" distL="0" distR="0">
            <wp:extent cx="4924425" cy="1885950"/>
            <wp:effectExtent l="19050" t="0" r="9525" b="0"/>
            <wp:docPr id="4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00628" w:rsidRPr="00202088" w:rsidRDefault="00E00628" w:rsidP="00C625DB">
      <w:pPr>
        <w:spacing w:after="0" w:line="240" w:lineRule="auto"/>
        <w:jc w:val="center"/>
        <w:rPr>
          <w:rFonts w:ascii="Arial" w:hAnsi="Arial" w:cs="Arial"/>
          <w:sz w:val="24"/>
          <w:szCs w:val="24"/>
          <w:lang w:val="pt-BR"/>
        </w:rPr>
      </w:pPr>
      <w:r w:rsidRPr="00202088">
        <w:rPr>
          <w:rFonts w:ascii="Arial" w:hAnsi="Arial" w:cs="Arial"/>
          <w:lang w:val="pt-BR"/>
        </w:rPr>
        <w:lastRenderedPageBreak/>
        <w:t xml:space="preserve">            </w:t>
      </w:r>
      <w:r w:rsidRPr="00202088">
        <w:rPr>
          <w:rFonts w:ascii="Arial" w:hAnsi="Arial" w:cs="Arial"/>
          <w:sz w:val="24"/>
          <w:szCs w:val="24"/>
          <w:lang w:val="pt-BR"/>
        </w:rPr>
        <w:t>Fig. III.3.1-2 Tendințele în utilizarea îngrășămintelor chimice în agicultură în perioada 201</w:t>
      </w:r>
      <w:r w:rsidR="00A20DD3" w:rsidRPr="00202088">
        <w:rPr>
          <w:rFonts w:ascii="Arial" w:hAnsi="Arial" w:cs="Arial"/>
          <w:sz w:val="24"/>
          <w:szCs w:val="24"/>
          <w:lang w:val="pt-BR"/>
        </w:rPr>
        <w:t>2</w:t>
      </w:r>
      <w:r w:rsidRPr="00202088">
        <w:rPr>
          <w:rFonts w:ascii="Arial" w:hAnsi="Arial" w:cs="Arial"/>
          <w:sz w:val="24"/>
          <w:szCs w:val="24"/>
          <w:lang w:val="pt-BR"/>
        </w:rPr>
        <w:t>-201</w:t>
      </w:r>
      <w:r w:rsidR="00A20DD3" w:rsidRPr="00202088">
        <w:rPr>
          <w:rFonts w:ascii="Arial" w:hAnsi="Arial" w:cs="Arial"/>
          <w:sz w:val="24"/>
          <w:szCs w:val="24"/>
          <w:lang w:val="pt-BR"/>
        </w:rPr>
        <w:t>6</w:t>
      </w:r>
    </w:p>
    <w:p w:rsidR="00A20DD3" w:rsidRPr="007652A5" w:rsidRDefault="00A20DD3" w:rsidP="00C625DB">
      <w:pPr>
        <w:spacing w:after="0" w:line="240" w:lineRule="auto"/>
        <w:jc w:val="center"/>
        <w:rPr>
          <w:rFonts w:ascii="Arial" w:hAnsi="Arial" w:cs="Arial"/>
          <w:b/>
          <w:sz w:val="24"/>
          <w:szCs w:val="24"/>
          <w:lang w:val="pt-BR"/>
        </w:rPr>
      </w:pPr>
    </w:p>
    <w:p w:rsidR="00A20DD3" w:rsidRPr="007652A5" w:rsidRDefault="00A20DD3" w:rsidP="00C625DB">
      <w:pPr>
        <w:spacing w:after="0" w:line="240" w:lineRule="auto"/>
        <w:jc w:val="center"/>
        <w:rPr>
          <w:rFonts w:ascii="Arial" w:hAnsi="Arial" w:cs="Arial"/>
          <w:b/>
          <w:sz w:val="24"/>
          <w:szCs w:val="24"/>
          <w:lang w:val="pt-BR"/>
        </w:rPr>
      </w:pPr>
    </w:p>
    <w:p w:rsidR="00E00628" w:rsidRPr="00202088" w:rsidRDefault="00E00628" w:rsidP="00C625DB">
      <w:pPr>
        <w:spacing w:after="0" w:line="240" w:lineRule="auto"/>
        <w:rPr>
          <w:rFonts w:ascii="Arial" w:hAnsi="Arial" w:cs="Arial"/>
          <w:sz w:val="24"/>
          <w:szCs w:val="24"/>
          <w:lang w:val="pt-BR"/>
        </w:rPr>
      </w:pPr>
      <w:r w:rsidRPr="007652A5">
        <w:rPr>
          <w:rFonts w:ascii="Arial" w:hAnsi="Arial" w:cs="Arial"/>
          <w:b/>
          <w:lang w:val="pt-BR"/>
        </w:rPr>
        <w:t xml:space="preserve">         </w:t>
      </w:r>
      <w:r w:rsidRPr="00202088">
        <w:rPr>
          <w:rFonts w:ascii="Arial" w:hAnsi="Arial" w:cs="Arial"/>
          <w:sz w:val="24"/>
          <w:szCs w:val="24"/>
          <w:lang w:val="pt-BR"/>
        </w:rPr>
        <w:t>Tabelul III.3.1- 2 Utilizarea îngrăşămintelor pe tipuri de culturi</w:t>
      </w:r>
    </w:p>
    <w:tbl>
      <w:tblPr>
        <w:tblpPr w:leftFromText="180" w:rightFromText="180" w:vertAnchor="text" w:horzAnchor="margin" w:tblpXSpec="center" w:tblpY="10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4174"/>
        <w:gridCol w:w="1360"/>
        <w:gridCol w:w="1134"/>
        <w:gridCol w:w="1050"/>
        <w:gridCol w:w="1134"/>
      </w:tblGrid>
      <w:tr w:rsidR="00A20DD3" w:rsidRPr="007652A5" w:rsidTr="00A20DD3">
        <w:tc>
          <w:tcPr>
            <w:tcW w:w="6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Nr</w:t>
            </w:r>
          </w:p>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crt.</w:t>
            </w:r>
          </w:p>
        </w:tc>
        <w:tc>
          <w:tcPr>
            <w:tcW w:w="4174" w:type="dxa"/>
            <w:vMerge w:val="restart"/>
            <w:tcBorders>
              <w:top w:val="single" w:sz="4" w:space="0" w:color="auto"/>
              <w:left w:val="single" w:sz="4" w:space="0" w:color="auto"/>
              <w:bottom w:val="single" w:sz="4" w:space="0" w:color="auto"/>
              <w:right w:val="single" w:sz="4" w:space="0" w:color="auto"/>
            </w:tcBorders>
            <w:shd w:val="clear" w:color="auto" w:fill="D9D9D9"/>
          </w:tcPr>
          <w:p w:rsidR="00A20DD3" w:rsidRPr="007652A5" w:rsidRDefault="00A20DD3" w:rsidP="00C625DB">
            <w:pPr>
              <w:spacing w:after="0" w:line="240" w:lineRule="auto"/>
              <w:jc w:val="both"/>
              <w:rPr>
                <w:rFonts w:ascii="Arial" w:hAnsi="Arial" w:cs="Arial"/>
                <w:b/>
                <w:sz w:val="24"/>
                <w:szCs w:val="24"/>
              </w:rPr>
            </w:pPr>
          </w:p>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Tipuri de culturi</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Suprafaţa</w:t>
            </w:r>
          </w:p>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 ha )</w:t>
            </w:r>
          </w:p>
        </w:tc>
        <w:tc>
          <w:tcPr>
            <w:tcW w:w="331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Îngrăşăminte chimice</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vAlign w:val="center"/>
            <w:hideMark/>
          </w:tcPr>
          <w:p w:rsidR="00A20DD3" w:rsidRPr="007652A5" w:rsidRDefault="00A20DD3" w:rsidP="00C625DB">
            <w:pPr>
              <w:spacing w:after="0" w:line="240" w:lineRule="auto"/>
              <w:rPr>
                <w:rFonts w:ascii="Arial" w:hAnsi="Arial" w:cs="Arial"/>
                <w:b/>
                <w:sz w:val="24"/>
                <w:szCs w:val="24"/>
              </w:rPr>
            </w:pPr>
          </w:p>
        </w:tc>
        <w:tc>
          <w:tcPr>
            <w:tcW w:w="4174" w:type="dxa"/>
            <w:vMerge/>
            <w:tcBorders>
              <w:top w:val="single" w:sz="4" w:space="0" w:color="auto"/>
              <w:left w:val="single" w:sz="4" w:space="0" w:color="auto"/>
              <w:bottom w:val="single" w:sz="4" w:space="0" w:color="auto"/>
              <w:right w:val="single" w:sz="4" w:space="0" w:color="auto"/>
            </w:tcBorders>
            <w:vAlign w:val="center"/>
            <w:hideMark/>
          </w:tcPr>
          <w:p w:rsidR="00A20DD3" w:rsidRPr="007652A5" w:rsidRDefault="00A20DD3" w:rsidP="00C625DB">
            <w:pPr>
              <w:spacing w:after="0" w:line="240" w:lineRule="auto"/>
              <w:rPr>
                <w:rFonts w:ascii="Arial" w:hAnsi="Arial" w:cs="Arial"/>
                <w:b/>
                <w:sz w:val="24"/>
                <w:szCs w:val="24"/>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20DD3" w:rsidRPr="007652A5" w:rsidRDefault="00A20DD3" w:rsidP="00C625DB">
            <w:pPr>
              <w:spacing w:after="0" w:line="240" w:lineRule="auto"/>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N</w:t>
            </w:r>
          </w:p>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(kg s.a./ha)</w:t>
            </w:r>
          </w:p>
        </w:tc>
        <w:tc>
          <w:tcPr>
            <w:tcW w:w="1050" w:type="dxa"/>
            <w:tcBorders>
              <w:top w:val="single" w:sz="4" w:space="0" w:color="auto"/>
              <w:left w:val="single" w:sz="4" w:space="0" w:color="auto"/>
              <w:bottom w:val="single" w:sz="4" w:space="0" w:color="auto"/>
              <w:right w:val="single" w:sz="4" w:space="0" w:color="auto"/>
            </w:tcBorders>
            <w:shd w:val="clear" w:color="auto" w:fill="D9D9D9"/>
            <w:hideMark/>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P2O5</w:t>
            </w:r>
          </w:p>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(kg s.a./ha)</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K2O</w:t>
            </w:r>
          </w:p>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(kg s.a./ha)</w:t>
            </w:r>
          </w:p>
        </w:tc>
      </w:tr>
      <w:tr w:rsidR="00A20DD3" w:rsidRPr="007652A5" w:rsidTr="00A20DD3">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1.</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b/>
                <w:i/>
                <w:sz w:val="24"/>
                <w:szCs w:val="24"/>
              </w:rPr>
            </w:pPr>
            <w:r w:rsidRPr="007652A5">
              <w:rPr>
                <w:rFonts w:ascii="Arial" w:hAnsi="Arial" w:cs="Arial"/>
                <w:b/>
                <w:i/>
                <w:sz w:val="24"/>
                <w:szCs w:val="24"/>
              </w:rPr>
              <w:t>Cereale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Grâu</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67.607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10</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Porumb</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84.046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66</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Orz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22.764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50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Orzoaică de toamnă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1.425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Orzoaică de primăvară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2.413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Ovăz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810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Sorg pentru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A20DD3" w:rsidRPr="007652A5" w:rsidTr="00A20DD3">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2.</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b/>
                <w:i/>
                <w:sz w:val="24"/>
                <w:szCs w:val="24"/>
              </w:rPr>
            </w:pPr>
            <w:r w:rsidRPr="007652A5">
              <w:rPr>
                <w:rFonts w:ascii="Arial" w:hAnsi="Arial" w:cs="Arial"/>
                <w:b/>
                <w:i/>
                <w:sz w:val="24"/>
                <w:szCs w:val="24"/>
              </w:rPr>
              <w:t>Plante uleioase: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Floarea soarelui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77.723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30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Rapiţă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15.726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60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Soia</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18.151</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r>
      <w:tr w:rsidR="00A20DD3" w:rsidRPr="007652A5" w:rsidTr="00A20DD3">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3.</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b/>
                <w:i/>
                <w:sz w:val="24"/>
                <w:szCs w:val="24"/>
              </w:rPr>
              <w:t>Leguminoase pentru boabe</w:t>
            </w:r>
            <w:r w:rsidRPr="007652A5">
              <w:rPr>
                <w:rFonts w:ascii="Arial" w:hAnsi="Arial" w:cs="Arial"/>
                <w:sz w:val="24"/>
                <w:szCs w:val="24"/>
              </w:rPr>
              <w:t>:</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Mazăre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4.086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15</w:t>
            </w:r>
          </w:p>
        </w:tc>
      </w:tr>
      <w:tr w:rsidR="00A20DD3" w:rsidRPr="007652A5" w:rsidTr="00A20DD3">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rPr>
                <w:rFonts w:ascii="Arial" w:hAnsi="Arial" w:cs="Arial"/>
                <w:sz w:val="24"/>
                <w:szCs w:val="24"/>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Fasole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424</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15</w:t>
            </w:r>
          </w:p>
        </w:tc>
      </w:tr>
      <w:tr w:rsidR="00A20DD3" w:rsidRPr="007652A5" w:rsidTr="00A20DD3">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4.</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Cartofi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156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r>
      <w:tr w:rsidR="00A20DD3" w:rsidRPr="007652A5" w:rsidTr="00A20DD3">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5.</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Legume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917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45</w:t>
            </w:r>
          </w:p>
        </w:tc>
      </w:tr>
      <w:tr w:rsidR="00A20DD3" w:rsidRPr="007652A5" w:rsidTr="00A20DD3">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6.</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Plante medicinale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579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5</w:t>
            </w:r>
          </w:p>
        </w:tc>
      </w:tr>
      <w:tr w:rsidR="00A20DD3" w:rsidRPr="007652A5" w:rsidTr="00A20DD3">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7.</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Pepeni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2.332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20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r>
      <w:tr w:rsidR="00A20DD3" w:rsidRPr="007652A5" w:rsidTr="00A20DD3">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8.</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Plante de nutreţ</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20DD3" w:rsidRPr="007652A5" w:rsidRDefault="00A20DD3" w:rsidP="00C625DB">
            <w:pPr>
              <w:tabs>
                <w:tab w:val="left" w:pos="3015"/>
              </w:tabs>
              <w:spacing w:after="0" w:line="240" w:lineRule="auto"/>
              <w:jc w:val="right"/>
              <w:rPr>
                <w:rFonts w:ascii="Arial" w:hAnsi="Arial" w:cs="Arial"/>
                <w:sz w:val="24"/>
                <w:szCs w:val="24"/>
              </w:rPr>
            </w:pPr>
            <w:r w:rsidRPr="007652A5">
              <w:rPr>
                <w:rFonts w:ascii="Arial" w:hAnsi="Arial" w:cs="Arial"/>
                <w:sz w:val="24"/>
                <w:szCs w:val="24"/>
              </w:rPr>
              <w:t>-</w:t>
            </w:r>
          </w:p>
        </w:tc>
      </w:tr>
    </w:tbl>
    <w:p w:rsidR="00A20DD3" w:rsidRPr="007652A5" w:rsidRDefault="00A20DD3" w:rsidP="00C625DB">
      <w:pPr>
        <w:spacing w:after="0" w:line="240" w:lineRule="auto"/>
        <w:jc w:val="both"/>
        <w:rPr>
          <w:rFonts w:ascii="Arial" w:hAnsi="Arial" w:cs="Arial"/>
          <w:b/>
          <w:sz w:val="24"/>
          <w:szCs w:val="24"/>
          <w:lang w:val="pt-BR"/>
        </w:rPr>
      </w:pPr>
    </w:p>
    <w:p w:rsidR="00E00628" w:rsidRPr="007652A5" w:rsidRDefault="00E00628" w:rsidP="00C625DB">
      <w:pPr>
        <w:spacing w:after="0" w:line="240" w:lineRule="auto"/>
        <w:jc w:val="both"/>
        <w:rPr>
          <w:rFonts w:ascii="Arial" w:hAnsi="Arial" w:cs="Arial"/>
          <w:b/>
          <w:sz w:val="24"/>
          <w:szCs w:val="24"/>
          <w:lang w:val="pt-BR"/>
        </w:rPr>
      </w:pPr>
      <w:r w:rsidRPr="007652A5">
        <w:rPr>
          <w:rFonts w:ascii="Arial" w:hAnsi="Arial" w:cs="Arial"/>
          <w:b/>
          <w:sz w:val="24"/>
          <w:szCs w:val="24"/>
          <w:lang w:val="pt-BR"/>
        </w:rPr>
        <w:t xml:space="preserve">III.3.2. </w:t>
      </w:r>
      <w:r w:rsidRPr="007652A5">
        <w:rPr>
          <w:rFonts w:ascii="Arial" w:hAnsi="Arial" w:cs="Arial"/>
          <w:b/>
          <w:i/>
          <w:sz w:val="24"/>
          <w:szCs w:val="24"/>
          <w:lang w:val="pt-BR"/>
        </w:rPr>
        <w:t>Consumul de produse de protecţia plantelor</w:t>
      </w:r>
      <w:r w:rsidRPr="007652A5">
        <w:rPr>
          <w:rFonts w:ascii="Arial" w:hAnsi="Arial" w:cs="Arial"/>
          <w:b/>
          <w:sz w:val="24"/>
          <w:szCs w:val="24"/>
          <w:lang w:val="pt-BR"/>
        </w:rPr>
        <w:t xml:space="preserve"> </w:t>
      </w:r>
    </w:p>
    <w:p w:rsidR="00202088" w:rsidRDefault="00202088" w:rsidP="00C625DB">
      <w:pPr>
        <w:spacing w:after="0" w:line="240" w:lineRule="auto"/>
        <w:jc w:val="both"/>
        <w:rPr>
          <w:rFonts w:ascii="Arial" w:hAnsi="Arial" w:cs="Arial"/>
          <w:sz w:val="24"/>
          <w:szCs w:val="24"/>
        </w:rPr>
      </w:pPr>
    </w:p>
    <w:p w:rsidR="00E00628" w:rsidRPr="007652A5" w:rsidRDefault="00E00628" w:rsidP="00C625DB">
      <w:pPr>
        <w:spacing w:after="0" w:line="240" w:lineRule="auto"/>
        <w:jc w:val="both"/>
        <w:rPr>
          <w:rFonts w:ascii="Arial" w:hAnsi="Arial" w:cs="Arial"/>
          <w:sz w:val="24"/>
          <w:szCs w:val="24"/>
        </w:rPr>
      </w:pPr>
      <w:r w:rsidRPr="007652A5">
        <w:rPr>
          <w:rFonts w:ascii="Arial" w:hAnsi="Arial" w:cs="Arial"/>
          <w:sz w:val="24"/>
          <w:szCs w:val="24"/>
        </w:rPr>
        <w:t xml:space="preserve">Produsele fitosanitare includ următoarele categorii de substanţe chimice: </w:t>
      </w:r>
    </w:p>
    <w:p w:rsidR="00E00628" w:rsidRPr="007652A5" w:rsidRDefault="00E00628" w:rsidP="00252ED3">
      <w:pPr>
        <w:pStyle w:val="BodyTextIndent2BodyTextIndent2Char"/>
        <w:numPr>
          <w:ilvl w:val="0"/>
          <w:numId w:val="27"/>
        </w:numPr>
        <w:tabs>
          <w:tab w:val="num" w:pos="720"/>
        </w:tabs>
        <w:ind w:hanging="720"/>
        <w:rPr>
          <w:rFonts w:ascii="Arial" w:hAnsi="Arial" w:cs="Arial"/>
          <w:sz w:val="24"/>
          <w:szCs w:val="24"/>
        </w:rPr>
      </w:pPr>
      <w:r w:rsidRPr="007652A5">
        <w:rPr>
          <w:rFonts w:ascii="Arial" w:hAnsi="Arial" w:cs="Arial"/>
          <w:sz w:val="24"/>
          <w:szCs w:val="24"/>
        </w:rPr>
        <w:t>erbicidele – substanţe chimice utilizate pentru combaterea buruienilor;</w:t>
      </w:r>
    </w:p>
    <w:p w:rsidR="00E00628" w:rsidRPr="007652A5" w:rsidRDefault="00E00628" w:rsidP="00252ED3">
      <w:pPr>
        <w:pStyle w:val="BodyTextIndent2BodyTextIndent2Char"/>
        <w:numPr>
          <w:ilvl w:val="0"/>
          <w:numId w:val="27"/>
        </w:numPr>
        <w:tabs>
          <w:tab w:val="num" w:pos="720"/>
        </w:tabs>
        <w:ind w:hanging="720"/>
        <w:rPr>
          <w:rFonts w:ascii="Arial" w:hAnsi="Arial" w:cs="Arial"/>
          <w:sz w:val="24"/>
          <w:szCs w:val="24"/>
        </w:rPr>
      </w:pPr>
      <w:r w:rsidRPr="007652A5">
        <w:rPr>
          <w:rFonts w:ascii="Arial" w:hAnsi="Arial" w:cs="Arial"/>
          <w:sz w:val="24"/>
          <w:szCs w:val="24"/>
        </w:rPr>
        <w:t>insecticidele – utilizate pentru combaterea insectelor dăunătoare;</w:t>
      </w:r>
    </w:p>
    <w:p w:rsidR="00E00628" w:rsidRPr="007652A5" w:rsidRDefault="00E00628" w:rsidP="00252ED3">
      <w:pPr>
        <w:pStyle w:val="BodyTextIndent2BodyTextIndent2Char"/>
        <w:numPr>
          <w:ilvl w:val="0"/>
          <w:numId w:val="27"/>
        </w:numPr>
        <w:tabs>
          <w:tab w:val="num" w:pos="720"/>
        </w:tabs>
        <w:ind w:hanging="720"/>
        <w:rPr>
          <w:rFonts w:ascii="Arial" w:hAnsi="Arial" w:cs="Arial"/>
          <w:sz w:val="24"/>
          <w:szCs w:val="24"/>
        </w:rPr>
      </w:pPr>
      <w:r w:rsidRPr="007652A5">
        <w:rPr>
          <w:rFonts w:ascii="Arial" w:hAnsi="Arial" w:cs="Arial"/>
          <w:sz w:val="24"/>
          <w:szCs w:val="24"/>
        </w:rPr>
        <w:t xml:space="preserve">fungicidele, bactericidele şi virucidele. </w:t>
      </w:r>
    </w:p>
    <w:p w:rsidR="00E00628"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 xml:space="preserve">Monitorizarea activităţii operatorilor economici în ceea ce priveşte utilizarea substanţelor fitosanitare este realizată de Unitatea fitosanitară din cadrul Direcţiei pentru Agricultură Judeţeană </w:t>
      </w:r>
      <w:r w:rsidR="00217620">
        <w:rPr>
          <w:rFonts w:ascii="Arial" w:hAnsi="Arial" w:cs="Arial"/>
          <w:sz w:val="24"/>
          <w:szCs w:val="24"/>
        </w:rPr>
        <w:t>Brăila</w:t>
      </w:r>
      <w:r w:rsidRPr="007652A5">
        <w:rPr>
          <w:rFonts w:ascii="Arial" w:hAnsi="Arial" w:cs="Arial"/>
          <w:sz w:val="24"/>
          <w:szCs w:val="24"/>
        </w:rPr>
        <w:t>.</w:t>
      </w:r>
    </w:p>
    <w:p w:rsidR="00E00628" w:rsidRPr="007652A5" w:rsidRDefault="00E00628" w:rsidP="00C625DB">
      <w:pPr>
        <w:pStyle w:val="BodyTextIndent2BodyTextIndent2Char"/>
        <w:ind w:left="0"/>
        <w:rPr>
          <w:rFonts w:ascii="Arial" w:hAnsi="Arial" w:cs="Arial"/>
          <w:sz w:val="24"/>
          <w:szCs w:val="24"/>
        </w:rPr>
      </w:pPr>
      <w:r w:rsidRPr="007652A5">
        <w:rPr>
          <w:rFonts w:ascii="Arial" w:hAnsi="Arial" w:cs="Arial"/>
          <w:sz w:val="24"/>
          <w:szCs w:val="24"/>
        </w:rPr>
        <w:t>Produsele fitosanitar</w:t>
      </w:r>
      <w:r w:rsidR="00A20DD3" w:rsidRPr="007652A5">
        <w:rPr>
          <w:rFonts w:ascii="Arial" w:hAnsi="Arial" w:cs="Arial"/>
          <w:sz w:val="24"/>
          <w:szCs w:val="24"/>
        </w:rPr>
        <w:t>e aplicate în perioada 2011-2016</w:t>
      </w:r>
      <w:r w:rsidRPr="007652A5">
        <w:rPr>
          <w:rFonts w:ascii="Arial" w:hAnsi="Arial" w:cs="Arial"/>
          <w:sz w:val="24"/>
          <w:szCs w:val="24"/>
        </w:rPr>
        <w:t xml:space="preserve"> sunt redate în tabelul de mai jos.</w:t>
      </w:r>
    </w:p>
    <w:p w:rsidR="00202088" w:rsidRDefault="00E00628" w:rsidP="00C625DB">
      <w:pPr>
        <w:spacing w:after="0" w:line="240" w:lineRule="auto"/>
        <w:rPr>
          <w:rFonts w:ascii="Arial" w:hAnsi="Arial" w:cs="Arial"/>
          <w:b/>
          <w:sz w:val="24"/>
          <w:szCs w:val="24"/>
        </w:rPr>
      </w:pPr>
      <w:r w:rsidRPr="007652A5">
        <w:rPr>
          <w:rFonts w:ascii="Arial" w:hAnsi="Arial" w:cs="Arial"/>
          <w:b/>
          <w:sz w:val="24"/>
          <w:szCs w:val="24"/>
        </w:rPr>
        <w:t xml:space="preserve">   </w:t>
      </w:r>
    </w:p>
    <w:p w:rsidR="00E00628" w:rsidRPr="00202088" w:rsidRDefault="00E00628" w:rsidP="00202088">
      <w:pPr>
        <w:spacing w:after="0" w:line="240" w:lineRule="auto"/>
        <w:ind w:firstLine="708"/>
        <w:rPr>
          <w:rFonts w:ascii="Arial" w:hAnsi="Arial" w:cs="Arial"/>
          <w:sz w:val="24"/>
          <w:szCs w:val="24"/>
        </w:rPr>
      </w:pPr>
      <w:r w:rsidRPr="00202088">
        <w:rPr>
          <w:rFonts w:ascii="Arial" w:hAnsi="Arial" w:cs="Arial"/>
          <w:sz w:val="24"/>
          <w:szCs w:val="24"/>
        </w:rPr>
        <w:t xml:space="preserve">Tabelul III.3.2-1 </w:t>
      </w:r>
    </w:p>
    <w:tbl>
      <w:tblPr>
        <w:tblW w:w="8993" w:type="dxa"/>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750"/>
        <w:gridCol w:w="1809"/>
        <w:gridCol w:w="1668"/>
        <w:gridCol w:w="1566"/>
        <w:gridCol w:w="1218"/>
        <w:gridCol w:w="1323"/>
      </w:tblGrid>
      <w:tr w:rsidR="00E00628" w:rsidRPr="007652A5" w:rsidTr="00E00628">
        <w:trPr>
          <w:trHeight w:val="340"/>
          <w:jc w:val="center"/>
        </w:trPr>
        <w:tc>
          <w:tcPr>
            <w:tcW w:w="6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Nr.</w:t>
            </w:r>
          </w:p>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crt.</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Anul</w:t>
            </w:r>
          </w:p>
        </w:tc>
        <w:tc>
          <w:tcPr>
            <w:tcW w:w="515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Produs fitosanitar, tone</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Total</w:t>
            </w:r>
          </w:p>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(tone)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Suprafaţă</w:t>
            </w:r>
          </w:p>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(ha)</w:t>
            </w:r>
          </w:p>
        </w:tc>
      </w:tr>
      <w:tr w:rsidR="00E00628" w:rsidRPr="007652A5" w:rsidTr="00E00628">
        <w:trPr>
          <w:trHeight w:val="340"/>
          <w:jc w:val="cent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hAnsi="Arial" w:cs="Arial"/>
                <w:b/>
                <w:sz w:val="24"/>
                <w:szCs w:val="24"/>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hAnsi="Arial" w:cs="Arial"/>
                <w:b/>
                <w:sz w:val="24"/>
                <w:szCs w:val="24"/>
              </w:rPr>
            </w:pPr>
          </w:p>
        </w:tc>
        <w:tc>
          <w:tcPr>
            <w:tcW w:w="18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Erbicide</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Fungicide</w:t>
            </w:r>
          </w:p>
        </w:tc>
        <w:tc>
          <w:tcPr>
            <w:tcW w:w="15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7652A5" w:rsidRDefault="00E00628" w:rsidP="00C625DB">
            <w:pPr>
              <w:spacing w:after="0" w:line="240" w:lineRule="auto"/>
              <w:jc w:val="center"/>
              <w:rPr>
                <w:rFonts w:ascii="Arial" w:hAnsi="Arial" w:cs="Arial"/>
                <w:b/>
                <w:sz w:val="24"/>
                <w:szCs w:val="24"/>
              </w:rPr>
            </w:pPr>
            <w:r w:rsidRPr="007652A5">
              <w:rPr>
                <w:rFonts w:ascii="Arial" w:hAnsi="Arial" w:cs="Arial"/>
                <w:b/>
                <w:sz w:val="24"/>
                <w:szCs w:val="24"/>
              </w:rPr>
              <w:t>Insecticide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7652A5" w:rsidRDefault="00E00628" w:rsidP="00C625DB">
            <w:pPr>
              <w:spacing w:after="0" w:line="240" w:lineRule="auto"/>
              <w:rPr>
                <w:rFonts w:ascii="Arial" w:hAnsi="Arial" w:cs="Arial"/>
                <w:b/>
                <w:sz w:val="24"/>
                <w:szCs w:val="24"/>
              </w:rPr>
            </w:pPr>
          </w:p>
        </w:tc>
      </w:tr>
      <w:tr w:rsidR="00E00628" w:rsidRPr="007652A5"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2011</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56,298</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41,382</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10,463</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108,143</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528.372</w:t>
            </w:r>
          </w:p>
        </w:tc>
      </w:tr>
      <w:tr w:rsidR="00E00628" w:rsidRPr="007652A5"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2.</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2012</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56,043</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41,092</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10,553</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107,688</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368.722</w:t>
            </w:r>
          </w:p>
        </w:tc>
      </w:tr>
      <w:tr w:rsidR="00E00628" w:rsidRPr="007652A5"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3.</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2013</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43,136</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38,737</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9,942</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91,815</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444.131</w:t>
            </w:r>
          </w:p>
        </w:tc>
      </w:tr>
      <w:tr w:rsidR="00E00628" w:rsidRPr="007652A5"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4.</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2014</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36.718</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33,221</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9,002</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78,941</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486.206</w:t>
            </w:r>
          </w:p>
        </w:tc>
      </w:tr>
      <w:tr w:rsidR="00E00628" w:rsidRPr="007652A5"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5.</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2015</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36,733</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33,221</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 xml:space="preserve">9,002     </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78,956</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E00628" w:rsidRPr="007652A5" w:rsidRDefault="00E00628" w:rsidP="00C625DB">
            <w:pPr>
              <w:spacing w:after="0" w:line="240" w:lineRule="auto"/>
              <w:jc w:val="center"/>
              <w:rPr>
                <w:rFonts w:ascii="Arial" w:hAnsi="Arial" w:cs="Arial"/>
                <w:sz w:val="24"/>
                <w:szCs w:val="24"/>
              </w:rPr>
            </w:pPr>
            <w:r w:rsidRPr="007652A5">
              <w:rPr>
                <w:rFonts w:ascii="Arial" w:hAnsi="Arial" w:cs="Arial"/>
                <w:sz w:val="24"/>
                <w:szCs w:val="24"/>
              </w:rPr>
              <w:t>309.100</w:t>
            </w:r>
          </w:p>
        </w:tc>
      </w:tr>
      <w:tr w:rsidR="00A20DD3" w:rsidRPr="007652A5" w:rsidTr="00E00628">
        <w:trPr>
          <w:trHeight w:val="340"/>
          <w:jc w:val="center"/>
        </w:trPr>
        <w:tc>
          <w:tcPr>
            <w:tcW w:w="666"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lastRenderedPageBreak/>
              <w:t>6</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2016</w:t>
            </w:r>
          </w:p>
        </w:tc>
        <w:tc>
          <w:tcPr>
            <w:tcW w:w="18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636,160</w:t>
            </w:r>
          </w:p>
        </w:tc>
        <w:tc>
          <w:tcPr>
            <w:tcW w:w="1701"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430,520</w:t>
            </w:r>
          </w:p>
        </w:tc>
        <w:tc>
          <w:tcPr>
            <w:tcW w:w="157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111,530</w:t>
            </w:r>
          </w:p>
        </w:tc>
        <w:tc>
          <w:tcPr>
            <w:tcW w:w="1098"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1193,870</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1476359</w:t>
            </w:r>
          </w:p>
        </w:tc>
      </w:tr>
    </w:tbl>
    <w:p w:rsidR="00E00628" w:rsidRPr="007652A5" w:rsidRDefault="00E00628" w:rsidP="00C625DB">
      <w:pPr>
        <w:pStyle w:val="Footer"/>
        <w:jc w:val="both"/>
        <w:rPr>
          <w:rFonts w:ascii="Arial" w:hAnsi="Arial" w:cs="Arial"/>
          <w:sz w:val="24"/>
          <w:szCs w:val="24"/>
        </w:rPr>
      </w:pPr>
    </w:p>
    <w:p w:rsidR="00A20DD3"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În cu</w:t>
      </w:r>
      <w:r w:rsidR="00A20DD3" w:rsidRPr="007652A5">
        <w:rPr>
          <w:rFonts w:ascii="Arial" w:hAnsi="Arial" w:cs="Arial"/>
          <w:sz w:val="24"/>
          <w:szCs w:val="24"/>
        </w:rPr>
        <w:t>rsul anului 2016</w:t>
      </w:r>
      <w:r w:rsidRPr="007652A5">
        <w:rPr>
          <w:rFonts w:ascii="Arial" w:hAnsi="Arial" w:cs="Arial"/>
          <w:sz w:val="24"/>
          <w:szCs w:val="24"/>
        </w:rPr>
        <w:t xml:space="preserve"> s-au aplicat produse fitosanitare în cantitate totală de </w:t>
      </w:r>
      <w:r w:rsidR="00A20DD3" w:rsidRPr="007652A5">
        <w:rPr>
          <w:rFonts w:ascii="Arial" w:hAnsi="Arial" w:cs="Arial"/>
          <w:sz w:val="24"/>
          <w:szCs w:val="24"/>
        </w:rPr>
        <w:t xml:space="preserve">1.193,870 </w:t>
      </w:r>
      <w:r w:rsidRPr="007652A5">
        <w:rPr>
          <w:rFonts w:ascii="Arial" w:hAnsi="Arial" w:cs="Arial"/>
          <w:sz w:val="24"/>
          <w:szCs w:val="24"/>
        </w:rPr>
        <w:t xml:space="preserve">tone substanţă activă. </w:t>
      </w:r>
      <w:r w:rsidR="00A20DD3" w:rsidRPr="007652A5">
        <w:rPr>
          <w:rFonts w:ascii="Arial" w:hAnsi="Arial" w:cs="Arial"/>
          <w:sz w:val="24"/>
          <w:szCs w:val="24"/>
        </w:rPr>
        <w:t>Se constată creșterea cantităţilor de produse fitosanitare în 2016 față de 2012 - 2015. Cele mai mari cerinţe de utilizare s-au înregistrat pentru combaterea buruienilor.</w:t>
      </w:r>
    </w:p>
    <w:p w:rsidR="00E00628"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Variația anuală a consumului total de pesticide este redat în graficul de mai jos( exprimat în kg/ha):</w:t>
      </w:r>
    </w:p>
    <w:p w:rsidR="00E00628" w:rsidRPr="007652A5" w:rsidRDefault="00E00628" w:rsidP="00C625DB">
      <w:pPr>
        <w:pStyle w:val="Footer"/>
        <w:tabs>
          <w:tab w:val="left" w:pos="567"/>
          <w:tab w:val="left" w:pos="851"/>
          <w:tab w:val="left" w:pos="993"/>
        </w:tabs>
        <w:jc w:val="both"/>
        <w:rPr>
          <w:rFonts w:ascii="Arial" w:hAnsi="Arial" w:cs="Arial"/>
          <w:sz w:val="24"/>
          <w:szCs w:val="24"/>
        </w:rPr>
      </w:pPr>
    </w:p>
    <w:p w:rsidR="00E00628" w:rsidRPr="007652A5" w:rsidRDefault="00A20DD3" w:rsidP="00C625DB">
      <w:pPr>
        <w:pStyle w:val="Footer"/>
        <w:tabs>
          <w:tab w:val="left" w:pos="567"/>
          <w:tab w:val="left" w:pos="851"/>
          <w:tab w:val="left" w:pos="993"/>
        </w:tabs>
        <w:jc w:val="both"/>
        <w:rPr>
          <w:rFonts w:ascii="Arial" w:hAnsi="Arial" w:cs="Arial"/>
          <w:sz w:val="24"/>
          <w:szCs w:val="24"/>
        </w:rPr>
      </w:pPr>
      <w:r w:rsidRPr="007652A5">
        <w:rPr>
          <w:rFonts w:ascii="Arial" w:hAnsi="Arial" w:cs="Arial"/>
          <w:noProof/>
          <w:sz w:val="24"/>
          <w:szCs w:val="24"/>
          <w:lang w:eastAsia="ro-RO"/>
        </w:rPr>
        <w:drawing>
          <wp:anchor distT="0" distB="0" distL="114300" distR="114300" simplePos="0" relativeHeight="251671552" behindDoc="0" locked="0" layoutInCell="1" allowOverlap="1">
            <wp:simplePos x="0" y="0"/>
            <wp:positionH relativeFrom="column">
              <wp:posOffset>756285</wp:posOffset>
            </wp:positionH>
            <wp:positionV relativeFrom="paragraph">
              <wp:align>top</wp:align>
            </wp:positionV>
            <wp:extent cx="4962525" cy="2076450"/>
            <wp:effectExtent l="19050" t="0" r="9525" b="0"/>
            <wp:wrapSquare wrapText="bothSides"/>
            <wp:docPr id="4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E00628" w:rsidRPr="007652A5" w:rsidRDefault="00E00628" w:rsidP="00C625DB">
      <w:pPr>
        <w:pStyle w:val="Footer"/>
        <w:tabs>
          <w:tab w:val="left" w:pos="567"/>
          <w:tab w:val="left" w:pos="851"/>
          <w:tab w:val="left" w:pos="993"/>
        </w:tabs>
        <w:rPr>
          <w:rFonts w:ascii="Arial" w:hAnsi="Arial" w:cs="Arial"/>
          <w:sz w:val="24"/>
          <w:szCs w:val="24"/>
        </w:rPr>
      </w:pPr>
      <w:r w:rsidRPr="007652A5">
        <w:rPr>
          <w:rFonts w:ascii="Arial" w:hAnsi="Arial" w:cs="Arial"/>
          <w:sz w:val="24"/>
          <w:szCs w:val="24"/>
        </w:rPr>
        <w:br w:type="textWrapping" w:clear="all"/>
      </w:r>
    </w:p>
    <w:p w:rsidR="00202088" w:rsidRPr="00202088" w:rsidRDefault="00202088" w:rsidP="00202088">
      <w:pPr>
        <w:spacing w:after="0" w:line="240" w:lineRule="auto"/>
        <w:jc w:val="center"/>
        <w:rPr>
          <w:rFonts w:ascii="Arial" w:hAnsi="Arial" w:cs="Arial"/>
          <w:sz w:val="24"/>
          <w:szCs w:val="24"/>
          <w:lang w:val="pt-BR"/>
        </w:rPr>
      </w:pPr>
      <w:r w:rsidRPr="00202088">
        <w:rPr>
          <w:rFonts w:ascii="Arial" w:hAnsi="Arial" w:cs="Arial"/>
          <w:sz w:val="24"/>
          <w:szCs w:val="24"/>
          <w:lang w:val="pt-BR"/>
        </w:rPr>
        <w:t>Fig. III.3.2-1</w:t>
      </w:r>
    </w:p>
    <w:p w:rsidR="00E00628" w:rsidRPr="007652A5" w:rsidRDefault="00E00628" w:rsidP="00C625DB">
      <w:pPr>
        <w:spacing w:after="0" w:line="240" w:lineRule="auto"/>
        <w:jc w:val="both"/>
        <w:rPr>
          <w:rFonts w:ascii="Arial" w:hAnsi="Arial" w:cs="Arial"/>
          <w:sz w:val="24"/>
          <w:szCs w:val="24"/>
        </w:rPr>
      </w:pPr>
    </w:p>
    <w:p w:rsidR="00A20DD3"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 xml:space="preserve">Variația anuală a consumului pe sorturi de pesticide în perioada 2011-2015 este redată în figura III.3.2-2. </w:t>
      </w:r>
      <w:r w:rsidR="00A20DD3" w:rsidRPr="007652A5">
        <w:rPr>
          <w:rFonts w:ascii="Arial" w:hAnsi="Arial" w:cs="Arial"/>
          <w:sz w:val="24"/>
          <w:szCs w:val="24"/>
        </w:rPr>
        <w:t>Se observă o creștere a consumurilor de pesticide în anul 2016 față de perioada 2012-2015.</w:t>
      </w:r>
    </w:p>
    <w:p w:rsidR="00202088" w:rsidRPr="00202088" w:rsidRDefault="00E00628" w:rsidP="00202088">
      <w:pPr>
        <w:pStyle w:val="BodyTextIndent2BodyTextIndent2Char"/>
        <w:ind w:left="0" w:firstLine="708"/>
        <w:rPr>
          <w:rFonts w:ascii="Arial" w:hAnsi="Arial" w:cs="Arial"/>
          <w:sz w:val="24"/>
          <w:szCs w:val="24"/>
          <w:lang w:val="pt-BR"/>
        </w:rPr>
      </w:pPr>
      <w:r w:rsidRPr="007652A5">
        <w:rPr>
          <w:rFonts w:ascii="Arial" w:hAnsi="Arial" w:cs="Arial"/>
          <w:sz w:val="24"/>
          <w:szCs w:val="24"/>
        </w:rPr>
        <w:t>.</w:t>
      </w:r>
      <w:r w:rsidR="00A20DD3" w:rsidRPr="007652A5">
        <w:rPr>
          <w:rFonts w:ascii="Arial" w:hAnsi="Arial" w:cs="Arial"/>
          <w:b/>
          <w:sz w:val="24"/>
          <w:szCs w:val="24"/>
        </w:rPr>
        <w:t xml:space="preserve">                 </w:t>
      </w:r>
    </w:p>
    <w:p w:rsidR="00E00628" w:rsidRPr="007652A5" w:rsidRDefault="00A20DD3" w:rsidP="00202088">
      <w:pPr>
        <w:spacing w:after="0" w:line="240" w:lineRule="auto"/>
        <w:jc w:val="center"/>
        <w:rPr>
          <w:rFonts w:ascii="Arial" w:hAnsi="Arial" w:cs="Arial"/>
          <w:b/>
          <w:sz w:val="24"/>
          <w:szCs w:val="24"/>
        </w:rPr>
      </w:pPr>
      <w:r w:rsidRPr="007652A5">
        <w:rPr>
          <w:rFonts w:ascii="Arial" w:hAnsi="Arial" w:cs="Arial"/>
          <w:b/>
          <w:noProof/>
          <w:sz w:val="24"/>
          <w:szCs w:val="24"/>
          <w:lang w:eastAsia="ro-RO"/>
        </w:rPr>
        <w:drawing>
          <wp:inline distT="0" distB="0" distL="0" distR="0">
            <wp:extent cx="4514850" cy="2057400"/>
            <wp:effectExtent l="19050" t="0" r="19050" b="0"/>
            <wp:docPr id="4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02088" w:rsidRPr="00202088" w:rsidRDefault="00202088" w:rsidP="00202088">
      <w:pPr>
        <w:spacing w:after="0" w:line="240" w:lineRule="auto"/>
        <w:jc w:val="center"/>
        <w:rPr>
          <w:rFonts w:ascii="Arial" w:hAnsi="Arial" w:cs="Arial"/>
          <w:sz w:val="24"/>
          <w:szCs w:val="24"/>
          <w:lang w:val="pt-BR"/>
        </w:rPr>
      </w:pPr>
      <w:r w:rsidRPr="00202088">
        <w:rPr>
          <w:rFonts w:ascii="Arial" w:hAnsi="Arial" w:cs="Arial"/>
          <w:sz w:val="24"/>
          <w:szCs w:val="24"/>
          <w:lang w:val="pt-BR"/>
        </w:rPr>
        <w:t>Fig. III.3.2-2</w:t>
      </w:r>
    </w:p>
    <w:p w:rsidR="00A20DD3" w:rsidRPr="007652A5" w:rsidRDefault="00A20DD3" w:rsidP="00C625DB">
      <w:pPr>
        <w:spacing w:after="0" w:line="240" w:lineRule="auto"/>
        <w:jc w:val="both"/>
        <w:rPr>
          <w:rFonts w:ascii="Arial" w:hAnsi="Arial" w:cs="Arial"/>
          <w:b/>
          <w:sz w:val="24"/>
          <w:szCs w:val="24"/>
        </w:rPr>
      </w:pPr>
    </w:p>
    <w:p w:rsidR="00A20DD3" w:rsidRPr="007652A5" w:rsidRDefault="00A20DD3" w:rsidP="00C625DB">
      <w:pPr>
        <w:spacing w:after="0" w:line="240" w:lineRule="auto"/>
        <w:jc w:val="both"/>
        <w:rPr>
          <w:rFonts w:ascii="Arial" w:hAnsi="Arial" w:cs="Arial"/>
          <w:b/>
          <w:sz w:val="24"/>
          <w:szCs w:val="24"/>
        </w:rPr>
      </w:pPr>
    </w:p>
    <w:p w:rsidR="00E00628" w:rsidRPr="007652A5" w:rsidRDefault="00E00628" w:rsidP="00C625DB">
      <w:pPr>
        <w:spacing w:after="0" w:line="240" w:lineRule="auto"/>
        <w:jc w:val="both"/>
        <w:rPr>
          <w:rFonts w:ascii="Arial" w:hAnsi="Arial" w:cs="Arial"/>
          <w:sz w:val="24"/>
          <w:szCs w:val="24"/>
        </w:rPr>
      </w:pPr>
      <w:r w:rsidRPr="007652A5">
        <w:rPr>
          <w:rFonts w:ascii="Arial" w:hAnsi="Arial" w:cs="Arial"/>
          <w:b/>
          <w:sz w:val="24"/>
          <w:szCs w:val="24"/>
        </w:rPr>
        <w:t xml:space="preserve">III.3.3. </w:t>
      </w:r>
      <w:r w:rsidRPr="007652A5">
        <w:rPr>
          <w:rFonts w:ascii="Arial" w:hAnsi="Arial" w:cs="Arial"/>
          <w:b/>
          <w:i/>
          <w:sz w:val="24"/>
          <w:szCs w:val="24"/>
        </w:rPr>
        <w:t>Evoluția suprafețelor de îmbunătățiri funciare</w:t>
      </w:r>
    </w:p>
    <w:p w:rsidR="00202088" w:rsidRDefault="00202088" w:rsidP="00C625DB">
      <w:pPr>
        <w:pStyle w:val="BodyTextIndent2BodyTextIndent2Char"/>
        <w:ind w:left="0" w:firstLine="708"/>
        <w:rPr>
          <w:rFonts w:ascii="Arial" w:hAnsi="Arial" w:cs="Arial"/>
          <w:sz w:val="24"/>
          <w:szCs w:val="24"/>
        </w:rPr>
      </w:pPr>
    </w:p>
    <w:p w:rsidR="00E00628"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 xml:space="preserve">Utilizarea irigaţiilor a devenit indispensabilă în condiţiile climatului arid şi secetos specific judeţului </w:t>
      </w:r>
      <w:r w:rsidR="00217620">
        <w:rPr>
          <w:rFonts w:ascii="Arial" w:hAnsi="Arial" w:cs="Arial"/>
          <w:sz w:val="24"/>
          <w:szCs w:val="24"/>
        </w:rPr>
        <w:t>Brăila</w:t>
      </w:r>
      <w:r w:rsidRPr="007652A5">
        <w:rPr>
          <w:rFonts w:ascii="Arial" w:hAnsi="Arial" w:cs="Arial"/>
          <w:sz w:val="24"/>
          <w:szCs w:val="24"/>
        </w:rPr>
        <w:t>. Regimul de uscăciune a fost accentuat totodată de creşterea presiunii demografice şi a schimbărilor climatice.Abaterile de la regimul optim de irigare pot avea efecte negative asupra solului. Modificări însemnate pot avea loc din cauza calităţii apei de irigare folosite, fiind posibilă apariţia fenomenelor de salinizare şi alcalinizare, (în situaţia apelor conţinând săruri), sau modificarea texturii (în măsura în care apa conţine aluviuni în suspensie).</w:t>
      </w:r>
    </w:p>
    <w:p w:rsidR="00E00628" w:rsidRPr="007652A5" w:rsidRDefault="00E00628" w:rsidP="00C625DB">
      <w:pPr>
        <w:pStyle w:val="BodyTextIndent2BodyTextIndent2Char"/>
        <w:ind w:left="0" w:firstLine="708"/>
        <w:rPr>
          <w:rFonts w:ascii="Arial" w:hAnsi="Arial" w:cs="Arial"/>
          <w:sz w:val="24"/>
          <w:szCs w:val="24"/>
        </w:rPr>
      </w:pPr>
    </w:p>
    <w:p w:rsidR="00E00628" w:rsidRPr="00202088" w:rsidRDefault="00E00628" w:rsidP="00C625DB">
      <w:pPr>
        <w:pStyle w:val="BodyText"/>
        <w:shd w:val="clear" w:color="auto" w:fill="FFFFFF"/>
        <w:spacing w:after="0" w:line="240" w:lineRule="auto"/>
        <w:jc w:val="both"/>
        <w:rPr>
          <w:rFonts w:ascii="Arial" w:hAnsi="Arial" w:cs="Arial"/>
          <w:sz w:val="24"/>
          <w:szCs w:val="24"/>
          <w:lang w:val="pt-BR"/>
        </w:rPr>
      </w:pPr>
      <w:r w:rsidRPr="00202088">
        <w:rPr>
          <w:rFonts w:ascii="Arial" w:hAnsi="Arial" w:cs="Arial"/>
          <w:sz w:val="24"/>
          <w:szCs w:val="24"/>
          <w:lang w:val="pt-BR"/>
        </w:rPr>
        <w:lastRenderedPageBreak/>
        <w:t xml:space="preserve">        </w:t>
      </w:r>
      <w:r w:rsidR="00202088" w:rsidRPr="00202088">
        <w:rPr>
          <w:rFonts w:ascii="Arial" w:hAnsi="Arial" w:cs="Arial"/>
          <w:sz w:val="24"/>
          <w:szCs w:val="24"/>
          <w:lang w:val="pt-BR"/>
        </w:rPr>
        <w:t xml:space="preserve">    </w:t>
      </w:r>
      <w:r w:rsidRPr="00202088">
        <w:rPr>
          <w:rFonts w:ascii="Arial" w:hAnsi="Arial" w:cs="Arial"/>
          <w:sz w:val="24"/>
          <w:szCs w:val="24"/>
          <w:lang w:val="pt-BR"/>
        </w:rPr>
        <w:t>Tabel III.3.3-1  Suprafaţa irigată în anii 201</w:t>
      </w:r>
      <w:r w:rsidR="00A20DD3" w:rsidRPr="00202088">
        <w:rPr>
          <w:rFonts w:ascii="Arial" w:hAnsi="Arial" w:cs="Arial"/>
          <w:sz w:val="24"/>
          <w:szCs w:val="24"/>
          <w:lang w:val="pt-BR"/>
        </w:rPr>
        <w:t>2</w:t>
      </w:r>
      <w:r w:rsidRPr="00202088">
        <w:rPr>
          <w:rFonts w:ascii="Arial" w:hAnsi="Arial" w:cs="Arial"/>
          <w:sz w:val="24"/>
          <w:szCs w:val="24"/>
          <w:lang w:val="pt-BR"/>
        </w:rPr>
        <w:t>- 201</w:t>
      </w:r>
      <w:r w:rsidR="00A20DD3" w:rsidRPr="00202088">
        <w:rPr>
          <w:rFonts w:ascii="Arial" w:hAnsi="Arial" w:cs="Arial"/>
          <w:sz w:val="24"/>
          <w:szCs w:val="24"/>
          <w:lang w:val="pt-BR"/>
        </w:rPr>
        <w:t>6</w:t>
      </w:r>
      <w:r w:rsidRPr="00202088">
        <w:rPr>
          <w:rFonts w:ascii="Arial" w:hAnsi="Arial" w:cs="Arial"/>
          <w:sz w:val="24"/>
          <w:szCs w:val="24"/>
          <w:lang w:val="pt-BR"/>
        </w:rPr>
        <w:t>:</w:t>
      </w:r>
    </w:p>
    <w:p w:rsidR="00E00628" w:rsidRPr="007652A5" w:rsidRDefault="00E00628" w:rsidP="00C625DB">
      <w:pPr>
        <w:pStyle w:val="BodyText"/>
        <w:shd w:val="clear" w:color="auto" w:fill="FFFFFF"/>
        <w:spacing w:after="0" w:line="240" w:lineRule="auto"/>
        <w:jc w:val="both"/>
        <w:rPr>
          <w:rFonts w:ascii="Arial" w:hAnsi="Arial" w:cs="Arial"/>
          <w:b/>
          <w:sz w:val="24"/>
          <w:szCs w:val="24"/>
          <w:lang w:val="pt-BR"/>
        </w:rPr>
      </w:pPr>
    </w:p>
    <w:tbl>
      <w:tblPr>
        <w:tblW w:w="8574"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6"/>
        <w:gridCol w:w="1134"/>
        <w:gridCol w:w="1275"/>
        <w:gridCol w:w="1134"/>
        <w:gridCol w:w="1276"/>
        <w:gridCol w:w="1239"/>
      </w:tblGrid>
      <w:tr w:rsidR="00A20DD3" w:rsidRPr="007652A5" w:rsidTr="00A20DD3">
        <w:trPr>
          <w:trHeight w:val="340"/>
          <w:jc w:val="center"/>
        </w:trPr>
        <w:tc>
          <w:tcPr>
            <w:tcW w:w="2516" w:type="dxa"/>
            <w:tcBorders>
              <w:top w:val="single" w:sz="4" w:space="0" w:color="auto"/>
              <w:left w:val="single" w:sz="4" w:space="0" w:color="auto"/>
              <w:bottom w:val="single" w:sz="4" w:space="0" w:color="auto"/>
              <w:right w:val="single" w:sz="4" w:space="0" w:color="auto"/>
            </w:tcBorders>
            <w:shd w:val="clear" w:color="auto" w:fill="D9D9D9"/>
            <w:hideMark/>
          </w:tcPr>
          <w:p w:rsidR="00A20DD3" w:rsidRPr="007652A5" w:rsidRDefault="00A20DD3" w:rsidP="00C625DB">
            <w:pPr>
              <w:pStyle w:val="BodyText"/>
              <w:spacing w:after="0" w:line="240" w:lineRule="auto"/>
              <w:jc w:val="both"/>
              <w:rPr>
                <w:rFonts w:ascii="Arial" w:hAnsi="Arial" w:cs="Arial"/>
                <w:b/>
                <w:sz w:val="24"/>
                <w:szCs w:val="24"/>
              </w:rPr>
            </w:pPr>
            <w:r w:rsidRPr="007652A5">
              <w:rPr>
                <w:rFonts w:ascii="Arial" w:hAnsi="Arial" w:cs="Arial"/>
                <w:b/>
                <w:sz w:val="24"/>
                <w:szCs w:val="24"/>
              </w:rPr>
              <w:t>Anul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2012</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2013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2014</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2015</w:t>
            </w:r>
          </w:p>
        </w:tc>
        <w:tc>
          <w:tcPr>
            <w:tcW w:w="12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20DD3" w:rsidRPr="007652A5" w:rsidRDefault="00A20DD3" w:rsidP="00C625DB">
            <w:pPr>
              <w:spacing w:after="0" w:line="240" w:lineRule="auto"/>
              <w:jc w:val="both"/>
              <w:rPr>
                <w:rFonts w:ascii="Arial" w:hAnsi="Arial" w:cs="Arial"/>
                <w:b/>
                <w:sz w:val="24"/>
                <w:szCs w:val="24"/>
              </w:rPr>
            </w:pPr>
            <w:r w:rsidRPr="007652A5">
              <w:rPr>
                <w:rFonts w:ascii="Arial" w:hAnsi="Arial" w:cs="Arial"/>
                <w:b/>
                <w:sz w:val="24"/>
                <w:szCs w:val="24"/>
              </w:rPr>
              <w:t>2016</w:t>
            </w:r>
          </w:p>
        </w:tc>
      </w:tr>
      <w:tr w:rsidR="00A20DD3" w:rsidRPr="007652A5" w:rsidTr="00A20DD3">
        <w:trPr>
          <w:trHeight w:val="340"/>
          <w:jc w:val="center"/>
        </w:trPr>
        <w:tc>
          <w:tcPr>
            <w:tcW w:w="2516" w:type="dxa"/>
            <w:tcBorders>
              <w:top w:val="single" w:sz="4" w:space="0" w:color="auto"/>
              <w:left w:val="single" w:sz="4" w:space="0" w:color="auto"/>
              <w:bottom w:val="single" w:sz="4" w:space="0" w:color="auto"/>
              <w:right w:val="single" w:sz="4" w:space="0" w:color="auto"/>
            </w:tcBorders>
            <w:shd w:val="clear" w:color="auto" w:fill="F3FFFF"/>
            <w:hideMark/>
          </w:tcPr>
          <w:p w:rsidR="00A20DD3" w:rsidRPr="007652A5" w:rsidRDefault="00A20DD3" w:rsidP="00C625DB">
            <w:pPr>
              <w:pStyle w:val="BodyText"/>
              <w:spacing w:after="0" w:line="240" w:lineRule="auto"/>
              <w:jc w:val="both"/>
              <w:rPr>
                <w:rFonts w:ascii="Arial" w:hAnsi="Arial" w:cs="Arial"/>
                <w:sz w:val="24"/>
                <w:szCs w:val="24"/>
              </w:rPr>
            </w:pPr>
            <w:r w:rsidRPr="007652A5">
              <w:rPr>
                <w:rFonts w:ascii="Arial" w:hAnsi="Arial" w:cs="Arial"/>
                <w:sz w:val="24"/>
                <w:szCs w:val="24"/>
              </w:rPr>
              <w:t>Suprafaţa irigată (ha)</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258.259</w:t>
            </w:r>
          </w:p>
        </w:tc>
        <w:tc>
          <w:tcPr>
            <w:tcW w:w="1275" w:type="dxa"/>
            <w:tcBorders>
              <w:top w:val="single" w:sz="4" w:space="0" w:color="auto"/>
              <w:left w:val="single" w:sz="4" w:space="0" w:color="auto"/>
              <w:bottom w:val="single" w:sz="4" w:space="0" w:color="auto"/>
              <w:right w:val="single" w:sz="4" w:space="0" w:color="auto"/>
            </w:tcBorders>
            <w:shd w:val="clear" w:color="auto" w:fill="F3FFFF"/>
            <w:vAlign w:val="center"/>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213.736</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168.237</w:t>
            </w:r>
          </w:p>
        </w:tc>
        <w:tc>
          <w:tcPr>
            <w:tcW w:w="1276" w:type="dxa"/>
            <w:tcBorders>
              <w:top w:val="single" w:sz="4" w:space="0" w:color="auto"/>
              <w:left w:val="single" w:sz="4" w:space="0" w:color="auto"/>
              <w:bottom w:val="single" w:sz="4" w:space="0" w:color="auto"/>
              <w:right w:val="single" w:sz="4" w:space="0" w:color="auto"/>
            </w:tcBorders>
            <w:shd w:val="clear" w:color="auto" w:fill="F3FFFF"/>
            <w:vAlign w:val="center"/>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236.010</w:t>
            </w:r>
          </w:p>
        </w:tc>
        <w:tc>
          <w:tcPr>
            <w:tcW w:w="1239"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161.310</w:t>
            </w:r>
          </w:p>
        </w:tc>
      </w:tr>
      <w:tr w:rsidR="00A20DD3" w:rsidRPr="007652A5" w:rsidTr="00A20DD3">
        <w:trPr>
          <w:trHeight w:val="340"/>
          <w:jc w:val="center"/>
        </w:trPr>
        <w:tc>
          <w:tcPr>
            <w:tcW w:w="25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pStyle w:val="BodyText"/>
              <w:spacing w:after="0" w:line="240" w:lineRule="auto"/>
              <w:jc w:val="center"/>
              <w:rPr>
                <w:rFonts w:ascii="Arial" w:hAnsi="Arial" w:cs="Arial"/>
                <w:sz w:val="24"/>
                <w:szCs w:val="24"/>
              </w:rPr>
            </w:pPr>
            <w:r w:rsidRPr="007652A5">
              <w:rPr>
                <w:rFonts w:ascii="Arial" w:hAnsi="Arial" w:cs="Arial"/>
                <w:sz w:val="24"/>
                <w:szCs w:val="24"/>
              </w:rPr>
              <w:t>Volum de apă consumată (mii mc)</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159.108</w:t>
            </w:r>
          </w:p>
        </w:tc>
        <w:tc>
          <w:tcPr>
            <w:tcW w:w="1275" w:type="dxa"/>
            <w:tcBorders>
              <w:top w:val="single" w:sz="4" w:space="0" w:color="auto"/>
              <w:left w:val="single" w:sz="4" w:space="0" w:color="auto"/>
              <w:bottom w:val="single" w:sz="4" w:space="0" w:color="auto"/>
              <w:right w:val="single" w:sz="4" w:space="0" w:color="auto"/>
            </w:tcBorders>
            <w:shd w:val="clear" w:color="auto" w:fill="F3FFFF"/>
            <w:vAlign w:val="center"/>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207.269</w:t>
            </w:r>
          </w:p>
        </w:tc>
        <w:tc>
          <w:tcPr>
            <w:tcW w:w="1134" w:type="dxa"/>
            <w:tcBorders>
              <w:top w:val="single" w:sz="4" w:space="0" w:color="auto"/>
              <w:left w:val="single" w:sz="4" w:space="0" w:color="auto"/>
              <w:bottom w:val="single" w:sz="4" w:space="0" w:color="auto"/>
              <w:right w:val="single" w:sz="4" w:space="0" w:color="auto"/>
            </w:tcBorders>
            <w:shd w:val="clear" w:color="auto" w:fill="F3FFFF"/>
            <w:vAlign w:val="center"/>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155.441</w:t>
            </w:r>
          </w:p>
        </w:tc>
        <w:tc>
          <w:tcPr>
            <w:tcW w:w="1276" w:type="dxa"/>
            <w:tcBorders>
              <w:top w:val="single" w:sz="4" w:space="0" w:color="auto"/>
              <w:left w:val="single" w:sz="4" w:space="0" w:color="auto"/>
              <w:bottom w:val="single" w:sz="4" w:space="0" w:color="auto"/>
              <w:right w:val="single" w:sz="4" w:space="0" w:color="auto"/>
            </w:tcBorders>
            <w:shd w:val="clear" w:color="auto" w:fill="F3FFFF"/>
            <w:vAlign w:val="center"/>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201.791</w:t>
            </w:r>
          </w:p>
        </w:tc>
        <w:tc>
          <w:tcPr>
            <w:tcW w:w="1239"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both"/>
              <w:rPr>
                <w:rFonts w:ascii="Arial" w:hAnsi="Arial" w:cs="Arial"/>
                <w:sz w:val="24"/>
                <w:szCs w:val="24"/>
              </w:rPr>
            </w:pPr>
            <w:r w:rsidRPr="007652A5">
              <w:rPr>
                <w:rFonts w:ascii="Arial" w:hAnsi="Arial" w:cs="Arial"/>
                <w:sz w:val="24"/>
                <w:szCs w:val="24"/>
              </w:rPr>
              <w:t>142.799</w:t>
            </w:r>
          </w:p>
        </w:tc>
      </w:tr>
    </w:tbl>
    <w:p w:rsidR="00E00628" w:rsidRPr="007652A5" w:rsidRDefault="00E00628" w:rsidP="00C625DB">
      <w:pPr>
        <w:spacing w:after="0" w:line="240" w:lineRule="auto"/>
        <w:jc w:val="both"/>
        <w:rPr>
          <w:rFonts w:ascii="Arial" w:hAnsi="Arial" w:cs="Arial"/>
          <w:bCs/>
          <w:sz w:val="24"/>
          <w:szCs w:val="24"/>
        </w:rPr>
      </w:pPr>
      <w:r w:rsidRPr="007652A5">
        <w:rPr>
          <w:rFonts w:ascii="Arial" w:hAnsi="Arial" w:cs="Arial"/>
          <w:bCs/>
          <w:sz w:val="24"/>
          <w:szCs w:val="24"/>
        </w:rPr>
        <w:t xml:space="preserve">   </w:t>
      </w:r>
    </w:p>
    <w:p w:rsidR="00A20DD3" w:rsidRPr="007652A5" w:rsidRDefault="00A20DD3" w:rsidP="00C625DB">
      <w:pPr>
        <w:pStyle w:val="BodyTextIndent2BodyTextIndent2Char"/>
        <w:ind w:left="0" w:firstLine="426"/>
        <w:jc w:val="center"/>
        <w:rPr>
          <w:rFonts w:ascii="Arial" w:hAnsi="Arial" w:cs="Arial"/>
          <w:sz w:val="24"/>
          <w:szCs w:val="24"/>
        </w:rPr>
      </w:pPr>
      <w:r w:rsidRPr="007652A5">
        <w:rPr>
          <w:rFonts w:ascii="Arial" w:hAnsi="Arial" w:cs="Arial"/>
          <w:noProof/>
          <w:sz w:val="24"/>
          <w:szCs w:val="24"/>
          <w:lang w:eastAsia="ro-RO"/>
        </w:rPr>
        <w:drawing>
          <wp:inline distT="0" distB="0" distL="0" distR="0">
            <wp:extent cx="4838700" cy="2333625"/>
            <wp:effectExtent l="19050" t="0" r="19050" b="0"/>
            <wp:docPr id="4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20DD3" w:rsidRPr="007652A5" w:rsidRDefault="003D04DD" w:rsidP="00C625DB">
      <w:pPr>
        <w:pStyle w:val="BodyTextIndent2BodyTextIndent2Char"/>
        <w:ind w:left="0"/>
        <w:jc w:val="center"/>
        <w:rPr>
          <w:rFonts w:ascii="Arial" w:hAnsi="Arial" w:cs="Arial"/>
          <w:b/>
          <w:sz w:val="24"/>
          <w:szCs w:val="24"/>
        </w:rPr>
      </w:pPr>
      <w:r w:rsidRPr="007652A5">
        <w:rPr>
          <w:rFonts w:ascii="Arial" w:hAnsi="Arial" w:cs="Arial"/>
          <w:sz w:val="24"/>
          <w:szCs w:val="24"/>
        </w:rPr>
        <w:fldChar w:fldCharType="begin" w:fldLock="1"/>
      </w:r>
      <w:r w:rsidR="00A20DD3" w:rsidRPr="007652A5">
        <w:rPr>
          <w:rFonts w:ascii="Arial" w:hAnsi="Arial" w:cs="Arial"/>
          <w:sz w:val="24"/>
          <w:szCs w:val="24"/>
        </w:rPr>
        <w:instrText xml:space="preserve">ref  SHAPE  \* MERGEFORMAT </w:instrText>
      </w:r>
      <w:r w:rsidRPr="007652A5">
        <w:rPr>
          <w:rFonts w:ascii="Arial" w:hAnsi="Arial" w:cs="Arial"/>
          <w:sz w:val="24"/>
          <w:szCs w:val="24"/>
        </w:rPr>
        <w:fldChar w:fldCharType="end"/>
      </w:r>
    </w:p>
    <w:p w:rsidR="00A20DD3" w:rsidRPr="007652A5" w:rsidRDefault="00A20DD3" w:rsidP="00C625DB">
      <w:pPr>
        <w:pStyle w:val="BodyTextIndent2BodyTextIndent2Char"/>
        <w:ind w:left="0" w:firstLine="737"/>
        <w:rPr>
          <w:rFonts w:ascii="Arial" w:hAnsi="Arial" w:cs="Arial"/>
          <w:sz w:val="24"/>
          <w:szCs w:val="24"/>
        </w:rPr>
      </w:pPr>
    </w:p>
    <w:p w:rsidR="00202088" w:rsidRPr="00202088" w:rsidRDefault="00202088" w:rsidP="00202088">
      <w:pPr>
        <w:spacing w:after="0" w:line="240" w:lineRule="auto"/>
        <w:jc w:val="both"/>
        <w:rPr>
          <w:rFonts w:ascii="Arial" w:hAnsi="Arial" w:cs="Arial"/>
          <w:bCs/>
          <w:sz w:val="24"/>
          <w:szCs w:val="24"/>
        </w:rPr>
      </w:pPr>
      <w:r>
        <w:rPr>
          <w:rFonts w:ascii="Arial" w:hAnsi="Arial" w:cs="Arial"/>
          <w:bCs/>
          <w:sz w:val="24"/>
          <w:szCs w:val="24"/>
        </w:rPr>
        <w:t xml:space="preserve">                       </w:t>
      </w:r>
      <w:r w:rsidRPr="00202088">
        <w:rPr>
          <w:rFonts w:ascii="Arial" w:hAnsi="Arial" w:cs="Arial"/>
          <w:bCs/>
          <w:sz w:val="24"/>
          <w:szCs w:val="24"/>
        </w:rPr>
        <w:t xml:space="preserve">Fig. III .3.3. -1 Evoluţia suprafeţelor irigate în perioada 2012- 2016 </w:t>
      </w:r>
    </w:p>
    <w:p w:rsidR="00202088" w:rsidRPr="007652A5" w:rsidRDefault="00202088" w:rsidP="00202088">
      <w:pPr>
        <w:pStyle w:val="BodyTextIndent2BodyTextIndent2Char"/>
        <w:ind w:left="0"/>
        <w:rPr>
          <w:rFonts w:ascii="Arial" w:hAnsi="Arial" w:cs="Arial"/>
          <w:b/>
          <w:sz w:val="24"/>
          <w:szCs w:val="24"/>
        </w:rPr>
      </w:pPr>
    </w:p>
    <w:p w:rsidR="00A20DD3"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 xml:space="preserve">Din evoluţia suprafeţelor irigate prezentate mai sus se observă scăderea acestora în anii </w:t>
      </w:r>
      <w:r w:rsidR="00A20DD3" w:rsidRPr="007652A5">
        <w:rPr>
          <w:rFonts w:ascii="Arial" w:hAnsi="Arial" w:cs="Arial"/>
          <w:sz w:val="24"/>
          <w:szCs w:val="24"/>
        </w:rPr>
        <w:t>2012-2016 cu excepția anului 2015. Volumele de apă consumate pentru irigaţii au fost mai mari în anii 2013 și 2015, în restul perioadei există o tendință de scădere.</w:t>
      </w:r>
    </w:p>
    <w:p w:rsidR="00E00628" w:rsidRPr="007652A5" w:rsidRDefault="00E00628" w:rsidP="00C625DB">
      <w:pPr>
        <w:pStyle w:val="BodyText"/>
        <w:spacing w:after="0" w:line="240" w:lineRule="auto"/>
        <w:jc w:val="both"/>
        <w:rPr>
          <w:rFonts w:ascii="Arial" w:eastAsia="SimSun" w:hAnsi="Arial" w:cs="Arial"/>
          <w:sz w:val="24"/>
          <w:szCs w:val="24"/>
          <w:lang w:val="ro-RO"/>
        </w:rPr>
      </w:pPr>
      <w:r w:rsidRPr="007652A5">
        <w:rPr>
          <w:rFonts w:ascii="Arial" w:hAnsi="Arial" w:cs="Arial"/>
          <w:sz w:val="24"/>
          <w:szCs w:val="24"/>
          <w:lang w:val="ro-RO"/>
        </w:rPr>
        <w:t xml:space="preserve">                           </w:t>
      </w:r>
    </w:p>
    <w:p w:rsidR="00A20DD3" w:rsidRPr="00202088" w:rsidRDefault="00A20DD3" w:rsidP="00C625DB">
      <w:pPr>
        <w:pStyle w:val="BodyText"/>
        <w:spacing w:after="0" w:line="240" w:lineRule="auto"/>
        <w:jc w:val="both"/>
        <w:rPr>
          <w:rFonts w:ascii="Arial" w:hAnsi="Arial" w:cs="Arial"/>
          <w:sz w:val="24"/>
          <w:szCs w:val="24"/>
          <w:lang w:val="ro-RO"/>
        </w:rPr>
      </w:pPr>
      <w:r w:rsidRPr="007652A5">
        <w:rPr>
          <w:rFonts w:ascii="Arial" w:hAnsi="Arial" w:cs="Arial"/>
          <w:b/>
          <w:sz w:val="24"/>
          <w:szCs w:val="24"/>
          <w:lang w:val="ro-RO"/>
        </w:rPr>
        <w:t xml:space="preserve">     </w:t>
      </w:r>
      <w:r w:rsidRPr="00202088">
        <w:rPr>
          <w:rFonts w:ascii="Arial" w:hAnsi="Arial" w:cs="Arial"/>
          <w:sz w:val="24"/>
          <w:szCs w:val="24"/>
          <w:lang w:val="ro-RO"/>
        </w:rPr>
        <w:t xml:space="preserve">Tabel III.3.3-2 Situaţia suprafeţelor amenajate cu lucrări de îmbunătăţiri funciare                                                                                               </w:t>
      </w:r>
    </w:p>
    <w:tbl>
      <w:tblPr>
        <w:tblW w:w="9604"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9"/>
        <w:gridCol w:w="2260"/>
        <w:gridCol w:w="1680"/>
        <w:gridCol w:w="1079"/>
        <w:gridCol w:w="1079"/>
        <w:gridCol w:w="1079"/>
        <w:gridCol w:w="923"/>
        <w:gridCol w:w="815"/>
      </w:tblGrid>
      <w:tr w:rsidR="00A20DD3" w:rsidRPr="007652A5" w:rsidTr="00A20DD3">
        <w:trPr>
          <w:trHeight w:val="441"/>
          <w:jc w:val="center"/>
        </w:trPr>
        <w:tc>
          <w:tcPr>
            <w:tcW w:w="6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Nr.</w:t>
            </w:r>
          </w:p>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crt.</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Denumirea</w:t>
            </w:r>
          </w:p>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filială</w:t>
            </w:r>
          </w:p>
          <w:p w:rsidR="00A20DD3" w:rsidRPr="007652A5" w:rsidRDefault="00A20DD3" w:rsidP="00C625DB">
            <w:pPr>
              <w:spacing w:after="0" w:line="240" w:lineRule="auto"/>
              <w:jc w:val="center"/>
              <w:rPr>
                <w:rFonts w:ascii="Arial" w:hAnsi="Arial" w:cs="Arial"/>
                <w:b/>
                <w:sz w:val="24"/>
                <w:szCs w:val="24"/>
              </w:rPr>
            </w:pPr>
          </w:p>
        </w:tc>
        <w:tc>
          <w:tcPr>
            <w:tcW w:w="6644"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A20DD3" w:rsidRPr="007652A5" w:rsidRDefault="00A20DD3" w:rsidP="00C625DB">
            <w:pPr>
              <w:spacing w:after="0" w:line="240" w:lineRule="auto"/>
              <w:jc w:val="center"/>
              <w:rPr>
                <w:rFonts w:ascii="Arial" w:hAnsi="Arial" w:cs="Arial"/>
                <w:b/>
                <w:sz w:val="24"/>
                <w:szCs w:val="24"/>
                <w:u w:val="single"/>
              </w:rPr>
            </w:pPr>
            <w:r w:rsidRPr="007652A5">
              <w:rPr>
                <w:rFonts w:ascii="Arial" w:hAnsi="Arial" w:cs="Arial"/>
                <w:b/>
                <w:sz w:val="24"/>
                <w:szCs w:val="24"/>
              </w:rPr>
              <w:t>Suprafaţa amenajată la 31.12.2016</w:t>
            </w:r>
          </w:p>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(ha)</w:t>
            </w:r>
          </w:p>
        </w:tc>
      </w:tr>
      <w:tr w:rsidR="00A20DD3" w:rsidRPr="007652A5" w:rsidTr="00A20DD3">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0DD3" w:rsidRPr="007652A5" w:rsidRDefault="00A20DD3" w:rsidP="00C625DB">
            <w:pPr>
              <w:spacing w:after="0" w:line="240" w:lineRule="auto"/>
              <w:rPr>
                <w:rFonts w:ascii="Arial" w:hAnsi="Arial" w:cs="Arial"/>
                <w:b/>
                <w:sz w:val="24"/>
                <w:szCs w:val="24"/>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A20DD3" w:rsidRPr="007652A5" w:rsidRDefault="00A20DD3" w:rsidP="00C625DB">
            <w:pPr>
              <w:spacing w:after="0" w:line="240" w:lineRule="auto"/>
              <w:rPr>
                <w:rFonts w:ascii="Arial" w:hAnsi="Arial" w:cs="Arial"/>
                <w:b/>
                <w:sz w:val="24"/>
                <w:szCs w:val="24"/>
              </w:rPr>
            </w:pPr>
          </w:p>
        </w:tc>
        <w:tc>
          <w:tcPr>
            <w:tcW w:w="276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Irigaţii</w:t>
            </w:r>
          </w:p>
        </w:tc>
        <w:tc>
          <w:tcPr>
            <w:tcW w:w="21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Desecare</w:t>
            </w:r>
          </w:p>
        </w:tc>
        <w:tc>
          <w:tcPr>
            <w:tcW w:w="171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C.E.S.</w:t>
            </w:r>
          </w:p>
        </w:tc>
      </w:tr>
      <w:tr w:rsidR="00A20DD3" w:rsidRPr="007652A5" w:rsidTr="00A20DD3">
        <w:trPr>
          <w:trHeight w:val="1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0DD3" w:rsidRPr="007652A5" w:rsidRDefault="00A20DD3" w:rsidP="00C625DB">
            <w:pPr>
              <w:spacing w:after="0" w:line="240" w:lineRule="auto"/>
              <w:rPr>
                <w:rFonts w:ascii="Arial" w:hAnsi="Arial" w:cs="Arial"/>
                <w:b/>
                <w:sz w:val="24"/>
                <w:szCs w:val="24"/>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A20DD3" w:rsidRPr="007652A5" w:rsidRDefault="00A20DD3" w:rsidP="00C625DB">
            <w:pPr>
              <w:spacing w:after="0" w:line="240" w:lineRule="auto"/>
              <w:rPr>
                <w:rFonts w:ascii="Arial" w:hAnsi="Arial" w:cs="Arial"/>
                <w:b/>
                <w:sz w:val="24"/>
                <w:szCs w:val="24"/>
              </w:rPr>
            </w:pP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7C1699" w:rsidP="00C625DB">
            <w:pPr>
              <w:spacing w:after="0" w:line="240" w:lineRule="auto"/>
              <w:jc w:val="center"/>
              <w:rPr>
                <w:rFonts w:ascii="Arial" w:hAnsi="Arial" w:cs="Arial"/>
                <w:b/>
                <w:sz w:val="24"/>
                <w:szCs w:val="24"/>
              </w:rPr>
            </w:pPr>
            <w:r>
              <w:rPr>
                <w:rFonts w:ascii="Arial" w:hAnsi="Arial" w:cs="Arial"/>
                <w:b/>
                <w:sz w:val="24"/>
                <w:szCs w:val="24"/>
              </w:rPr>
              <w:t>BR</w:t>
            </w:r>
            <w:r w:rsidR="00A20DD3" w:rsidRPr="007652A5">
              <w:rPr>
                <w:rFonts w:ascii="Arial" w:hAnsi="Arial" w:cs="Arial"/>
                <w:b/>
                <w:sz w:val="24"/>
                <w:szCs w:val="24"/>
              </w:rPr>
              <w:t>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Netă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7C1699" w:rsidP="00C625DB">
            <w:pPr>
              <w:spacing w:after="0" w:line="240" w:lineRule="auto"/>
              <w:jc w:val="center"/>
              <w:rPr>
                <w:rFonts w:ascii="Arial" w:hAnsi="Arial" w:cs="Arial"/>
                <w:b/>
                <w:sz w:val="24"/>
                <w:szCs w:val="24"/>
              </w:rPr>
            </w:pPr>
            <w:r>
              <w:rPr>
                <w:rFonts w:ascii="Arial" w:hAnsi="Arial" w:cs="Arial"/>
                <w:b/>
                <w:sz w:val="24"/>
                <w:szCs w:val="24"/>
              </w:rPr>
              <w:t>BR</w:t>
            </w:r>
            <w:r w:rsidR="00A20DD3" w:rsidRPr="007652A5">
              <w:rPr>
                <w:rFonts w:ascii="Arial" w:hAnsi="Arial" w:cs="Arial"/>
                <w:b/>
                <w:sz w:val="24"/>
                <w:szCs w:val="24"/>
              </w:rPr>
              <w:t>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Netă</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7C1699" w:rsidP="00C625DB">
            <w:pPr>
              <w:spacing w:after="0" w:line="240" w:lineRule="auto"/>
              <w:jc w:val="center"/>
              <w:rPr>
                <w:rFonts w:ascii="Arial" w:hAnsi="Arial" w:cs="Arial"/>
                <w:b/>
                <w:sz w:val="24"/>
                <w:szCs w:val="24"/>
              </w:rPr>
            </w:pPr>
            <w:r>
              <w:rPr>
                <w:rFonts w:ascii="Arial" w:hAnsi="Arial" w:cs="Arial"/>
                <w:b/>
                <w:sz w:val="24"/>
                <w:szCs w:val="24"/>
              </w:rPr>
              <w:t>BR</w:t>
            </w:r>
            <w:r w:rsidR="00A20DD3" w:rsidRPr="007652A5">
              <w:rPr>
                <w:rFonts w:ascii="Arial" w:hAnsi="Arial" w:cs="Arial"/>
                <w:b/>
                <w:sz w:val="24"/>
                <w:szCs w:val="24"/>
              </w:rPr>
              <w:t>ută</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center"/>
              <w:rPr>
                <w:rFonts w:ascii="Arial" w:hAnsi="Arial" w:cs="Arial"/>
                <w:b/>
                <w:sz w:val="24"/>
                <w:szCs w:val="24"/>
              </w:rPr>
            </w:pPr>
            <w:r w:rsidRPr="007652A5">
              <w:rPr>
                <w:rFonts w:ascii="Arial" w:hAnsi="Arial" w:cs="Arial"/>
                <w:b/>
                <w:sz w:val="24"/>
                <w:szCs w:val="24"/>
              </w:rPr>
              <w:t>Netă</w:t>
            </w:r>
          </w:p>
        </w:tc>
      </w:tr>
      <w:tr w:rsidR="00A20DD3" w:rsidRPr="007652A5" w:rsidTr="00A20DD3">
        <w:trPr>
          <w:trHeight w:val="64"/>
          <w:jc w:val="center"/>
        </w:trPr>
        <w:tc>
          <w:tcPr>
            <w:tcW w:w="69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tabs>
                <w:tab w:val="left" w:pos="360"/>
                <w:tab w:val="center" w:pos="1676"/>
              </w:tabs>
              <w:spacing w:after="0" w:line="240" w:lineRule="auto"/>
              <w:jc w:val="center"/>
              <w:rPr>
                <w:rFonts w:ascii="Arial" w:hAnsi="Arial" w:cs="Arial"/>
                <w:sz w:val="24"/>
                <w:szCs w:val="24"/>
              </w:rPr>
            </w:pPr>
            <w:r w:rsidRPr="007652A5">
              <w:rPr>
                <w:rFonts w:ascii="Arial" w:hAnsi="Arial" w:cs="Arial"/>
                <w:sz w:val="24"/>
                <w:szCs w:val="24"/>
              </w:rPr>
              <w:t>1</w:t>
            </w:r>
          </w:p>
        </w:tc>
        <w:tc>
          <w:tcPr>
            <w:tcW w:w="227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tabs>
                <w:tab w:val="left" w:pos="360"/>
                <w:tab w:val="center" w:pos="1676"/>
              </w:tabs>
              <w:spacing w:after="0" w:line="240" w:lineRule="auto"/>
              <w:jc w:val="center"/>
              <w:rPr>
                <w:rFonts w:ascii="Arial" w:hAnsi="Arial" w:cs="Arial"/>
                <w:sz w:val="24"/>
                <w:szCs w:val="24"/>
                <w:u w:val="single"/>
              </w:rPr>
            </w:pPr>
            <w:r w:rsidRPr="007652A5">
              <w:rPr>
                <w:rFonts w:ascii="Arial" w:hAnsi="Arial" w:cs="Arial"/>
                <w:sz w:val="24"/>
                <w:szCs w:val="24"/>
              </w:rPr>
              <w:t xml:space="preserve">Filiala judeţeană </w:t>
            </w:r>
            <w:r w:rsidR="00217620">
              <w:rPr>
                <w:rFonts w:ascii="Arial" w:hAnsi="Arial" w:cs="Arial"/>
                <w:sz w:val="24"/>
                <w:szCs w:val="24"/>
              </w:rPr>
              <w:t>Brăila</w:t>
            </w: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387960</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367910</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268100</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247914</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0</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A20DD3" w:rsidRPr="007652A5" w:rsidRDefault="00A20DD3" w:rsidP="00C625DB">
            <w:pPr>
              <w:spacing w:after="0" w:line="240" w:lineRule="auto"/>
              <w:jc w:val="center"/>
              <w:rPr>
                <w:rFonts w:ascii="Arial" w:hAnsi="Arial" w:cs="Arial"/>
                <w:sz w:val="24"/>
                <w:szCs w:val="24"/>
              </w:rPr>
            </w:pPr>
            <w:r w:rsidRPr="007652A5">
              <w:rPr>
                <w:rFonts w:ascii="Arial" w:hAnsi="Arial" w:cs="Arial"/>
                <w:sz w:val="24"/>
                <w:szCs w:val="24"/>
              </w:rPr>
              <w:t>0</w:t>
            </w:r>
          </w:p>
        </w:tc>
      </w:tr>
    </w:tbl>
    <w:p w:rsidR="00E00628" w:rsidRPr="007652A5" w:rsidRDefault="00202088" w:rsidP="00C625DB">
      <w:pPr>
        <w:spacing w:after="0" w:line="240" w:lineRule="auto"/>
        <w:jc w:val="both"/>
        <w:rPr>
          <w:rFonts w:ascii="Arial" w:hAnsi="Arial" w:cs="Arial"/>
          <w:sz w:val="24"/>
          <w:szCs w:val="24"/>
        </w:rPr>
      </w:pPr>
      <w:r>
        <w:rPr>
          <w:rFonts w:ascii="Arial" w:hAnsi="Arial" w:cs="Arial"/>
          <w:i/>
          <w:sz w:val="24"/>
          <w:szCs w:val="24"/>
        </w:rPr>
        <w:t xml:space="preserve">     </w:t>
      </w:r>
      <w:r w:rsidR="00E00628" w:rsidRPr="007652A5">
        <w:rPr>
          <w:rFonts w:ascii="Arial" w:hAnsi="Arial" w:cs="Arial"/>
          <w:i/>
          <w:sz w:val="24"/>
          <w:szCs w:val="24"/>
        </w:rPr>
        <w:t xml:space="preserve">NOTA: </w:t>
      </w:r>
      <w:r w:rsidR="00E00628" w:rsidRPr="007652A5">
        <w:rPr>
          <w:rFonts w:ascii="Arial" w:hAnsi="Arial" w:cs="Arial"/>
          <w:sz w:val="24"/>
          <w:szCs w:val="24"/>
        </w:rPr>
        <w:t xml:space="preserve">     C.E.S.= combaterea eroziunii solului   </w:t>
      </w:r>
    </w:p>
    <w:p w:rsidR="00A20DD3" w:rsidRPr="007652A5" w:rsidRDefault="00A20DD3" w:rsidP="00C625DB">
      <w:pPr>
        <w:spacing w:after="0" w:line="240" w:lineRule="auto"/>
        <w:jc w:val="both"/>
        <w:rPr>
          <w:rFonts w:ascii="Arial" w:eastAsia="Times New Roman" w:hAnsi="Arial" w:cs="Arial"/>
          <w:b/>
          <w:sz w:val="24"/>
          <w:szCs w:val="24"/>
          <w:lang w:val="it-IT"/>
        </w:rPr>
      </w:pPr>
    </w:p>
    <w:p w:rsidR="00202088" w:rsidRDefault="00202088" w:rsidP="00C625DB">
      <w:pPr>
        <w:spacing w:after="0" w:line="240" w:lineRule="auto"/>
        <w:jc w:val="both"/>
        <w:rPr>
          <w:rFonts w:ascii="Arial" w:eastAsia="Times New Roman" w:hAnsi="Arial" w:cs="Arial"/>
          <w:b/>
          <w:sz w:val="24"/>
          <w:szCs w:val="24"/>
          <w:lang w:val="it-IT"/>
        </w:rPr>
      </w:pPr>
    </w:p>
    <w:p w:rsidR="00E00628" w:rsidRPr="007652A5" w:rsidRDefault="00E00628" w:rsidP="00C625DB">
      <w:pPr>
        <w:spacing w:after="0" w:line="240" w:lineRule="auto"/>
        <w:jc w:val="both"/>
        <w:rPr>
          <w:rFonts w:ascii="Arial" w:eastAsia="Times New Roman" w:hAnsi="Arial" w:cs="Arial"/>
          <w:b/>
          <w:sz w:val="24"/>
          <w:szCs w:val="24"/>
          <w:lang w:val="it-IT"/>
        </w:rPr>
      </w:pPr>
      <w:r w:rsidRPr="007652A5">
        <w:rPr>
          <w:rFonts w:ascii="Arial" w:eastAsia="Times New Roman" w:hAnsi="Arial" w:cs="Arial"/>
          <w:b/>
          <w:sz w:val="24"/>
          <w:szCs w:val="24"/>
          <w:lang w:val="it-IT"/>
        </w:rPr>
        <w:t>III.4 Prognoze și acțiuni întreprinse pentru ameliorarea stării de calitate a solurilor</w:t>
      </w:r>
    </w:p>
    <w:p w:rsidR="00E00628" w:rsidRPr="007652A5" w:rsidRDefault="00E00628" w:rsidP="00C625DB">
      <w:pPr>
        <w:spacing w:after="0" w:line="240" w:lineRule="auto"/>
        <w:jc w:val="both"/>
        <w:rPr>
          <w:rFonts w:ascii="Arial" w:hAnsi="Arial" w:cs="Arial"/>
          <w:b/>
          <w:sz w:val="24"/>
          <w:szCs w:val="24"/>
          <w:lang w:val="it-IT"/>
        </w:rPr>
      </w:pPr>
      <w:r w:rsidRPr="007652A5">
        <w:rPr>
          <w:rFonts w:ascii="Arial" w:hAnsi="Arial" w:cs="Arial"/>
          <w:b/>
          <w:sz w:val="24"/>
          <w:szCs w:val="24"/>
          <w:lang w:val="it-IT"/>
        </w:rPr>
        <w:t>Inventarul siturilor contaminate</w:t>
      </w:r>
    </w:p>
    <w:p w:rsidR="00AE3406" w:rsidRPr="007652A5" w:rsidRDefault="00AE3406" w:rsidP="00C625DB">
      <w:pPr>
        <w:spacing w:after="0" w:line="240" w:lineRule="auto"/>
        <w:jc w:val="both"/>
        <w:rPr>
          <w:rFonts w:ascii="Arial" w:hAnsi="Arial" w:cs="Arial"/>
          <w:b/>
          <w:sz w:val="24"/>
          <w:szCs w:val="24"/>
          <w:lang w:val="it-IT"/>
        </w:rPr>
      </w:pPr>
    </w:p>
    <w:p w:rsidR="00E00628"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 xml:space="preserve">În cursul anului 2008 au fost realizate acţiuni în scopul identificării preliminare a siturilor contaminate. Conform HG 1408/2007 privind modalităţile de investigare şi evaluare a poluării solului şi subsolului, Agenţia pentru Protecţia Mediului </w:t>
      </w:r>
      <w:r w:rsidR="00217620">
        <w:rPr>
          <w:rFonts w:ascii="Arial" w:hAnsi="Arial" w:cs="Arial"/>
          <w:sz w:val="24"/>
          <w:szCs w:val="24"/>
        </w:rPr>
        <w:t>Brăila</w:t>
      </w:r>
      <w:r w:rsidRPr="007652A5">
        <w:rPr>
          <w:rFonts w:ascii="Arial" w:hAnsi="Arial" w:cs="Arial"/>
          <w:sz w:val="24"/>
          <w:szCs w:val="24"/>
        </w:rPr>
        <w:t xml:space="preserve"> a transmis chestionare unui număr de 54 de operatori economici şi 44 primării. Chestionarele primite (48 de la operatorii economici şi 43 de la primăriile care au răspuns solicitărilor) au fost verificate, completate şi transmise Agenţiei Regionale pentru Protecţia Mediului.</w:t>
      </w:r>
    </w:p>
    <w:p w:rsidR="00E00628"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 xml:space="preserve">Pentru a inventaria siturile contaminate a fost creată o bază de date „on-line”, CoSIS 2.0, accesibilă pe site-ul Agenţiei Naţionale pentru Protecţia Mediului, secţiunea „Inventar Naţional, situri contaminate – faza pilot”, în care agenţiile teritoriale au completat datele </w:t>
      </w:r>
      <w:r w:rsidRPr="007652A5">
        <w:rPr>
          <w:rFonts w:ascii="Arial" w:hAnsi="Arial" w:cs="Arial"/>
          <w:sz w:val="24"/>
          <w:szCs w:val="24"/>
        </w:rPr>
        <w:lastRenderedPageBreak/>
        <w:t xml:space="preserve">privind siturile potenţial contaminate. În urma analizării şi evaluării informaţiilor deţinute de APM </w:t>
      </w:r>
      <w:r w:rsidR="00217620">
        <w:rPr>
          <w:rFonts w:ascii="Arial" w:hAnsi="Arial" w:cs="Arial"/>
          <w:sz w:val="24"/>
          <w:szCs w:val="24"/>
        </w:rPr>
        <w:t>Brăila</w:t>
      </w:r>
      <w:r w:rsidRPr="007652A5">
        <w:rPr>
          <w:rFonts w:ascii="Arial" w:hAnsi="Arial" w:cs="Arial"/>
          <w:sz w:val="24"/>
          <w:szCs w:val="24"/>
        </w:rPr>
        <w:t xml:space="preserve"> au fost introduse date cu privire la 26 amplasamente posibil contaminate. </w:t>
      </w:r>
    </w:p>
    <w:p w:rsidR="00E00628"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 xml:space="preserve">În cursul anului 2009, în scopul identificării preliminare a siturilor potenţial contaminate (zone definite geografic, delimitate în suprafaţă şi adâncime, poluate cu substanţe biologice sau chimice) au fost analizate şi evaluate informaţiile deţinute şi au fost introduse completări în baza de date „on-line”. Conform  Planului de implementare a HG nr. 1408/2007 au fost întocmite şi transmise către ARPM Galaţi propunerile APM </w:t>
      </w:r>
      <w:r w:rsidR="00217620">
        <w:rPr>
          <w:rFonts w:ascii="Arial" w:hAnsi="Arial" w:cs="Arial"/>
          <w:sz w:val="24"/>
          <w:szCs w:val="24"/>
        </w:rPr>
        <w:t>Brăila</w:t>
      </w:r>
      <w:r w:rsidRPr="007652A5">
        <w:rPr>
          <w:rFonts w:ascii="Arial" w:hAnsi="Arial" w:cs="Arial"/>
          <w:sz w:val="24"/>
          <w:szCs w:val="24"/>
        </w:rPr>
        <w:t xml:space="preserve"> privind lista siturilor contaminate şi lista siturilor potenţial contaminate din judeţul </w:t>
      </w:r>
      <w:r w:rsidR="00217620">
        <w:rPr>
          <w:rFonts w:ascii="Arial" w:hAnsi="Arial" w:cs="Arial"/>
          <w:sz w:val="24"/>
          <w:szCs w:val="24"/>
        </w:rPr>
        <w:t>Brăila</w:t>
      </w:r>
      <w:r w:rsidRPr="007652A5">
        <w:rPr>
          <w:rFonts w:ascii="Arial" w:hAnsi="Arial" w:cs="Arial"/>
          <w:sz w:val="24"/>
          <w:szCs w:val="24"/>
        </w:rPr>
        <w:t xml:space="preserve">; cele două liste conţin 21 situri contaminate/potenţial contaminate.  </w:t>
      </w:r>
    </w:p>
    <w:p w:rsidR="00E00628"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În luna august 2015 Guvernul României a aprobat, prin Hotărârea de Guvern nr. 683/2015, Strategia Națională și Planul Național de Acțiune pentru gestionarea Siturilor Contaminate din România, document ce stabilește necesarul de investiţii şi priorităţile de finanţare pentru sectorul situri contaminate aferente perioadei de finanţare 2014-2020.</w:t>
      </w:r>
    </w:p>
    <w:p w:rsidR="00AE3406" w:rsidRPr="007652A5" w:rsidRDefault="00AE3406" w:rsidP="00C625DB">
      <w:pPr>
        <w:autoSpaceDE w:val="0"/>
        <w:autoSpaceDN w:val="0"/>
        <w:adjustRightInd w:val="0"/>
        <w:spacing w:after="0" w:line="240" w:lineRule="auto"/>
        <w:ind w:firstLine="708"/>
        <w:jc w:val="both"/>
        <w:rPr>
          <w:rFonts w:ascii="Arial" w:hAnsi="Arial" w:cs="Arial"/>
          <w:sz w:val="24"/>
          <w:szCs w:val="24"/>
          <w:lang w:val="it-IT"/>
        </w:rPr>
      </w:pPr>
    </w:p>
    <w:p w:rsidR="00E00628" w:rsidRPr="007652A5" w:rsidRDefault="00E00628" w:rsidP="00C625DB">
      <w:pPr>
        <w:pStyle w:val="Footer"/>
        <w:jc w:val="both"/>
        <w:rPr>
          <w:rFonts w:ascii="Arial" w:eastAsia="SimSun" w:hAnsi="Arial" w:cs="Arial"/>
          <w:b/>
          <w:sz w:val="24"/>
          <w:szCs w:val="24"/>
          <w:lang w:val="it-IT"/>
        </w:rPr>
      </w:pPr>
      <w:r w:rsidRPr="007652A5">
        <w:rPr>
          <w:rFonts w:ascii="Arial" w:eastAsia="SimSun" w:hAnsi="Arial" w:cs="Arial"/>
          <w:b/>
          <w:sz w:val="24"/>
          <w:szCs w:val="24"/>
          <w:lang w:val="it-IT"/>
        </w:rPr>
        <w:t xml:space="preserve">Acţiuni întreprinse pentru remedierea terenurilor contaminate </w:t>
      </w:r>
    </w:p>
    <w:p w:rsidR="00E00628" w:rsidRPr="007652A5" w:rsidRDefault="00E00628" w:rsidP="00C625DB">
      <w:pPr>
        <w:spacing w:after="0" w:line="240" w:lineRule="auto"/>
        <w:ind w:firstLine="708"/>
        <w:jc w:val="both"/>
        <w:rPr>
          <w:rFonts w:ascii="Arial" w:hAnsi="Arial" w:cs="Arial"/>
          <w:sz w:val="24"/>
          <w:szCs w:val="24"/>
          <w:lang w:val="it-IT"/>
        </w:rPr>
      </w:pPr>
      <w:r w:rsidRPr="007652A5">
        <w:rPr>
          <w:rFonts w:ascii="Arial" w:hAnsi="Arial" w:cs="Arial"/>
          <w:sz w:val="24"/>
          <w:szCs w:val="24"/>
          <w:lang w:val="it-IT"/>
        </w:rPr>
        <w:t xml:space="preserve">Modalităţile de investigare şi evaluare a poluării solului şi subsolului se vor stabili potrivit HG 1408/2007 utilizând metode specifice geologice şi pedologice, în baza metodologiilor de investigare şi evaluare a poluării solului şi subsolului. </w:t>
      </w:r>
    </w:p>
    <w:p w:rsidR="00E00628" w:rsidRPr="007652A5" w:rsidRDefault="00E00628" w:rsidP="00C625DB">
      <w:pPr>
        <w:spacing w:after="0" w:line="240" w:lineRule="auto"/>
        <w:jc w:val="both"/>
        <w:rPr>
          <w:rFonts w:ascii="Arial" w:hAnsi="Arial" w:cs="Arial"/>
          <w:sz w:val="24"/>
          <w:szCs w:val="24"/>
          <w:lang w:val="it-IT"/>
        </w:rPr>
      </w:pPr>
      <w:r w:rsidRPr="007652A5">
        <w:rPr>
          <w:rFonts w:ascii="Arial" w:hAnsi="Arial" w:cs="Arial"/>
          <w:sz w:val="24"/>
          <w:szCs w:val="24"/>
          <w:lang w:val="it-IT"/>
        </w:rPr>
        <w:t xml:space="preserve">Investigarea, evaluarea şi refacerea siturilor contaminate se va realiza prin: </w:t>
      </w:r>
    </w:p>
    <w:p w:rsidR="00E00628" w:rsidRPr="007652A5" w:rsidRDefault="00AE3406" w:rsidP="00C625DB">
      <w:pPr>
        <w:spacing w:after="0" w:line="240" w:lineRule="auto"/>
        <w:jc w:val="both"/>
        <w:rPr>
          <w:rFonts w:ascii="Arial" w:hAnsi="Arial" w:cs="Arial"/>
          <w:sz w:val="24"/>
          <w:szCs w:val="24"/>
          <w:lang w:val="it-IT"/>
        </w:rPr>
      </w:pPr>
      <w:r w:rsidRPr="007652A5">
        <w:rPr>
          <w:rFonts w:ascii="Arial" w:hAnsi="Arial" w:cs="Arial"/>
          <w:sz w:val="24"/>
          <w:szCs w:val="24"/>
          <w:lang w:val="it-IT"/>
        </w:rPr>
        <w:t xml:space="preserve">   </w:t>
      </w:r>
      <w:r w:rsidR="00E00628" w:rsidRPr="007652A5">
        <w:rPr>
          <w:rFonts w:ascii="Arial" w:hAnsi="Arial" w:cs="Arial"/>
          <w:sz w:val="24"/>
          <w:szCs w:val="24"/>
          <w:lang w:val="it-IT"/>
        </w:rPr>
        <w:t>-</w:t>
      </w:r>
      <w:r w:rsidRPr="007652A5">
        <w:rPr>
          <w:rFonts w:ascii="Arial" w:hAnsi="Arial" w:cs="Arial"/>
          <w:sz w:val="24"/>
          <w:szCs w:val="24"/>
          <w:lang w:val="it-IT"/>
        </w:rPr>
        <w:t xml:space="preserve"> </w:t>
      </w:r>
      <w:r w:rsidR="00E00628" w:rsidRPr="007652A5">
        <w:rPr>
          <w:rFonts w:ascii="Arial" w:hAnsi="Arial" w:cs="Arial"/>
          <w:sz w:val="24"/>
          <w:szCs w:val="24"/>
          <w:lang w:val="it-IT"/>
        </w:rPr>
        <w:t>întocmirea inventarului de situri contaminate, bazat pe completarea chestionarelor;</w:t>
      </w:r>
    </w:p>
    <w:p w:rsidR="00E00628" w:rsidRPr="007652A5" w:rsidRDefault="00AE3406" w:rsidP="00C625DB">
      <w:pPr>
        <w:spacing w:after="0" w:line="240" w:lineRule="auto"/>
        <w:jc w:val="both"/>
        <w:rPr>
          <w:rFonts w:ascii="Arial" w:hAnsi="Arial" w:cs="Arial"/>
          <w:sz w:val="24"/>
          <w:szCs w:val="24"/>
          <w:lang w:val="it-IT"/>
        </w:rPr>
      </w:pPr>
      <w:r w:rsidRPr="007652A5">
        <w:rPr>
          <w:rFonts w:ascii="Arial" w:hAnsi="Arial" w:cs="Arial"/>
          <w:sz w:val="24"/>
          <w:szCs w:val="24"/>
          <w:lang w:val="it-IT"/>
        </w:rPr>
        <w:t xml:space="preserve">   </w:t>
      </w:r>
      <w:r w:rsidR="00E00628" w:rsidRPr="007652A5">
        <w:rPr>
          <w:rFonts w:ascii="Arial" w:hAnsi="Arial" w:cs="Arial"/>
          <w:sz w:val="24"/>
          <w:szCs w:val="24"/>
          <w:lang w:val="it-IT"/>
        </w:rPr>
        <w:t>-</w:t>
      </w:r>
      <w:r w:rsidRPr="007652A5">
        <w:rPr>
          <w:rFonts w:ascii="Arial" w:hAnsi="Arial" w:cs="Arial"/>
          <w:sz w:val="24"/>
          <w:szCs w:val="24"/>
          <w:lang w:val="it-IT"/>
        </w:rPr>
        <w:t xml:space="preserve"> </w:t>
      </w:r>
      <w:r w:rsidR="00E00628" w:rsidRPr="007652A5">
        <w:rPr>
          <w:rFonts w:ascii="Arial" w:hAnsi="Arial" w:cs="Arial"/>
          <w:sz w:val="24"/>
          <w:szCs w:val="24"/>
          <w:lang w:val="it-IT"/>
        </w:rPr>
        <w:t>stabilirea modalităţilor de investigare şi evaluare a poluării solului şi subsolului;</w:t>
      </w:r>
    </w:p>
    <w:p w:rsidR="00E00628" w:rsidRPr="007652A5" w:rsidRDefault="00AE3406" w:rsidP="00C625DB">
      <w:pPr>
        <w:spacing w:after="0" w:line="240" w:lineRule="auto"/>
        <w:jc w:val="both"/>
        <w:rPr>
          <w:rFonts w:ascii="Arial" w:hAnsi="Arial" w:cs="Arial"/>
          <w:sz w:val="24"/>
          <w:szCs w:val="24"/>
          <w:lang w:val="it-IT"/>
        </w:rPr>
      </w:pPr>
      <w:r w:rsidRPr="007652A5">
        <w:rPr>
          <w:rFonts w:ascii="Arial" w:hAnsi="Arial" w:cs="Arial"/>
          <w:sz w:val="24"/>
          <w:szCs w:val="24"/>
          <w:lang w:val="it-IT"/>
        </w:rPr>
        <w:t xml:space="preserve">  </w:t>
      </w:r>
      <w:r w:rsidR="00E00628" w:rsidRPr="007652A5">
        <w:rPr>
          <w:rFonts w:ascii="Arial" w:hAnsi="Arial" w:cs="Arial"/>
          <w:sz w:val="24"/>
          <w:szCs w:val="24"/>
          <w:lang w:val="it-IT"/>
        </w:rPr>
        <w:t>-</w:t>
      </w:r>
      <w:r w:rsidRPr="007652A5">
        <w:rPr>
          <w:rFonts w:ascii="Arial" w:hAnsi="Arial" w:cs="Arial"/>
          <w:sz w:val="24"/>
          <w:szCs w:val="24"/>
          <w:lang w:val="it-IT"/>
        </w:rPr>
        <w:t xml:space="preserve"> </w:t>
      </w:r>
      <w:r w:rsidR="00E00628" w:rsidRPr="007652A5">
        <w:rPr>
          <w:rFonts w:ascii="Arial" w:hAnsi="Arial" w:cs="Arial"/>
          <w:sz w:val="24"/>
          <w:szCs w:val="24"/>
          <w:lang w:val="it-IT"/>
        </w:rPr>
        <w:t xml:space="preserve">realizarea celor trei etape principale ale investigării şi evaluării poluării mediului geologic, </w:t>
      </w:r>
      <w:r w:rsidRPr="007652A5">
        <w:rPr>
          <w:rFonts w:ascii="Arial" w:hAnsi="Arial" w:cs="Arial"/>
          <w:sz w:val="24"/>
          <w:szCs w:val="24"/>
          <w:lang w:val="it-IT"/>
        </w:rPr>
        <w:t xml:space="preserve">  </w:t>
      </w:r>
      <w:r w:rsidR="00E00628" w:rsidRPr="007652A5">
        <w:rPr>
          <w:rFonts w:ascii="Arial" w:hAnsi="Arial" w:cs="Arial"/>
          <w:sz w:val="24"/>
          <w:szCs w:val="24"/>
          <w:lang w:val="it-IT"/>
        </w:rPr>
        <w:t xml:space="preserve">având ca finalitate identificarea şi caracterizarea siturilor contaminate: </w:t>
      </w:r>
    </w:p>
    <w:p w:rsidR="00E00628" w:rsidRPr="007652A5" w:rsidRDefault="00E00628" w:rsidP="00252ED3">
      <w:pPr>
        <w:pStyle w:val="ListParagraph"/>
        <w:numPr>
          <w:ilvl w:val="0"/>
          <w:numId w:val="44"/>
        </w:numPr>
        <w:jc w:val="both"/>
        <w:rPr>
          <w:rFonts w:ascii="Arial" w:hAnsi="Arial" w:cs="Arial"/>
          <w:lang w:val="it-IT"/>
        </w:rPr>
      </w:pPr>
      <w:r w:rsidRPr="007652A5">
        <w:rPr>
          <w:rFonts w:ascii="Arial" w:hAnsi="Arial" w:cs="Arial"/>
          <w:lang w:val="it-IT"/>
        </w:rPr>
        <w:t xml:space="preserve">analiza şi interpretarea datelor existente, </w:t>
      </w:r>
    </w:p>
    <w:p w:rsidR="00E00628" w:rsidRPr="007652A5" w:rsidRDefault="00E00628" w:rsidP="00252ED3">
      <w:pPr>
        <w:pStyle w:val="ListParagraph"/>
        <w:numPr>
          <w:ilvl w:val="0"/>
          <w:numId w:val="44"/>
        </w:numPr>
        <w:jc w:val="both"/>
        <w:rPr>
          <w:rFonts w:ascii="Arial" w:hAnsi="Arial" w:cs="Arial"/>
          <w:lang w:val="it-IT"/>
        </w:rPr>
      </w:pPr>
      <w:r w:rsidRPr="007652A5">
        <w:rPr>
          <w:rFonts w:ascii="Arial" w:hAnsi="Arial" w:cs="Arial"/>
          <w:lang w:val="it-IT"/>
        </w:rPr>
        <w:t xml:space="preserve">etapa de investigare şi evaluare preliminară (ale cărei rezultate sunt cuprinse în raportul geologic de evaluare şi investigare preliminară), </w:t>
      </w:r>
    </w:p>
    <w:p w:rsidR="00E00628" w:rsidRPr="007652A5" w:rsidRDefault="00E00628" w:rsidP="00252ED3">
      <w:pPr>
        <w:pStyle w:val="ListParagraph"/>
        <w:numPr>
          <w:ilvl w:val="0"/>
          <w:numId w:val="44"/>
        </w:numPr>
        <w:jc w:val="both"/>
        <w:rPr>
          <w:rFonts w:ascii="Arial" w:hAnsi="Arial" w:cs="Arial"/>
          <w:lang w:val="it-IT"/>
        </w:rPr>
      </w:pPr>
      <w:r w:rsidRPr="007652A5">
        <w:rPr>
          <w:rFonts w:ascii="Arial" w:hAnsi="Arial" w:cs="Arial"/>
          <w:lang w:val="it-IT"/>
        </w:rPr>
        <w:t>etapa de investigare şi evaluare detaliată (ale cărei rezultate sunt cuprinse în raportul geologic final de evaluare şi investigare).</w:t>
      </w:r>
    </w:p>
    <w:p w:rsidR="00E00628"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 xml:space="preserve">Au fost reglementate trei proiecte de decontaminare pentru depozitele OMV Petrom </w:t>
      </w:r>
      <w:r w:rsidR="00217620">
        <w:rPr>
          <w:rFonts w:ascii="Arial" w:hAnsi="Arial" w:cs="Arial"/>
          <w:sz w:val="24"/>
          <w:szCs w:val="24"/>
        </w:rPr>
        <w:t>Brăila</w:t>
      </w:r>
      <w:r w:rsidRPr="007652A5">
        <w:rPr>
          <w:rFonts w:ascii="Arial" w:hAnsi="Arial" w:cs="Arial"/>
          <w:sz w:val="24"/>
          <w:szCs w:val="24"/>
        </w:rPr>
        <w:t xml:space="preserve"> Oraş, Făurei şi Ianca. Primul este în derulare, se realizează monitorizarea lucrărilor de remediere a solului care se vor continua până la atingerea obiectivelor de remediere. Lucrările de decontaminare a apelor subterane nu au fost încă iniţiate urmând să se desfăşoare după obţinerea avizului privind gospodărirea apelor. </w:t>
      </w:r>
    </w:p>
    <w:p w:rsidR="00E00628"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La depozitul Făurei s-au recepționat lucrările de remediere, iar rapoartele de monitorizare analizate în cursul anilor 2014-2015 (perioada de monitorizare postremediere) au relevat încadrarea tuturor indicatorilor în limitele impuse prin actul de reglementare, ca urmare considerându-se a fi remediat.</w:t>
      </w:r>
    </w:p>
    <w:p w:rsidR="009B37FE" w:rsidRPr="007652A5" w:rsidRDefault="00E00628" w:rsidP="00C625DB">
      <w:pPr>
        <w:pStyle w:val="BodyTextIndent2BodyTextIndent2Char"/>
        <w:ind w:left="0" w:firstLine="708"/>
        <w:rPr>
          <w:rFonts w:ascii="Arial" w:hAnsi="Arial" w:cs="Arial"/>
          <w:sz w:val="24"/>
          <w:szCs w:val="24"/>
        </w:rPr>
      </w:pPr>
      <w:r w:rsidRPr="007652A5">
        <w:rPr>
          <w:rFonts w:ascii="Arial" w:hAnsi="Arial" w:cs="Arial"/>
          <w:sz w:val="24"/>
          <w:szCs w:val="24"/>
        </w:rPr>
        <w:t>Pentru batalurile de reziduuri petroliere închise au fost realizate investigaţii privind poluarea solului şi a fost finalizat în cursul anului 2014 proiectul de remediere pentru batalul nou Oprișenești.</w:t>
      </w:r>
      <w:r w:rsidR="009B37FE" w:rsidRPr="007652A5">
        <w:rPr>
          <w:rFonts w:ascii="Arial" w:hAnsi="Arial" w:cs="Arial"/>
          <w:sz w:val="24"/>
          <w:szCs w:val="24"/>
        </w:rPr>
        <w:t xml:space="preserve"> acesta nu este însă inclus pe lista siturilor contaminate/potențial contaminate.</w:t>
      </w:r>
    </w:p>
    <w:p w:rsidR="009B37FE" w:rsidRPr="007652A5" w:rsidRDefault="009B37FE" w:rsidP="00C625DB">
      <w:pPr>
        <w:pStyle w:val="BodyTextIndent2BodyTextIndent2Char"/>
        <w:ind w:left="0" w:firstLine="708"/>
        <w:rPr>
          <w:rFonts w:ascii="Arial" w:hAnsi="Arial" w:cs="Arial"/>
          <w:sz w:val="24"/>
          <w:szCs w:val="24"/>
        </w:rPr>
      </w:pPr>
      <w:r w:rsidRPr="007652A5">
        <w:rPr>
          <w:rFonts w:ascii="Arial" w:hAnsi="Arial" w:cs="Arial"/>
          <w:sz w:val="24"/>
          <w:szCs w:val="24"/>
        </w:rPr>
        <w:t>Pentru sondele de extracţie petrol care au fost abandonate, OMV Petrom a întocmit documentaţiile necesare reglementării din punctul de vedere al protecţiei mediului şi stabilirii obligaţiilor de mediu, după caz. Au fost reglementate proiecte de dezafectare şi remediere a terenului pentru sondele la care, ca urmare a analizelor chimice efectuate, s-au constatat depăşiri ale indicatorului hidrocarburi totale din petrol, conform prevederilor Ord. MAPPM 756/1997 pentru aprobarea Reglementării privind evaluarea poluării mediului.</w:t>
      </w:r>
    </w:p>
    <w:p w:rsidR="009B37FE" w:rsidRPr="00C625DB" w:rsidRDefault="009B37FE" w:rsidP="00C625DB">
      <w:pPr>
        <w:pStyle w:val="ListParagraph"/>
        <w:tabs>
          <w:tab w:val="left" w:pos="720"/>
        </w:tabs>
        <w:suppressAutoHyphens/>
        <w:autoSpaceDE w:val="0"/>
        <w:autoSpaceDN w:val="0"/>
        <w:adjustRightInd w:val="0"/>
        <w:jc w:val="both"/>
        <w:rPr>
          <w:rFonts w:ascii="Arial" w:hAnsi="Arial" w:cs="Arial"/>
          <w:noProof/>
          <w:color w:val="00B050"/>
        </w:rPr>
      </w:pPr>
    </w:p>
    <w:p w:rsidR="00E00628" w:rsidRPr="00C625DB" w:rsidRDefault="00E00628" w:rsidP="00C625DB">
      <w:pPr>
        <w:pStyle w:val="ListParagraph"/>
        <w:tabs>
          <w:tab w:val="left" w:pos="720"/>
        </w:tabs>
        <w:suppressAutoHyphens/>
        <w:autoSpaceDE w:val="0"/>
        <w:autoSpaceDN w:val="0"/>
        <w:adjustRightInd w:val="0"/>
        <w:jc w:val="both"/>
        <w:rPr>
          <w:rFonts w:ascii="Arial" w:hAnsi="Arial" w:cs="Arial"/>
          <w:noProof/>
          <w:color w:val="00B050"/>
        </w:rPr>
      </w:pPr>
    </w:p>
    <w:p w:rsidR="0093284E" w:rsidRDefault="0093284E" w:rsidP="00C625DB">
      <w:pPr>
        <w:spacing w:after="0" w:line="240" w:lineRule="auto"/>
        <w:rPr>
          <w:rFonts w:ascii="Arial" w:hAnsi="Arial" w:cs="Arial"/>
          <w:b/>
          <w:sz w:val="24"/>
          <w:szCs w:val="24"/>
        </w:rPr>
      </w:pPr>
    </w:p>
    <w:p w:rsidR="0093284E" w:rsidRDefault="0093284E" w:rsidP="00C625DB">
      <w:pPr>
        <w:spacing w:after="0" w:line="240" w:lineRule="auto"/>
        <w:rPr>
          <w:rFonts w:ascii="Arial" w:hAnsi="Arial" w:cs="Arial"/>
          <w:b/>
          <w:sz w:val="24"/>
          <w:szCs w:val="24"/>
        </w:rPr>
      </w:pPr>
    </w:p>
    <w:p w:rsidR="0093284E" w:rsidRDefault="0093284E" w:rsidP="00C625DB">
      <w:pPr>
        <w:spacing w:after="0" w:line="240" w:lineRule="auto"/>
        <w:rPr>
          <w:rFonts w:ascii="Arial" w:hAnsi="Arial" w:cs="Arial"/>
          <w:b/>
          <w:sz w:val="24"/>
          <w:szCs w:val="24"/>
        </w:rPr>
      </w:pPr>
    </w:p>
    <w:p w:rsidR="0093284E" w:rsidRDefault="0093284E" w:rsidP="00C625DB">
      <w:pPr>
        <w:spacing w:after="0" w:line="240" w:lineRule="auto"/>
        <w:rPr>
          <w:rFonts w:ascii="Arial" w:hAnsi="Arial" w:cs="Arial"/>
          <w:b/>
          <w:sz w:val="24"/>
          <w:szCs w:val="24"/>
        </w:rPr>
      </w:pPr>
    </w:p>
    <w:p w:rsidR="00E00628" w:rsidRPr="00DB2B5E" w:rsidRDefault="00E00628" w:rsidP="00C625DB">
      <w:pPr>
        <w:spacing w:after="0" w:line="240" w:lineRule="auto"/>
        <w:rPr>
          <w:rFonts w:ascii="Arial" w:hAnsi="Arial" w:cs="Arial"/>
          <w:b/>
          <w:sz w:val="24"/>
          <w:szCs w:val="24"/>
        </w:rPr>
      </w:pPr>
      <w:r w:rsidRPr="00DB2B5E">
        <w:rPr>
          <w:rFonts w:ascii="Arial" w:hAnsi="Arial" w:cs="Arial"/>
          <w:b/>
          <w:sz w:val="24"/>
          <w:szCs w:val="24"/>
        </w:rPr>
        <w:lastRenderedPageBreak/>
        <w:t>IV. UTILIZAREA TERENURILOR</w:t>
      </w:r>
    </w:p>
    <w:p w:rsidR="00E00628" w:rsidRPr="00DB2B5E" w:rsidRDefault="00E00628" w:rsidP="00C625DB">
      <w:pPr>
        <w:spacing w:after="0" w:line="240" w:lineRule="auto"/>
        <w:ind w:left="284"/>
        <w:rPr>
          <w:rFonts w:ascii="Arial" w:hAnsi="Arial" w:cs="Arial"/>
          <w:b/>
          <w:i/>
          <w:sz w:val="24"/>
          <w:szCs w:val="24"/>
        </w:rPr>
      </w:pPr>
      <w:r w:rsidRPr="00DB2B5E">
        <w:rPr>
          <w:rFonts w:ascii="Arial" w:hAnsi="Arial" w:cs="Arial"/>
          <w:b/>
          <w:i/>
          <w:sz w:val="24"/>
          <w:szCs w:val="24"/>
        </w:rPr>
        <w:t>IV.1. Stare și tendințe</w:t>
      </w:r>
    </w:p>
    <w:p w:rsidR="00202088"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 xml:space="preserve">  </w:t>
      </w:r>
    </w:p>
    <w:p w:rsidR="00AE3406" w:rsidRPr="00DB2B5E"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w:t>
      </w:r>
    </w:p>
    <w:p w:rsidR="00E00628" w:rsidRPr="00DB2B5E"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E00628" w:rsidRPr="00DB2B5E"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 xml:space="preserve">Terenurile sunt o resursă finită și modul în care sunt exploatate reprezintă unul dintre principalii factori determinanţi ai schimbărilor de mediu, cu impact semnificativ asupra calităţii vieţii şi a ecosistemelor, precum şi asupra gestionării infrastructurii. </w:t>
      </w:r>
    </w:p>
    <w:p w:rsidR="00E00628" w:rsidRPr="00DB2B5E"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 xml:space="preserve">Utilizarea terenurilor este determinată de o serie de factori importanţi: </w:t>
      </w:r>
    </w:p>
    <w:p w:rsidR="00E00628" w:rsidRPr="00DB2B5E"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 xml:space="preserve">creşterea cererii pentru spaţii de locuit/persoană; </w:t>
      </w:r>
    </w:p>
    <w:p w:rsidR="00E00628" w:rsidRPr="00DB2B5E"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legătura dintre activitatea economică, creşterea mobilităţii şi creşterea infrastructurii de transport care conduce la absorbţia de teren în zona urbană;</w:t>
      </w:r>
    </w:p>
    <w:p w:rsidR="00E00628" w:rsidRPr="00DB2B5E"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creşterea cererii pentru spaţii de recreere şi petrecerea timpului liber, etc.</w:t>
      </w:r>
    </w:p>
    <w:p w:rsidR="00E00628" w:rsidRPr="00DB2B5E"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ab/>
      </w:r>
    </w:p>
    <w:p w:rsidR="00E00628" w:rsidRPr="00DB2B5E" w:rsidRDefault="00202088" w:rsidP="00202088">
      <w:pPr>
        <w:pStyle w:val="BodyTextIndent2BodyTextIndent2Char"/>
        <w:ind w:left="0"/>
        <w:rPr>
          <w:rFonts w:ascii="Arial" w:hAnsi="Arial" w:cs="Arial"/>
          <w:b/>
          <w:i/>
          <w:sz w:val="24"/>
          <w:szCs w:val="24"/>
        </w:rPr>
      </w:pPr>
      <w:r>
        <w:rPr>
          <w:rFonts w:ascii="Arial" w:hAnsi="Arial" w:cs="Arial"/>
          <w:sz w:val="24"/>
          <w:szCs w:val="24"/>
        </w:rPr>
        <w:t xml:space="preserve">      </w:t>
      </w:r>
      <w:r w:rsidR="00E00628" w:rsidRPr="00DB2B5E">
        <w:rPr>
          <w:rFonts w:ascii="Arial" w:hAnsi="Arial" w:cs="Arial"/>
          <w:b/>
          <w:i/>
          <w:sz w:val="24"/>
          <w:szCs w:val="24"/>
        </w:rPr>
        <w:t xml:space="preserve">IV.1.1. Repartiţia terenurilor pe categorii de acoperire/utilizare </w:t>
      </w:r>
    </w:p>
    <w:p w:rsidR="00E00628" w:rsidRPr="00DB2B5E" w:rsidRDefault="00E00628" w:rsidP="00C625DB">
      <w:pPr>
        <w:pStyle w:val="BodyTextIndent2BodyTextIndent2Char"/>
        <w:ind w:left="0" w:firstLine="708"/>
        <w:rPr>
          <w:rFonts w:ascii="Arial" w:hAnsi="Arial" w:cs="Arial"/>
          <w:sz w:val="24"/>
          <w:szCs w:val="24"/>
        </w:rPr>
      </w:pPr>
      <w:r w:rsidRPr="00DB2B5E">
        <w:rPr>
          <w:rFonts w:ascii="Arial" w:hAnsi="Arial" w:cs="Arial"/>
          <w:sz w:val="24"/>
          <w:szCs w:val="24"/>
        </w:rPr>
        <w:t>Fondul funciar reprezintă cea mai importantă resursă naturală a ţării şi cuprinde totalitatea terenurilor, indiferent de destinaţie, de titlul pe baza căruia sunt deţinute sau de domeniul public sau privat din care fac parte. Fondul funciar a fost reglementat prin Legea nr. 18/1991, cu modificările şi completările ulterioare.</w:t>
      </w:r>
    </w:p>
    <w:p w:rsidR="00E00628" w:rsidRPr="00DB2B5E" w:rsidRDefault="00E00628" w:rsidP="00C625DB">
      <w:pPr>
        <w:tabs>
          <w:tab w:val="left" w:pos="2160"/>
          <w:tab w:val="left" w:leader="dot" w:pos="8640"/>
        </w:tabs>
        <w:spacing w:after="0" w:line="240" w:lineRule="auto"/>
        <w:ind w:right="-38"/>
        <w:jc w:val="both"/>
        <w:rPr>
          <w:rFonts w:ascii="Arial" w:hAnsi="Arial" w:cs="Arial"/>
          <w:sz w:val="24"/>
          <w:szCs w:val="24"/>
        </w:rPr>
      </w:pPr>
      <w:r w:rsidRPr="00DB2B5E">
        <w:rPr>
          <w:rFonts w:ascii="Arial" w:hAnsi="Arial" w:cs="Arial"/>
          <w:sz w:val="24"/>
          <w:szCs w:val="24"/>
        </w:rPr>
        <w:t>În funcţie de destinaţie, terenurile sunt :</w:t>
      </w:r>
    </w:p>
    <w:p w:rsidR="00E00628" w:rsidRPr="00DB2B5E" w:rsidRDefault="00E00628" w:rsidP="00252ED3">
      <w:pPr>
        <w:numPr>
          <w:ilvl w:val="0"/>
          <w:numId w:val="24"/>
        </w:numPr>
        <w:spacing w:after="0" w:line="240" w:lineRule="auto"/>
        <w:jc w:val="both"/>
        <w:rPr>
          <w:rFonts w:ascii="Arial" w:hAnsi="Arial" w:cs="Arial"/>
          <w:sz w:val="24"/>
          <w:szCs w:val="24"/>
        </w:rPr>
      </w:pPr>
      <w:r w:rsidRPr="00DB2B5E">
        <w:rPr>
          <w:rFonts w:ascii="Arial" w:hAnsi="Arial" w:cs="Arial"/>
          <w:sz w:val="24"/>
          <w:szCs w:val="24"/>
        </w:rPr>
        <w:t>terenuri cu destinaţie agricolă ;</w:t>
      </w:r>
    </w:p>
    <w:p w:rsidR="00E00628" w:rsidRPr="00DB2B5E" w:rsidRDefault="00E00628" w:rsidP="00252ED3">
      <w:pPr>
        <w:numPr>
          <w:ilvl w:val="0"/>
          <w:numId w:val="24"/>
        </w:numPr>
        <w:spacing w:after="0" w:line="240" w:lineRule="auto"/>
        <w:jc w:val="both"/>
        <w:rPr>
          <w:rFonts w:ascii="Arial" w:hAnsi="Arial" w:cs="Arial"/>
          <w:sz w:val="24"/>
          <w:szCs w:val="24"/>
        </w:rPr>
      </w:pPr>
      <w:r w:rsidRPr="00DB2B5E">
        <w:rPr>
          <w:rFonts w:ascii="Arial" w:hAnsi="Arial" w:cs="Arial"/>
          <w:sz w:val="24"/>
          <w:szCs w:val="24"/>
        </w:rPr>
        <w:t>terenuri cu destinaţie forestieră ;</w:t>
      </w:r>
    </w:p>
    <w:p w:rsidR="00E00628" w:rsidRPr="00DB2B5E" w:rsidRDefault="00E00628" w:rsidP="00252ED3">
      <w:pPr>
        <w:numPr>
          <w:ilvl w:val="0"/>
          <w:numId w:val="24"/>
        </w:numPr>
        <w:spacing w:after="0" w:line="240" w:lineRule="auto"/>
        <w:jc w:val="both"/>
        <w:rPr>
          <w:rFonts w:ascii="Arial" w:hAnsi="Arial" w:cs="Arial"/>
          <w:sz w:val="24"/>
          <w:szCs w:val="24"/>
          <w:lang w:val="it-IT"/>
        </w:rPr>
      </w:pPr>
      <w:r w:rsidRPr="00DB2B5E">
        <w:rPr>
          <w:rFonts w:ascii="Arial" w:hAnsi="Arial" w:cs="Arial"/>
          <w:sz w:val="24"/>
          <w:szCs w:val="24"/>
          <w:lang w:val="it-IT"/>
        </w:rPr>
        <w:t>terenuri aflate permanent sub ape ;</w:t>
      </w:r>
    </w:p>
    <w:p w:rsidR="00E00628" w:rsidRPr="00DB2B5E" w:rsidRDefault="00E00628" w:rsidP="00252ED3">
      <w:pPr>
        <w:numPr>
          <w:ilvl w:val="0"/>
          <w:numId w:val="24"/>
        </w:numPr>
        <w:spacing w:after="0" w:line="240" w:lineRule="auto"/>
        <w:jc w:val="both"/>
        <w:rPr>
          <w:rFonts w:ascii="Arial" w:hAnsi="Arial" w:cs="Arial"/>
          <w:sz w:val="24"/>
          <w:szCs w:val="24"/>
          <w:lang w:val="it-IT"/>
        </w:rPr>
      </w:pPr>
      <w:r w:rsidRPr="00DB2B5E">
        <w:rPr>
          <w:rFonts w:ascii="Arial" w:hAnsi="Arial" w:cs="Arial"/>
          <w:sz w:val="24"/>
          <w:szCs w:val="24"/>
          <w:lang w:val="it-IT"/>
        </w:rPr>
        <w:t>terenuri din intravilan, aferente localităţilor urbane şi rurale pe care sunt amplasate construcţiile, alte amenajări ale localităţilor, inclusiv terenurile agricole şi forestiere ;</w:t>
      </w:r>
    </w:p>
    <w:p w:rsidR="00E00628" w:rsidRPr="00DB2B5E" w:rsidRDefault="00E00628" w:rsidP="00252ED3">
      <w:pPr>
        <w:numPr>
          <w:ilvl w:val="0"/>
          <w:numId w:val="24"/>
        </w:numPr>
        <w:spacing w:after="0" w:line="240" w:lineRule="auto"/>
        <w:jc w:val="both"/>
        <w:rPr>
          <w:rFonts w:ascii="Arial" w:hAnsi="Arial" w:cs="Arial"/>
          <w:sz w:val="24"/>
          <w:szCs w:val="24"/>
          <w:lang w:val="it-IT"/>
        </w:rPr>
      </w:pPr>
      <w:r w:rsidRPr="00DB2B5E">
        <w:rPr>
          <w:rFonts w:ascii="Arial" w:hAnsi="Arial" w:cs="Arial"/>
          <w:sz w:val="24"/>
          <w:szCs w:val="24"/>
          <w:lang w:val="it-IT"/>
        </w:rPr>
        <w:t>terenuri cu destinaţii speciale cum sunt cele folosite cele pentru transporturile rutiere, feroviare, navale şi aeriene, plajele, rezervaţiile, monumentele naturii, ansamblurile şi siturile arheologice şi istorice etc.</w:t>
      </w:r>
    </w:p>
    <w:p w:rsidR="00E00628" w:rsidRPr="00DB2B5E" w:rsidRDefault="00E00628" w:rsidP="00C625DB">
      <w:pPr>
        <w:tabs>
          <w:tab w:val="left" w:pos="2160"/>
          <w:tab w:val="left" w:leader="dot" w:pos="8640"/>
        </w:tabs>
        <w:spacing w:after="0" w:line="240" w:lineRule="auto"/>
        <w:ind w:right="-38" w:firstLine="720"/>
        <w:jc w:val="both"/>
        <w:rPr>
          <w:rFonts w:ascii="Arial" w:hAnsi="Arial" w:cs="Arial"/>
          <w:sz w:val="24"/>
          <w:szCs w:val="24"/>
        </w:rPr>
      </w:pPr>
      <w:r w:rsidRPr="00DB2B5E">
        <w:rPr>
          <w:rFonts w:ascii="Arial" w:hAnsi="Arial" w:cs="Arial"/>
          <w:sz w:val="24"/>
          <w:szCs w:val="24"/>
        </w:rPr>
        <w:t>În categoria terenurilor cu destinaţie agricolă intră :</w:t>
      </w:r>
    </w:p>
    <w:p w:rsidR="00E00628" w:rsidRPr="00DB2B5E" w:rsidRDefault="00E00628" w:rsidP="00252ED3">
      <w:pPr>
        <w:numPr>
          <w:ilvl w:val="0"/>
          <w:numId w:val="24"/>
        </w:numPr>
        <w:spacing w:after="0" w:line="240" w:lineRule="auto"/>
        <w:jc w:val="both"/>
        <w:rPr>
          <w:rFonts w:ascii="Arial" w:hAnsi="Arial" w:cs="Arial"/>
          <w:sz w:val="24"/>
          <w:szCs w:val="24"/>
        </w:rPr>
      </w:pPr>
      <w:r w:rsidRPr="00DB2B5E">
        <w:rPr>
          <w:rFonts w:ascii="Arial" w:hAnsi="Arial" w:cs="Arial"/>
          <w:sz w:val="24"/>
          <w:szCs w:val="24"/>
        </w:rPr>
        <w:t>terenurile agricole productive – terenurile arabile, viile livezile, pepinierele viticole, pomicole,  păşunile, fâneţele, serele, solariile, răsadniţele etc.</w:t>
      </w:r>
    </w:p>
    <w:p w:rsidR="00E00628" w:rsidRPr="00DB2B5E" w:rsidRDefault="00E00628" w:rsidP="00252ED3">
      <w:pPr>
        <w:numPr>
          <w:ilvl w:val="0"/>
          <w:numId w:val="24"/>
        </w:numPr>
        <w:spacing w:after="0" w:line="240" w:lineRule="auto"/>
        <w:jc w:val="both"/>
        <w:rPr>
          <w:rFonts w:ascii="Arial" w:hAnsi="Arial" w:cs="Arial"/>
          <w:sz w:val="24"/>
          <w:szCs w:val="24"/>
        </w:rPr>
      </w:pPr>
      <w:r w:rsidRPr="00DB2B5E">
        <w:rPr>
          <w:rFonts w:ascii="Arial" w:hAnsi="Arial" w:cs="Arial"/>
          <w:sz w:val="24"/>
          <w:szCs w:val="24"/>
        </w:rPr>
        <w:t>terenurile cu vegetaţie forestieră dacă nu fac parte din amenajamentele silvice, păşunile împădurite;</w:t>
      </w:r>
    </w:p>
    <w:p w:rsidR="00E00628" w:rsidRPr="00DB2B5E" w:rsidRDefault="00E00628" w:rsidP="00252ED3">
      <w:pPr>
        <w:numPr>
          <w:ilvl w:val="0"/>
          <w:numId w:val="24"/>
        </w:numPr>
        <w:spacing w:after="0" w:line="240" w:lineRule="auto"/>
        <w:jc w:val="both"/>
        <w:rPr>
          <w:rFonts w:ascii="Arial" w:hAnsi="Arial" w:cs="Arial"/>
          <w:sz w:val="24"/>
          <w:szCs w:val="24"/>
        </w:rPr>
      </w:pPr>
      <w:r w:rsidRPr="00DB2B5E">
        <w:rPr>
          <w:rFonts w:ascii="Arial" w:hAnsi="Arial" w:cs="Arial"/>
          <w:sz w:val="24"/>
          <w:szCs w:val="24"/>
        </w:rPr>
        <w:t>terenurile ocupate cu construcţii şi instalaţii agrozootehnice, amenajări piscicole şi de îmbunătăţiri funciare, drumuri tehnologice etc.</w:t>
      </w:r>
    </w:p>
    <w:p w:rsidR="00E00628" w:rsidRPr="00DB2B5E" w:rsidRDefault="00E00628" w:rsidP="00252ED3">
      <w:pPr>
        <w:numPr>
          <w:ilvl w:val="0"/>
          <w:numId w:val="24"/>
        </w:numPr>
        <w:spacing w:after="0" w:line="240" w:lineRule="auto"/>
        <w:jc w:val="both"/>
        <w:rPr>
          <w:rFonts w:ascii="Arial" w:hAnsi="Arial" w:cs="Arial"/>
          <w:sz w:val="24"/>
          <w:szCs w:val="24"/>
        </w:rPr>
      </w:pPr>
      <w:r w:rsidRPr="00DB2B5E">
        <w:rPr>
          <w:rFonts w:ascii="Arial" w:hAnsi="Arial" w:cs="Arial"/>
          <w:sz w:val="24"/>
          <w:szCs w:val="24"/>
        </w:rPr>
        <w:t>terenuri neproductive care pot fi amenajate şi folosite pentru producţia agricolă.</w:t>
      </w:r>
    </w:p>
    <w:p w:rsidR="00E00628" w:rsidRPr="00202088" w:rsidRDefault="00E00628" w:rsidP="00C625DB">
      <w:pPr>
        <w:pStyle w:val="Heading1"/>
        <w:spacing w:before="0" w:after="0"/>
        <w:jc w:val="both"/>
        <w:rPr>
          <w:b w:val="0"/>
          <w:sz w:val="24"/>
          <w:szCs w:val="24"/>
          <w:lang w:val="ro-RO"/>
        </w:rPr>
      </w:pPr>
      <w:r w:rsidRPr="00202088">
        <w:rPr>
          <w:b w:val="0"/>
          <w:sz w:val="24"/>
          <w:szCs w:val="24"/>
        </w:rPr>
        <w:t>Tabelul IV.1.1-1</w:t>
      </w:r>
      <w:r w:rsidRPr="00202088">
        <w:rPr>
          <w:b w:val="0"/>
          <w:sz w:val="24"/>
          <w:szCs w:val="24"/>
          <w:lang w:val="ro-RO"/>
        </w:rPr>
        <w:t xml:space="preserve">Structura fondului funciar din judeţul </w:t>
      </w:r>
      <w:r w:rsidR="00217620" w:rsidRPr="00202088">
        <w:rPr>
          <w:b w:val="0"/>
          <w:sz w:val="24"/>
          <w:szCs w:val="24"/>
          <w:lang w:val="ro-RO"/>
        </w:rPr>
        <w:t>Brăila</w:t>
      </w:r>
      <w:r w:rsidRPr="00202088">
        <w:rPr>
          <w:b w:val="0"/>
          <w:sz w:val="24"/>
          <w:szCs w:val="24"/>
          <w:lang w:val="ro-RO"/>
        </w:rPr>
        <w:t xml:space="preserve"> (date furnizate de Direcţia pentru Agricultură Judeţeană </w:t>
      </w:r>
      <w:r w:rsidR="00217620" w:rsidRPr="00202088">
        <w:rPr>
          <w:b w:val="0"/>
          <w:sz w:val="24"/>
          <w:szCs w:val="24"/>
          <w:lang w:val="ro-RO"/>
        </w:rPr>
        <w:t>Brăila</w:t>
      </w:r>
      <w:r w:rsidRPr="00202088">
        <w:rPr>
          <w:b w:val="0"/>
          <w:sz w:val="24"/>
          <w:szCs w:val="24"/>
          <w:lang w:val="ro-RO"/>
        </w:rPr>
        <w:t xml:space="preserve">): </w:t>
      </w:r>
    </w:p>
    <w:p w:rsidR="001D07E2" w:rsidRPr="00DB2B5E" w:rsidRDefault="001D07E2" w:rsidP="00C625DB">
      <w:pPr>
        <w:spacing w:after="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9"/>
        <w:gridCol w:w="1903"/>
        <w:gridCol w:w="1404"/>
      </w:tblGrid>
      <w:tr w:rsidR="00E00628" w:rsidRPr="00DB2B5E" w:rsidTr="00E00628">
        <w:trPr>
          <w:cantSplit/>
          <w:jc w:val="center"/>
        </w:trPr>
        <w:tc>
          <w:tcPr>
            <w:tcW w:w="359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Tipuri de folosinţă</w:t>
            </w:r>
          </w:p>
        </w:tc>
        <w:tc>
          <w:tcPr>
            <w:tcW w:w="330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Suprafaţa</w:t>
            </w:r>
          </w:p>
        </w:tc>
      </w:tr>
      <w:tr w:rsidR="00E00628" w:rsidRPr="00DB2B5E" w:rsidTr="00E0062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DB2B5E" w:rsidRDefault="00E00628" w:rsidP="00C625DB">
            <w:pPr>
              <w:spacing w:after="0" w:line="240" w:lineRule="auto"/>
              <w:rPr>
                <w:rFonts w:ascii="Arial" w:hAnsi="Arial" w:cs="Arial"/>
                <w:b/>
                <w:sz w:val="24"/>
                <w:szCs w:val="24"/>
              </w:rPr>
            </w:pPr>
          </w:p>
        </w:tc>
        <w:tc>
          <w:tcPr>
            <w:tcW w:w="1903"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ha</w:t>
            </w:r>
          </w:p>
        </w:tc>
        <w:tc>
          <w:tcPr>
            <w:tcW w:w="1404" w:type="dxa"/>
            <w:tcBorders>
              <w:top w:val="single" w:sz="4" w:space="0" w:color="auto"/>
              <w:left w:val="single" w:sz="4" w:space="0" w:color="auto"/>
              <w:bottom w:val="single" w:sz="4" w:space="0" w:color="auto"/>
              <w:right w:val="single" w:sz="4" w:space="0" w:color="auto"/>
            </w:tcBorders>
            <w:shd w:val="clear" w:color="auto" w:fill="D9D9D9"/>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w:t>
            </w:r>
          </w:p>
        </w:tc>
      </w:tr>
      <w:tr w:rsidR="00E00628" w:rsidRPr="00DB2B5E" w:rsidTr="00E00628">
        <w:trPr>
          <w:trHeight w:val="709"/>
          <w:jc w:val="center"/>
        </w:trPr>
        <w:tc>
          <w:tcPr>
            <w:tcW w:w="3599" w:type="dxa"/>
            <w:tcBorders>
              <w:top w:val="single" w:sz="4" w:space="0" w:color="auto"/>
              <w:left w:val="single" w:sz="4" w:space="0" w:color="auto"/>
              <w:bottom w:val="single" w:sz="4" w:space="0" w:color="auto"/>
              <w:right w:val="single" w:sz="4" w:space="0" w:color="auto"/>
            </w:tcBorders>
            <w:shd w:val="clear" w:color="auto" w:fill="FBF3F3"/>
          </w:tcPr>
          <w:p w:rsidR="00E00628" w:rsidRPr="00DB2B5E" w:rsidRDefault="00E00628" w:rsidP="00C625DB">
            <w:pPr>
              <w:spacing w:after="0" w:line="240" w:lineRule="auto"/>
              <w:rPr>
                <w:rFonts w:ascii="Arial" w:hAnsi="Arial" w:cs="Arial"/>
                <w:sz w:val="24"/>
                <w:szCs w:val="24"/>
              </w:rPr>
            </w:pPr>
            <w:r w:rsidRPr="00DB2B5E">
              <w:rPr>
                <w:rFonts w:ascii="Arial" w:hAnsi="Arial" w:cs="Arial"/>
                <w:sz w:val="24"/>
                <w:szCs w:val="24"/>
              </w:rPr>
              <w:t xml:space="preserve">Terenuri agricol, din care: </w:t>
            </w:r>
          </w:p>
          <w:p w:rsidR="00E00628" w:rsidRPr="00DB2B5E" w:rsidRDefault="00E00628" w:rsidP="00C625DB">
            <w:pPr>
              <w:spacing w:after="0" w:line="240" w:lineRule="auto"/>
              <w:ind w:left="360"/>
              <w:rPr>
                <w:rFonts w:ascii="Arial" w:hAnsi="Arial" w:cs="Arial"/>
                <w:sz w:val="24"/>
                <w:szCs w:val="24"/>
              </w:rPr>
            </w:pPr>
          </w:p>
          <w:p w:rsidR="00E00628" w:rsidRPr="00DB2B5E" w:rsidRDefault="00E00628" w:rsidP="00C625DB">
            <w:pPr>
              <w:spacing w:after="0" w:line="240" w:lineRule="auto"/>
              <w:ind w:left="360"/>
              <w:rPr>
                <w:rFonts w:ascii="Arial" w:hAnsi="Arial" w:cs="Arial"/>
                <w:i/>
                <w:sz w:val="24"/>
                <w:szCs w:val="24"/>
              </w:rPr>
            </w:pPr>
            <w:r w:rsidRPr="00DB2B5E">
              <w:rPr>
                <w:rFonts w:ascii="Arial" w:hAnsi="Arial" w:cs="Arial"/>
                <w:i/>
                <w:sz w:val="24"/>
                <w:szCs w:val="24"/>
              </w:rPr>
              <w:t>Teren</w:t>
            </w:r>
            <w:r w:rsidRPr="00DB2B5E">
              <w:rPr>
                <w:rFonts w:ascii="Arial" w:hAnsi="Arial" w:cs="Arial"/>
                <w:sz w:val="24"/>
                <w:szCs w:val="24"/>
              </w:rPr>
              <w:t xml:space="preserve"> a</w:t>
            </w:r>
            <w:r w:rsidRPr="00DB2B5E">
              <w:rPr>
                <w:rFonts w:ascii="Arial" w:hAnsi="Arial" w:cs="Arial"/>
                <w:i/>
                <w:sz w:val="24"/>
                <w:szCs w:val="24"/>
              </w:rPr>
              <w:t>rabil</w:t>
            </w:r>
          </w:p>
          <w:p w:rsidR="00E00628" w:rsidRPr="00DB2B5E" w:rsidRDefault="00E00628" w:rsidP="00C625DB">
            <w:pPr>
              <w:spacing w:after="0" w:line="240" w:lineRule="auto"/>
              <w:rPr>
                <w:rFonts w:ascii="Arial" w:hAnsi="Arial" w:cs="Arial"/>
                <w:sz w:val="24"/>
                <w:szCs w:val="24"/>
              </w:rPr>
            </w:pPr>
          </w:p>
          <w:p w:rsidR="00E00628" w:rsidRPr="00DB2B5E" w:rsidRDefault="00E00628" w:rsidP="00C625DB">
            <w:pPr>
              <w:spacing w:after="0" w:line="240" w:lineRule="auto"/>
              <w:rPr>
                <w:rFonts w:ascii="Arial" w:hAnsi="Arial" w:cs="Arial"/>
                <w:sz w:val="24"/>
                <w:szCs w:val="24"/>
              </w:rPr>
            </w:pPr>
            <w:r w:rsidRPr="00DB2B5E">
              <w:rPr>
                <w:rFonts w:ascii="Arial" w:hAnsi="Arial" w:cs="Arial"/>
                <w:sz w:val="24"/>
                <w:szCs w:val="24"/>
              </w:rPr>
              <w:lastRenderedPageBreak/>
              <w:t>Terenuri neagricol, din care:</w:t>
            </w:r>
          </w:p>
          <w:p w:rsidR="00E00628" w:rsidRPr="00DB2B5E" w:rsidRDefault="00E00628" w:rsidP="00C625DB">
            <w:pPr>
              <w:tabs>
                <w:tab w:val="num" w:pos="1092"/>
              </w:tabs>
              <w:spacing w:after="0" w:line="240" w:lineRule="auto"/>
              <w:ind w:left="360"/>
              <w:rPr>
                <w:rFonts w:ascii="Arial" w:hAnsi="Arial" w:cs="Arial"/>
                <w:sz w:val="24"/>
                <w:szCs w:val="24"/>
              </w:rPr>
            </w:pPr>
          </w:p>
          <w:p w:rsidR="00E00628" w:rsidRPr="00DB2B5E" w:rsidRDefault="00E00628" w:rsidP="00C625DB">
            <w:pPr>
              <w:tabs>
                <w:tab w:val="num" w:pos="1092"/>
              </w:tabs>
              <w:spacing w:after="0" w:line="240" w:lineRule="auto"/>
              <w:ind w:left="360"/>
              <w:rPr>
                <w:rFonts w:ascii="Arial" w:hAnsi="Arial" w:cs="Arial"/>
                <w:i/>
                <w:sz w:val="24"/>
                <w:szCs w:val="24"/>
              </w:rPr>
            </w:pPr>
            <w:r w:rsidRPr="00DB2B5E">
              <w:rPr>
                <w:rFonts w:ascii="Arial" w:hAnsi="Arial" w:cs="Arial"/>
                <w:i/>
                <w:sz w:val="24"/>
                <w:szCs w:val="24"/>
              </w:rPr>
              <w:t>Păduri</w:t>
            </w:r>
          </w:p>
          <w:p w:rsidR="00E00628" w:rsidRPr="00DB2B5E" w:rsidRDefault="00E00628" w:rsidP="00C625DB">
            <w:pPr>
              <w:tabs>
                <w:tab w:val="num" w:pos="1092"/>
              </w:tabs>
              <w:spacing w:after="0" w:line="240" w:lineRule="auto"/>
              <w:ind w:left="360"/>
              <w:rPr>
                <w:rFonts w:ascii="Arial" w:hAnsi="Arial" w:cs="Arial"/>
                <w:i/>
                <w:sz w:val="24"/>
                <w:szCs w:val="24"/>
              </w:rPr>
            </w:pPr>
            <w:r w:rsidRPr="00DB2B5E">
              <w:rPr>
                <w:rFonts w:ascii="Arial" w:hAnsi="Arial" w:cs="Arial"/>
                <w:i/>
                <w:sz w:val="24"/>
                <w:szCs w:val="24"/>
              </w:rPr>
              <w:t>Ape</w:t>
            </w:r>
          </w:p>
          <w:p w:rsidR="00E00628" w:rsidRPr="00DB2B5E" w:rsidRDefault="00E00628" w:rsidP="00C625DB">
            <w:pPr>
              <w:tabs>
                <w:tab w:val="num" w:pos="1092"/>
              </w:tabs>
              <w:spacing w:after="0" w:line="240" w:lineRule="auto"/>
              <w:ind w:left="360"/>
              <w:rPr>
                <w:rFonts w:ascii="Arial" w:hAnsi="Arial" w:cs="Arial"/>
                <w:i/>
                <w:sz w:val="24"/>
                <w:szCs w:val="24"/>
              </w:rPr>
            </w:pPr>
            <w:r w:rsidRPr="00DB2B5E">
              <w:rPr>
                <w:rFonts w:ascii="Arial" w:hAnsi="Arial" w:cs="Arial"/>
                <w:i/>
                <w:sz w:val="24"/>
                <w:szCs w:val="24"/>
              </w:rPr>
              <w:t>Drumuri şi căi ferate</w:t>
            </w:r>
          </w:p>
          <w:p w:rsidR="00E00628" w:rsidRPr="00DB2B5E" w:rsidRDefault="00E00628" w:rsidP="00C625DB">
            <w:pPr>
              <w:tabs>
                <w:tab w:val="left" w:pos="652"/>
                <w:tab w:val="left" w:pos="1078"/>
              </w:tabs>
              <w:spacing w:after="0" w:line="240" w:lineRule="auto"/>
              <w:ind w:left="360"/>
              <w:rPr>
                <w:rFonts w:ascii="Arial" w:hAnsi="Arial" w:cs="Arial"/>
                <w:i/>
                <w:sz w:val="24"/>
                <w:szCs w:val="24"/>
              </w:rPr>
            </w:pPr>
            <w:r w:rsidRPr="00DB2B5E">
              <w:rPr>
                <w:rFonts w:ascii="Arial" w:hAnsi="Arial" w:cs="Arial"/>
                <w:i/>
                <w:sz w:val="24"/>
                <w:szCs w:val="24"/>
              </w:rPr>
              <w:t>Curţi şi construcţii</w:t>
            </w:r>
          </w:p>
          <w:p w:rsidR="00E00628" w:rsidRPr="00DB2B5E" w:rsidRDefault="00E00628" w:rsidP="00C625DB">
            <w:pPr>
              <w:tabs>
                <w:tab w:val="left" w:pos="652"/>
                <w:tab w:val="left" w:pos="1078"/>
              </w:tabs>
              <w:spacing w:after="0" w:line="240" w:lineRule="auto"/>
              <w:ind w:left="360"/>
              <w:rPr>
                <w:rFonts w:ascii="Arial" w:hAnsi="Arial" w:cs="Arial"/>
                <w:sz w:val="24"/>
                <w:szCs w:val="24"/>
              </w:rPr>
            </w:pPr>
            <w:r w:rsidRPr="00DB2B5E">
              <w:rPr>
                <w:rFonts w:ascii="Arial" w:hAnsi="Arial" w:cs="Arial"/>
                <w:i/>
                <w:sz w:val="24"/>
                <w:szCs w:val="24"/>
              </w:rPr>
              <w:t>Neproductive</w:t>
            </w:r>
          </w:p>
          <w:p w:rsidR="00E00628" w:rsidRPr="00DB2B5E" w:rsidRDefault="00E00628" w:rsidP="00C625DB">
            <w:pPr>
              <w:spacing w:after="0" w:line="240" w:lineRule="auto"/>
              <w:jc w:val="center"/>
              <w:rPr>
                <w:rFonts w:ascii="Arial" w:hAnsi="Arial" w:cs="Arial"/>
                <w:sz w:val="24"/>
                <w:szCs w:val="24"/>
              </w:rPr>
            </w:pPr>
          </w:p>
          <w:p w:rsidR="00E00628" w:rsidRPr="00DB2B5E" w:rsidRDefault="00E00628" w:rsidP="00C625DB">
            <w:pPr>
              <w:spacing w:after="0" w:line="240" w:lineRule="auto"/>
              <w:rPr>
                <w:rFonts w:ascii="Arial" w:hAnsi="Arial" w:cs="Arial"/>
                <w:sz w:val="24"/>
                <w:szCs w:val="24"/>
              </w:rPr>
            </w:pPr>
            <w:r w:rsidRPr="00DB2B5E">
              <w:rPr>
                <w:rFonts w:ascii="Arial" w:hAnsi="Arial" w:cs="Arial"/>
                <w:sz w:val="24"/>
                <w:szCs w:val="24"/>
              </w:rPr>
              <w:t>Total</w:t>
            </w:r>
          </w:p>
        </w:tc>
        <w:tc>
          <w:tcPr>
            <w:tcW w:w="1903" w:type="dxa"/>
            <w:tcBorders>
              <w:top w:val="single" w:sz="4" w:space="0" w:color="auto"/>
              <w:left w:val="single" w:sz="4" w:space="0" w:color="auto"/>
              <w:bottom w:val="single" w:sz="4" w:space="0" w:color="auto"/>
              <w:right w:val="single" w:sz="4" w:space="0" w:color="auto"/>
            </w:tcBorders>
            <w:shd w:val="clear" w:color="auto" w:fill="FBF3F3"/>
            <w:vAlign w:val="center"/>
            <w:hideMark/>
          </w:tcPr>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lastRenderedPageBreak/>
              <w:t>389.907</w:t>
            </w:r>
          </w:p>
          <w:p w:rsidR="00E00628" w:rsidRPr="00DB2B5E" w:rsidRDefault="00E00628" w:rsidP="00C625DB">
            <w:pPr>
              <w:spacing w:after="0" w:line="240" w:lineRule="auto"/>
              <w:rPr>
                <w:rFonts w:ascii="Arial" w:hAnsi="Arial" w:cs="Arial"/>
                <w:sz w:val="24"/>
                <w:szCs w:val="24"/>
              </w:rPr>
            </w:pPr>
          </w:p>
          <w:p w:rsidR="00E00628" w:rsidRPr="00DB2B5E" w:rsidRDefault="00E00628" w:rsidP="00C625DB">
            <w:pPr>
              <w:spacing w:after="0" w:line="240" w:lineRule="auto"/>
              <w:rPr>
                <w:rFonts w:ascii="Arial" w:hAnsi="Arial" w:cs="Arial"/>
                <w:i/>
                <w:sz w:val="24"/>
                <w:szCs w:val="24"/>
              </w:rPr>
            </w:pPr>
            <w:r w:rsidRPr="00DB2B5E">
              <w:rPr>
                <w:rFonts w:ascii="Arial" w:hAnsi="Arial" w:cs="Arial"/>
                <w:sz w:val="24"/>
                <w:szCs w:val="24"/>
              </w:rPr>
              <w:t xml:space="preserve"> </w:t>
            </w:r>
            <w:r w:rsidRPr="00DB2B5E">
              <w:rPr>
                <w:rFonts w:ascii="Arial" w:hAnsi="Arial" w:cs="Arial"/>
                <w:i/>
                <w:sz w:val="24"/>
                <w:szCs w:val="24"/>
              </w:rPr>
              <w:t xml:space="preserve">351.783   </w:t>
            </w:r>
          </w:p>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t xml:space="preserve">  </w:t>
            </w:r>
          </w:p>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lastRenderedPageBreak/>
              <w:t xml:space="preserve"> 86.665</w:t>
            </w:r>
          </w:p>
          <w:p w:rsidR="00E00628" w:rsidRPr="00DB2B5E" w:rsidRDefault="00E00628" w:rsidP="00C625DB">
            <w:pPr>
              <w:spacing w:after="0" w:line="240" w:lineRule="auto"/>
              <w:rPr>
                <w:rFonts w:ascii="Arial" w:hAnsi="Arial" w:cs="Arial"/>
                <w:sz w:val="24"/>
                <w:szCs w:val="24"/>
              </w:rPr>
            </w:pPr>
            <w:r w:rsidRPr="00DB2B5E">
              <w:rPr>
                <w:rFonts w:ascii="Arial" w:hAnsi="Arial" w:cs="Arial"/>
                <w:sz w:val="24"/>
                <w:szCs w:val="24"/>
              </w:rPr>
              <w:t xml:space="preserve"> </w:t>
            </w:r>
          </w:p>
          <w:p w:rsidR="00E00628" w:rsidRPr="00DB2B5E" w:rsidRDefault="00E00628" w:rsidP="00C625DB">
            <w:pPr>
              <w:spacing w:after="0" w:line="240" w:lineRule="auto"/>
              <w:rPr>
                <w:rFonts w:ascii="Arial" w:hAnsi="Arial" w:cs="Arial"/>
                <w:i/>
                <w:sz w:val="24"/>
                <w:szCs w:val="24"/>
              </w:rPr>
            </w:pPr>
            <w:r w:rsidRPr="00DB2B5E">
              <w:rPr>
                <w:rFonts w:ascii="Arial" w:hAnsi="Arial" w:cs="Arial"/>
                <w:i/>
                <w:sz w:val="24"/>
                <w:szCs w:val="24"/>
              </w:rPr>
              <w:t>30047</w:t>
            </w:r>
          </w:p>
          <w:p w:rsidR="00E00628" w:rsidRPr="00DB2B5E" w:rsidRDefault="00E00628" w:rsidP="00C625DB">
            <w:pPr>
              <w:spacing w:after="0" w:line="240" w:lineRule="auto"/>
              <w:rPr>
                <w:rFonts w:ascii="Arial" w:hAnsi="Arial" w:cs="Arial"/>
                <w:i/>
                <w:sz w:val="24"/>
                <w:szCs w:val="24"/>
              </w:rPr>
            </w:pPr>
            <w:r w:rsidRPr="00DB2B5E">
              <w:rPr>
                <w:rFonts w:ascii="Arial" w:hAnsi="Arial" w:cs="Arial"/>
                <w:i/>
                <w:sz w:val="24"/>
                <w:szCs w:val="24"/>
              </w:rPr>
              <w:t>26417</w:t>
            </w:r>
          </w:p>
          <w:p w:rsidR="00E00628" w:rsidRPr="00DB2B5E" w:rsidRDefault="00E00628" w:rsidP="00C625DB">
            <w:pPr>
              <w:spacing w:after="0" w:line="240" w:lineRule="auto"/>
              <w:rPr>
                <w:rFonts w:ascii="Arial" w:hAnsi="Arial" w:cs="Arial"/>
                <w:i/>
                <w:sz w:val="24"/>
                <w:szCs w:val="24"/>
              </w:rPr>
            </w:pPr>
            <w:r w:rsidRPr="00DB2B5E">
              <w:rPr>
                <w:rFonts w:ascii="Arial" w:hAnsi="Arial" w:cs="Arial"/>
                <w:i/>
                <w:sz w:val="24"/>
                <w:szCs w:val="24"/>
              </w:rPr>
              <w:t xml:space="preserve">  8136</w:t>
            </w:r>
          </w:p>
          <w:p w:rsidR="00E00628" w:rsidRPr="00DB2B5E" w:rsidRDefault="00E00628" w:rsidP="00C625DB">
            <w:pPr>
              <w:spacing w:after="0" w:line="240" w:lineRule="auto"/>
              <w:rPr>
                <w:rFonts w:ascii="Arial" w:hAnsi="Arial" w:cs="Arial"/>
                <w:i/>
                <w:sz w:val="24"/>
                <w:szCs w:val="24"/>
              </w:rPr>
            </w:pPr>
            <w:r w:rsidRPr="00DB2B5E">
              <w:rPr>
                <w:rFonts w:ascii="Arial" w:hAnsi="Arial" w:cs="Arial"/>
                <w:i/>
                <w:sz w:val="24"/>
                <w:szCs w:val="24"/>
              </w:rPr>
              <w:t>14094</w:t>
            </w:r>
          </w:p>
          <w:p w:rsidR="00E00628" w:rsidRPr="00DB2B5E" w:rsidRDefault="00E00628" w:rsidP="00C625DB">
            <w:pPr>
              <w:spacing w:after="0" w:line="240" w:lineRule="auto"/>
              <w:rPr>
                <w:rFonts w:ascii="Arial" w:hAnsi="Arial" w:cs="Arial"/>
                <w:sz w:val="24"/>
                <w:szCs w:val="24"/>
              </w:rPr>
            </w:pPr>
            <w:r w:rsidRPr="00DB2B5E">
              <w:rPr>
                <w:rFonts w:ascii="Arial" w:hAnsi="Arial" w:cs="Arial"/>
                <w:i/>
                <w:sz w:val="24"/>
                <w:szCs w:val="24"/>
              </w:rPr>
              <w:t xml:space="preserve">  7971</w:t>
            </w:r>
          </w:p>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t xml:space="preserve">  </w:t>
            </w:r>
          </w:p>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t>476576</w:t>
            </w:r>
          </w:p>
        </w:tc>
        <w:tc>
          <w:tcPr>
            <w:tcW w:w="1404" w:type="dxa"/>
            <w:tcBorders>
              <w:top w:val="single" w:sz="4" w:space="0" w:color="auto"/>
              <w:left w:val="single" w:sz="4" w:space="0" w:color="auto"/>
              <w:bottom w:val="single" w:sz="4" w:space="0" w:color="auto"/>
              <w:right w:val="single" w:sz="4" w:space="0" w:color="auto"/>
            </w:tcBorders>
            <w:shd w:val="clear" w:color="auto" w:fill="FBF3F3"/>
            <w:hideMark/>
          </w:tcPr>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lastRenderedPageBreak/>
              <w:t>81,81</w:t>
            </w:r>
          </w:p>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t xml:space="preserve">      </w:t>
            </w:r>
          </w:p>
          <w:p w:rsidR="00E00628" w:rsidRPr="00DB2B5E" w:rsidRDefault="00E00628" w:rsidP="00C625DB">
            <w:pPr>
              <w:spacing w:after="0" w:line="240" w:lineRule="auto"/>
              <w:rPr>
                <w:rFonts w:ascii="Arial" w:hAnsi="Arial" w:cs="Arial"/>
                <w:i/>
                <w:sz w:val="24"/>
                <w:szCs w:val="24"/>
              </w:rPr>
            </w:pPr>
            <w:r w:rsidRPr="00DB2B5E">
              <w:rPr>
                <w:rFonts w:ascii="Arial" w:hAnsi="Arial" w:cs="Arial"/>
                <w:sz w:val="24"/>
                <w:szCs w:val="24"/>
              </w:rPr>
              <w:t xml:space="preserve"> </w:t>
            </w:r>
            <w:r w:rsidRPr="00DB2B5E">
              <w:rPr>
                <w:rFonts w:ascii="Arial" w:hAnsi="Arial" w:cs="Arial"/>
                <w:i/>
                <w:sz w:val="24"/>
                <w:szCs w:val="24"/>
              </w:rPr>
              <w:t>73,81</w:t>
            </w:r>
          </w:p>
          <w:p w:rsidR="00E00628" w:rsidRPr="00DB2B5E" w:rsidRDefault="00E00628" w:rsidP="00C625DB">
            <w:pPr>
              <w:spacing w:after="0" w:line="240" w:lineRule="auto"/>
              <w:jc w:val="right"/>
              <w:rPr>
                <w:rFonts w:ascii="Arial" w:hAnsi="Arial" w:cs="Arial"/>
                <w:sz w:val="24"/>
                <w:szCs w:val="24"/>
              </w:rPr>
            </w:pPr>
          </w:p>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lastRenderedPageBreak/>
              <w:t>18,19</w:t>
            </w:r>
          </w:p>
          <w:p w:rsidR="00E00628" w:rsidRPr="00DB2B5E" w:rsidRDefault="00E00628" w:rsidP="00C625DB">
            <w:pPr>
              <w:spacing w:after="0" w:line="240" w:lineRule="auto"/>
              <w:rPr>
                <w:rFonts w:ascii="Arial" w:hAnsi="Arial" w:cs="Arial"/>
                <w:sz w:val="24"/>
                <w:szCs w:val="24"/>
              </w:rPr>
            </w:pPr>
          </w:p>
          <w:p w:rsidR="00E00628" w:rsidRPr="00DB2B5E" w:rsidRDefault="00E00628" w:rsidP="00C625DB">
            <w:pPr>
              <w:spacing w:after="0" w:line="240" w:lineRule="auto"/>
              <w:rPr>
                <w:rFonts w:ascii="Arial" w:hAnsi="Arial" w:cs="Arial"/>
                <w:i/>
                <w:sz w:val="24"/>
                <w:szCs w:val="24"/>
              </w:rPr>
            </w:pPr>
            <w:r w:rsidRPr="00DB2B5E">
              <w:rPr>
                <w:rFonts w:ascii="Arial" w:hAnsi="Arial" w:cs="Arial"/>
                <w:i/>
                <w:sz w:val="24"/>
                <w:szCs w:val="24"/>
              </w:rPr>
              <w:t>6,30</w:t>
            </w:r>
          </w:p>
          <w:p w:rsidR="00E00628" w:rsidRPr="00DB2B5E" w:rsidRDefault="00E00628" w:rsidP="00C625DB">
            <w:pPr>
              <w:spacing w:after="0" w:line="240" w:lineRule="auto"/>
              <w:rPr>
                <w:rFonts w:ascii="Arial" w:hAnsi="Arial" w:cs="Arial"/>
                <w:i/>
                <w:sz w:val="24"/>
                <w:szCs w:val="24"/>
              </w:rPr>
            </w:pPr>
            <w:r w:rsidRPr="00DB2B5E">
              <w:rPr>
                <w:rFonts w:ascii="Arial" w:hAnsi="Arial" w:cs="Arial"/>
                <w:i/>
                <w:sz w:val="24"/>
                <w:szCs w:val="24"/>
              </w:rPr>
              <w:t>5,14</w:t>
            </w:r>
          </w:p>
          <w:p w:rsidR="00E00628" w:rsidRPr="00DB2B5E" w:rsidRDefault="00E00628" w:rsidP="00C625DB">
            <w:pPr>
              <w:spacing w:after="0" w:line="240" w:lineRule="auto"/>
              <w:rPr>
                <w:rFonts w:ascii="Arial" w:hAnsi="Arial" w:cs="Arial"/>
                <w:i/>
                <w:sz w:val="24"/>
                <w:szCs w:val="24"/>
              </w:rPr>
            </w:pPr>
            <w:r w:rsidRPr="00DB2B5E">
              <w:rPr>
                <w:rFonts w:ascii="Arial" w:hAnsi="Arial" w:cs="Arial"/>
                <w:i/>
                <w:sz w:val="24"/>
                <w:szCs w:val="24"/>
              </w:rPr>
              <w:t>1,72</w:t>
            </w:r>
          </w:p>
          <w:p w:rsidR="00E00628" w:rsidRPr="00DB2B5E" w:rsidRDefault="00E00628" w:rsidP="00C625DB">
            <w:pPr>
              <w:spacing w:after="0" w:line="240" w:lineRule="auto"/>
              <w:rPr>
                <w:rFonts w:ascii="Arial" w:hAnsi="Arial" w:cs="Arial"/>
                <w:i/>
                <w:sz w:val="24"/>
                <w:szCs w:val="24"/>
              </w:rPr>
            </w:pPr>
            <w:r w:rsidRPr="00DB2B5E">
              <w:rPr>
                <w:rFonts w:ascii="Arial" w:hAnsi="Arial" w:cs="Arial"/>
                <w:i/>
                <w:sz w:val="24"/>
                <w:szCs w:val="24"/>
              </w:rPr>
              <w:t>2,96</w:t>
            </w:r>
          </w:p>
          <w:p w:rsidR="00E00628" w:rsidRPr="00DB2B5E" w:rsidRDefault="00E00628" w:rsidP="00C625DB">
            <w:pPr>
              <w:spacing w:after="0" w:line="240" w:lineRule="auto"/>
              <w:rPr>
                <w:rFonts w:ascii="Arial" w:hAnsi="Arial" w:cs="Arial"/>
                <w:i/>
                <w:sz w:val="24"/>
                <w:szCs w:val="24"/>
              </w:rPr>
            </w:pPr>
            <w:r w:rsidRPr="00DB2B5E">
              <w:rPr>
                <w:rFonts w:ascii="Arial" w:hAnsi="Arial" w:cs="Arial"/>
                <w:i/>
                <w:sz w:val="24"/>
                <w:szCs w:val="24"/>
              </w:rPr>
              <w:t>1,67</w:t>
            </w:r>
          </w:p>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t xml:space="preserve">   </w:t>
            </w:r>
          </w:p>
          <w:p w:rsidR="00E00628" w:rsidRPr="00DB2B5E" w:rsidRDefault="00E00628" w:rsidP="00C625DB">
            <w:pPr>
              <w:spacing w:after="0" w:line="240" w:lineRule="auto"/>
              <w:jc w:val="right"/>
              <w:rPr>
                <w:rFonts w:ascii="Arial" w:hAnsi="Arial" w:cs="Arial"/>
                <w:sz w:val="24"/>
                <w:szCs w:val="24"/>
              </w:rPr>
            </w:pPr>
            <w:r w:rsidRPr="00DB2B5E">
              <w:rPr>
                <w:rFonts w:ascii="Arial" w:hAnsi="Arial" w:cs="Arial"/>
                <w:sz w:val="24"/>
                <w:szCs w:val="24"/>
              </w:rPr>
              <w:t>100,00</w:t>
            </w:r>
          </w:p>
        </w:tc>
      </w:tr>
    </w:tbl>
    <w:p w:rsidR="00E00628" w:rsidRPr="00DB2B5E" w:rsidRDefault="00E00628" w:rsidP="00C625DB">
      <w:pPr>
        <w:tabs>
          <w:tab w:val="left" w:pos="2160"/>
          <w:tab w:val="left" w:leader="dot" w:pos="8640"/>
        </w:tabs>
        <w:spacing w:after="0" w:line="240" w:lineRule="auto"/>
        <w:ind w:right="-38" w:firstLine="720"/>
        <w:jc w:val="both"/>
        <w:rPr>
          <w:rFonts w:ascii="Arial" w:hAnsi="Arial" w:cs="Arial"/>
          <w:sz w:val="24"/>
          <w:szCs w:val="24"/>
        </w:rPr>
      </w:pPr>
    </w:p>
    <w:p w:rsidR="00E00628" w:rsidRDefault="00E00628" w:rsidP="00C625DB">
      <w:pPr>
        <w:tabs>
          <w:tab w:val="left" w:pos="2160"/>
          <w:tab w:val="left" w:leader="dot" w:pos="8640"/>
        </w:tabs>
        <w:spacing w:after="0" w:line="240" w:lineRule="auto"/>
        <w:ind w:right="-38" w:firstLine="720"/>
        <w:jc w:val="both"/>
        <w:rPr>
          <w:rFonts w:ascii="Arial" w:hAnsi="Arial" w:cs="Arial"/>
          <w:sz w:val="24"/>
          <w:szCs w:val="24"/>
        </w:rPr>
      </w:pPr>
      <w:r w:rsidRPr="00DB2B5E">
        <w:rPr>
          <w:rFonts w:ascii="Arial" w:hAnsi="Arial" w:cs="Arial"/>
          <w:sz w:val="24"/>
          <w:szCs w:val="24"/>
        </w:rPr>
        <w:t xml:space="preserve">Ponderea principală a terenurilor din judeţul </w:t>
      </w:r>
      <w:r w:rsidR="00217620">
        <w:rPr>
          <w:rFonts w:ascii="Arial" w:hAnsi="Arial" w:cs="Arial"/>
          <w:sz w:val="24"/>
          <w:szCs w:val="24"/>
        </w:rPr>
        <w:t>Brăila</w:t>
      </w:r>
      <w:r w:rsidRPr="00DB2B5E">
        <w:rPr>
          <w:rFonts w:ascii="Arial" w:hAnsi="Arial" w:cs="Arial"/>
          <w:sz w:val="24"/>
          <w:szCs w:val="24"/>
        </w:rPr>
        <w:t xml:space="preserve"> o deţin terenurile agricole (81,81%), urmate de păduri şi alte terenuri cu vegetaţie forestieră (6,3%) și ape (5,14%). Alte categorii de terenuri ocupă 11,89 % (ape, drumuri şi căi ferate, curţi şi construcţii etc.)</w:t>
      </w:r>
    </w:p>
    <w:p w:rsidR="00202088" w:rsidRPr="00DB2B5E" w:rsidRDefault="00202088" w:rsidP="00C625DB">
      <w:pPr>
        <w:tabs>
          <w:tab w:val="left" w:pos="2160"/>
          <w:tab w:val="left" w:leader="dot" w:pos="8640"/>
        </w:tabs>
        <w:spacing w:after="0" w:line="240" w:lineRule="auto"/>
        <w:ind w:right="-38" w:firstLine="720"/>
        <w:jc w:val="both"/>
        <w:rPr>
          <w:rFonts w:ascii="Arial" w:hAnsi="Arial" w:cs="Arial"/>
          <w:sz w:val="24"/>
          <w:szCs w:val="24"/>
        </w:rPr>
      </w:pPr>
    </w:p>
    <w:p w:rsidR="00E00628" w:rsidRPr="00DB2B5E" w:rsidRDefault="00E00628" w:rsidP="00C625DB">
      <w:pPr>
        <w:tabs>
          <w:tab w:val="left" w:pos="2160"/>
          <w:tab w:val="left" w:leader="dot" w:pos="8640"/>
        </w:tabs>
        <w:spacing w:after="0" w:line="240" w:lineRule="auto"/>
        <w:ind w:right="-38"/>
        <w:jc w:val="center"/>
        <w:rPr>
          <w:rFonts w:ascii="Arial" w:hAnsi="Arial" w:cs="Arial"/>
          <w:sz w:val="24"/>
          <w:szCs w:val="24"/>
        </w:rPr>
      </w:pPr>
      <w:r w:rsidRPr="00DB2B5E">
        <w:rPr>
          <w:rFonts w:ascii="Arial" w:hAnsi="Arial" w:cs="Arial"/>
          <w:noProof/>
          <w:sz w:val="24"/>
          <w:szCs w:val="24"/>
          <w:lang w:eastAsia="ro-RO"/>
        </w:rPr>
        <w:drawing>
          <wp:inline distT="0" distB="0" distL="0" distR="0">
            <wp:extent cx="5017243" cy="1923690"/>
            <wp:effectExtent l="19050" t="0" r="11957" b="36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00628" w:rsidRPr="00DB2B5E" w:rsidRDefault="00E00628" w:rsidP="00C625DB">
      <w:pPr>
        <w:tabs>
          <w:tab w:val="left" w:pos="2160"/>
          <w:tab w:val="left" w:leader="dot" w:pos="8640"/>
        </w:tabs>
        <w:spacing w:after="0" w:line="240" w:lineRule="auto"/>
        <w:ind w:right="-38"/>
        <w:jc w:val="both"/>
        <w:rPr>
          <w:rFonts w:ascii="Arial" w:hAnsi="Arial" w:cs="Arial"/>
          <w:sz w:val="24"/>
          <w:szCs w:val="24"/>
        </w:rPr>
      </w:pPr>
    </w:p>
    <w:p w:rsidR="00E00628" w:rsidRPr="00202088" w:rsidRDefault="00E00628" w:rsidP="00C625DB">
      <w:pPr>
        <w:tabs>
          <w:tab w:val="left" w:pos="2160"/>
          <w:tab w:val="left" w:leader="dot" w:pos="8640"/>
        </w:tabs>
        <w:spacing w:after="0" w:line="240" w:lineRule="auto"/>
        <w:ind w:right="-38"/>
        <w:jc w:val="center"/>
        <w:rPr>
          <w:rFonts w:ascii="Arial" w:hAnsi="Arial" w:cs="Arial"/>
          <w:kern w:val="32"/>
          <w:sz w:val="24"/>
          <w:szCs w:val="24"/>
        </w:rPr>
      </w:pPr>
      <w:r w:rsidRPr="00202088">
        <w:rPr>
          <w:rFonts w:ascii="Arial" w:hAnsi="Arial" w:cs="Arial"/>
          <w:kern w:val="32"/>
          <w:sz w:val="24"/>
          <w:szCs w:val="24"/>
        </w:rPr>
        <w:t>Fig.IV.1.1-1</w:t>
      </w:r>
    </w:p>
    <w:p w:rsidR="00202088" w:rsidRPr="00DB2B5E" w:rsidRDefault="00202088" w:rsidP="00C625DB">
      <w:pPr>
        <w:tabs>
          <w:tab w:val="left" w:pos="2160"/>
          <w:tab w:val="left" w:leader="dot" w:pos="8640"/>
        </w:tabs>
        <w:spacing w:after="0" w:line="240" w:lineRule="auto"/>
        <w:ind w:right="-38"/>
        <w:jc w:val="center"/>
        <w:rPr>
          <w:rFonts w:ascii="Arial" w:hAnsi="Arial" w:cs="Arial"/>
          <w:b/>
          <w:kern w:val="32"/>
          <w:sz w:val="24"/>
          <w:szCs w:val="24"/>
        </w:rPr>
      </w:pPr>
    </w:p>
    <w:p w:rsidR="00E00628" w:rsidRPr="00DB2B5E" w:rsidRDefault="00E00628" w:rsidP="00C625DB">
      <w:pPr>
        <w:pStyle w:val="Heading1"/>
        <w:spacing w:before="0" w:after="0"/>
        <w:jc w:val="center"/>
        <w:rPr>
          <w:b w:val="0"/>
          <w:bCs w:val="0"/>
          <w:sz w:val="24"/>
          <w:szCs w:val="24"/>
        </w:rPr>
      </w:pPr>
      <w:r w:rsidRPr="00DB2B5E">
        <w:rPr>
          <w:noProof/>
          <w:sz w:val="24"/>
          <w:szCs w:val="24"/>
          <w:lang w:val="ro-RO" w:eastAsia="ro-RO"/>
        </w:rPr>
        <w:drawing>
          <wp:inline distT="0" distB="0" distL="0" distR="0">
            <wp:extent cx="5312074" cy="1846053"/>
            <wp:effectExtent l="19050" t="0" r="21926" b="1797"/>
            <wp:docPr id="6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00628" w:rsidRPr="00202088" w:rsidRDefault="00202088" w:rsidP="00C625DB">
      <w:pPr>
        <w:pStyle w:val="Heading1"/>
        <w:spacing w:before="0" w:after="0"/>
        <w:ind w:left="2211" w:firstLine="737"/>
        <w:jc w:val="both"/>
        <w:rPr>
          <w:b w:val="0"/>
          <w:bCs w:val="0"/>
          <w:sz w:val="24"/>
          <w:szCs w:val="24"/>
        </w:rPr>
      </w:pPr>
      <w:r>
        <w:rPr>
          <w:b w:val="0"/>
          <w:bCs w:val="0"/>
          <w:sz w:val="24"/>
          <w:szCs w:val="24"/>
        </w:rPr>
        <w:t xml:space="preserve">                  </w:t>
      </w:r>
      <w:r w:rsidR="00E00628" w:rsidRPr="00202088">
        <w:rPr>
          <w:b w:val="0"/>
          <w:bCs w:val="0"/>
          <w:sz w:val="24"/>
          <w:szCs w:val="24"/>
        </w:rPr>
        <w:t>Fig. nr. IV.1.1- 2</w:t>
      </w:r>
    </w:p>
    <w:p w:rsidR="00E00628" w:rsidRPr="00202088" w:rsidRDefault="00E00628" w:rsidP="00C625DB">
      <w:pPr>
        <w:pStyle w:val="Heading1"/>
        <w:spacing w:before="0" w:after="0"/>
        <w:jc w:val="both"/>
        <w:rPr>
          <w:b w:val="0"/>
          <w:bCs w:val="0"/>
          <w:sz w:val="24"/>
          <w:szCs w:val="24"/>
        </w:rPr>
      </w:pPr>
    </w:p>
    <w:p w:rsidR="00AE3406" w:rsidRPr="00DB2B5E" w:rsidRDefault="00AE3406" w:rsidP="00C625DB">
      <w:pPr>
        <w:spacing w:after="0" w:line="240" w:lineRule="auto"/>
        <w:jc w:val="both"/>
        <w:rPr>
          <w:rFonts w:ascii="Arial" w:hAnsi="Arial" w:cs="Arial"/>
          <w:b/>
          <w:sz w:val="24"/>
          <w:szCs w:val="24"/>
        </w:rPr>
      </w:pPr>
    </w:p>
    <w:p w:rsidR="00202088" w:rsidRDefault="00202088" w:rsidP="00C625DB">
      <w:pPr>
        <w:spacing w:after="0" w:line="240" w:lineRule="auto"/>
        <w:jc w:val="both"/>
        <w:rPr>
          <w:rFonts w:ascii="Arial" w:hAnsi="Arial" w:cs="Arial"/>
          <w:b/>
          <w:sz w:val="24"/>
          <w:szCs w:val="24"/>
        </w:rPr>
      </w:pPr>
    </w:p>
    <w:p w:rsidR="00202088" w:rsidRDefault="00202088" w:rsidP="00C625DB">
      <w:pPr>
        <w:spacing w:after="0" w:line="240" w:lineRule="auto"/>
        <w:jc w:val="both"/>
        <w:rPr>
          <w:rFonts w:ascii="Arial" w:hAnsi="Arial" w:cs="Arial"/>
          <w:b/>
          <w:sz w:val="24"/>
          <w:szCs w:val="24"/>
        </w:rPr>
      </w:pPr>
    </w:p>
    <w:p w:rsidR="00202088" w:rsidRDefault="00202088" w:rsidP="00C625DB">
      <w:pPr>
        <w:spacing w:after="0" w:line="240" w:lineRule="auto"/>
        <w:jc w:val="both"/>
        <w:rPr>
          <w:rFonts w:ascii="Arial" w:hAnsi="Arial" w:cs="Arial"/>
          <w:b/>
          <w:sz w:val="24"/>
          <w:szCs w:val="24"/>
        </w:rPr>
      </w:pPr>
    </w:p>
    <w:p w:rsidR="00202088" w:rsidRDefault="00202088" w:rsidP="00C625DB">
      <w:pPr>
        <w:spacing w:after="0" w:line="240" w:lineRule="auto"/>
        <w:jc w:val="both"/>
        <w:rPr>
          <w:rFonts w:ascii="Arial" w:hAnsi="Arial" w:cs="Arial"/>
          <w:b/>
          <w:sz w:val="24"/>
          <w:szCs w:val="24"/>
        </w:rPr>
      </w:pPr>
    </w:p>
    <w:p w:rsidR="00202088" w:rsidRDefault="00202088" w:rsidP="00C625DB">
      <w:pPr>
        <w:spacing w:after="0" w:line="240" w:lineRule="auto"/>
        <w:jc w:val="both"/>
        <w:rPr>
          <w:rFonts w:ascii="Arial" w:hAnsi="Arial" w:cs="Arial"/>
          <w:b/>
          <w:sz w:val="24"/>
          <w:szCs w:val="24"/>
        </w:rPr>
      </w:pPr>
    </w:p>
    <w:p w:rsidR="00E00628" w:rsidRPr="00202088" w:rsidRDefault="00E00628" w:rsidP="00C625DB">
      <w:pPr>
        <w:spacing w:after="0" w:line="240" w:lineRule="auto"/>
        <w:jc w:val="both"/>
        <w:rPr>
          <w:rFonts w:ascii="Arial" w:hAnsi="Arial" w:cs="Arial"/>
          <w:sz w:val="24"/>
          <w:szCs w:val="24"/>
        </w:rPr>
      </w:pPr>
      <w:r w:rsidRPr="00202088">
        <w:rPr>
          <w:rFonts w:ascii="Arial" w:hAnsi="Arial" w:cs="Arial"/>
          <w:sz w:val="24"/>
          <w:szCs w:val="24"/>
        </w:rPr>
        <w:t>Tabelul IV.1.1. - 2 Utilizarea terenurilor agricole la nivelul anului 201</w:t>
      </w:r>
      <w:r w:rsidR="008A1026" w:rsidRPr="00202088">
        <w:rPr>
          <w:rFonts w:ascii="Arial" w:hAnsi="Arial" w:cs="Arial"/>
          <w:sz w:val="24"/>
          <w:szCs w:val="24"/>
        </w:rPr>
        <w:t>6</w:t>
      </w:r>
    </w:p>
    <w:tbl>
      <w:tblPr>
        <w:tblW w:w="0" w:type="auto"/>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2"/>
        <w:gridCol w:w="1582"/>
        <w:gridCol w:w="1566"/>
      </w:tblGrid>
      <w:tr w:rsidR="00E00628" w:rsidRPr="00DB2B5E" w:rsidTr="00E00628">
        <w:trPr>
          <w:cantSplit/>
          <w:trHeight w:val="333"/>
          <w:jc w:val="center"/>
        </w:trPr>
        <w:tc>
          <w:tcPr>
            <w:tcW w:w="25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DB2B5E" w:rsidRDefault="00E00628" w:rsidP="00C625DB">
            <w:pPr>
              <w:spacing w:after="0" w:line="240" w:lineRule="auto"/>
              <w:jc w:val="both"/>
              <w:rPr>
                <w:rFonts w:ascii="Arial" w:hAnsi="Arial" w:cs="Arial"/>
                <w:b/>
                <w:sz w:val="24"/>
                <w:szCs w:val="24"/>
              </w:rPr>
            </w:pPr>
            <w:r w:rsidRPr="00DB2B5E">
              <w:rPr>
                <w:rFonts w:ascii="Arial" w:hAnsi="Arial" w:cs="Arial"/>
                <w:b/>
                <w:sz w:val="24"/>
                <w:szCs w:val="24"/>
              </w:rPr>
              <w:t>Tipuri de folosinţă</w:t>
            </w:r>
          </w:p>
        </w:tc>
        <w:tc>
          <w:tcPr>
            <w:tcW w:w="314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Suprafaţa</w:t>
            </w:r>
          </w:p>
        </w:tc>
      </w:tr>
      <w:tr w:rsidR="00E00628" w:rsidRPr="00DB2B5E" w:rsidTr="00E00628">
        <w:trPr>
          <w:cantSplit/>
          <w:trHeight w:val="4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628" w:rsidRPr="00DB2B5E" w:rsidRDefault="00E00628" w:rsidP="00C625DB">
            <w:pPr>
              <w:spacing w:after="0" w:line="240" w:lineRule="auto"/>
              <w:rPr>
                <w:rFonts w:ascii="Arial" w:hAnsi="Arial" w:cs="Arial"/>
                <w:b/>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ha</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w:t>
            </w:r>
          </w:p>
        </w:tc>
      </w:tr>
      <w:tr w:rsidR="00E00628" w:rsidRPr="00DB2B5E" w:rsidTr="00E00628">
        <w:trPr>
          <w:trHeight w:val="1433"/>
          <w:jc w:val="center"/>
        </w:trPr>
        <w:tc>
          <w:tcPr>
            <w:tcW w:w="2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DB2B5E" w:rsidRDefault="00E00628" w:rsidP="00C625DB">
            <w:pPr>
              <w:spacing w:after="0" w:line="240" w:lineRule="auto"/>
              <w:jc w:val="both"/>
              <w:rPr>
                <w:rFonts w:ascii="Arial" w:hAnsi="Arial" w:cs="Arial"/>
                <w:sz w:val="24"/>
                <w:szCs w:val="24"/>
              </w:rPr>
            </w:pPr>
            <w:r w:rsidRPr="00DB2B5E">
              <w:rPr>
                <w:rFonts w:ascii="Arial" w:hAnsi="Arial" w:cs="Arial"/>
                <w:sz w:val="24"/>
                <w:szCs w:val="24"/>
              </w:rPr>
              <w:lastRenderedPageBreak/>
              <w:t>Agricol</w:t>
            </w:r>
          </w:p>
          <w:p w:rsidR="00E00628" w:rsidRPr="00DB2B5E" w:rsidRDefault="00E00628" w:rsidP="00252ED3">
            <w:pPr>
              <w:numPr>
                <w:ilvl w:val="0"/>
                <w:numId w:val="25"/>
              </w:numPr>
              <w:spacing w:after="0" w:line="240" w:lineRule="auto"/>
              <w:jc w:val="both"/>
              <w:rPr>
                <w:rFonts w:ascii="Arial" w:hAnsi="Arial" w:cs="Arial"/>
                <w:sz w:val="24"/>
                <w:szCs w:val="24"/>
              </w:rPr>
            </w:pPr>
            <w:r w:rsidRPr="00DB2B5E">
              <w:rPr>
                <w:rFonts w:ascii="Arial" w:hAnsi="Arial" w:cs="Arial"/>
                <w:sz w:val="24"/>
                <w:szCs w:val="24"/>
              </w:rPr>
              <w:t>arabil</w:t>
            </w:r>
          </w:p>
          <w:p w:rsidR="00E00628" w:rsidRPr="00DB2B5E" w:rsidRDefault="00E00628" w:rsidP="00252ED3">
            <w:pPr>
              <w:numPr>
                <w:ilvl w:val="0"/>
                <w:numId w:val="26"/>
              </w:numPr>
              <w:spacing w:after="0" w:line="240" w:lineRule="auto"/>
              <w:jc w:val="both"/>
              <w:rPr>
                <w:rFonts w:ascii="Arial" w:hAnsi="Arial" w:cs="Arial"/>
                <w:sz w:val="24"/>
                <w:szCs w:val="24"/>
              </w:rPr>
            </w:pPr>
            <w:r w:rsidRPr="00DB2B5E">
              <w:rPr>
                <w:rFonts w:ascii="Arial" w:hAnsi="Arial" w:cs="Arial"/>
                <w:sz w:val="24"/>
                <w:szCs w:val="24"/>
              </w:rPr>
              <w:t>păşuni</w:t>
            </w:r>
          </w:p>
          <w:p w:rsidR="00E00628" w:rsidRPr="00DB2B5E" w:rsidRDefault="00E00628" w:rsidP="00252ED3">
            <w:pPr>
              <w:numPr>
                <w:ilvl w:val="0"/>
                <w:numId w:val="26"/>
              </w:numPr>
              <w:spacing w:after="0" w:line="240" w:lineRule="auto"/>
              <w:jc w:val="both"/>
              <w:rPr>
                <w:rFonts w:ascii="Arial" w:hAnsi="Arial" w:cs="Arial"/>
                <w:sz w:val="24"/>
                <w:szCs w:val="24"/>
              </w:rPr>
            </w:pPr>
            <w:r w:rsidRPr="00DB2B5E">
              <w:rPr>
                <w:rFonts w:ascii="Arial" w:hAnsi="Arial" w:cs="Arial"/>
                <w:sz w:val="24"/>
                <w:szCs w:val="24"/>
              </w:rPr>
              <w:t>vii</w:t>
            </w:r>
          </w:p>
          <w:p w:rsidR="00E00628" w:rsidRPr="00DB2B5E" w:rsidRDefault="00E00628" w:rsidP="00252ED3">
            <w:pPr>
              <w:numPr>
                <w:ilvl w:val="0"/>
                <w:numId w:val="26"/>
              </w:numPr>
              <w:spacing w:after="0" w:line="240" w:lineRule="auto"/>
              <w:jc w:val="both"/>
              <w:rPr>
                <w:rFonts w:ascii="Arial" w:hAnsi="Arial" w:cs="Arial"/>
                <w:sz w:val="24"/>
                <w:szCs w:val="24"/>
              </w:rPr>
            </w:pPr>
            <w:r w:rsidRPr="00DB2B5E">
              <w:rPr>
                <w:rFonts w:ascii="Arial" w:hAnsi="Arial" w:cs="Arial"/>
                <w:sz w:val="24"/>
                <w:szCs w:val="24"/>
              </w:rPr>
              <w:t>livezi</w:t>
            </w:r>
          </w:p>
        </w:tc>
        <w:tc>
          <w:tcPr>
            <w:tcW w:w="1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389.907</w:t>
            </w: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351.782</w:t>
            </w: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33.151</w:t>
            </w: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4.287</w:t>
            </w: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687</w:t>
            </w:r>
          </w:p>
        </w:tc>
        <w:tc>
          <w:tcPr>
            <w:tcW w:w="15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100,00</w:t>
            </w: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90,22</w:t>
            </w: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8,50</w:t>
            </w: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1,10</w:t>
            </w: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0,18</w:t>
            </w:r>
          </w:p>
        </w:tc>
      </w:tr>
    </w:tbl>
    <w:p w:rsidR="00E00628" w:rsidRPr="00DB2B5E" w:rsidRDefault="00E00628" w:rsidP="00C625DB">
      <w:pPr>
        <w:spacing w:after="0" w:line="240" w:lineRule="auto"/>
        <w:ind w:firstLine="720"/>
        <w:jc w:val="both"/>
        <w:rPr>
          <w:rFonts w:ascii="Arial" w:hAnsi="Arial" w:cs="Arial"/>
          <w:sz w:val="24"/>
          <w:szCs w:val="24"/>
        </w:rPr>
      </w:pPr>
    </w:p>
    <w:p w:rsidR="00E00628" w:rsidRPr="00DB2B5E" w:rsidRDefault="00E00628" w:rsidP="00C625DB">
      <w:pPr>
        <w:spacing w:after="0" w:line="240" w:lineRule="auto"/>
        <w:ind w:firstLine="720"/>
        <w:jc w:val="both"/>
        <w:rPr>
          <w:rFonts w:ascii="Arial" w:hAnsi="Arial" w:cs="Arial"/>
          <w:sz w:val="24"/>
          <w:szCs w:val="24"/>
          <w:lang w:val="it-IT"/>
        </w:rPr>
      </w:pPr>
      <w:r w:rsidRPr="00DB2B5E">
        <w:rPr>
          <w:rFonts w:ascii="Arial" w:hAnsi="Arial" w:cs="Arial"/>
          <w:sz w:val="24"/>
          <w:szCs w:val="24"/>
          <w:lang w:val="it-IT"/>
        </w:rPr>
        <w:t xml:space="preserve">Ponderea principală a terenurilor agricole din județul </w:t>
      </w:r>
      <w:r w:rsidR="00217620">
        <w:rPr>
          <w:rFonts w:ascii="Arial" w:hAnsi="Arial" w:cs="Arial"/>
          <w:sz w:val="24"/>
          <w:szCs w:val="24"/>
          <w:lang w:val="it-IT"/>
        </w:rPr>
        <w:t>Brăila</w:t>
      </w:r>
      <w:r w:rsidRPr="00DB2B5E">
        <w:rPr>
          <w:rFonts w:ascii="Arial" w:hAnsi="Arial" w:cs="Arial"/>
          <w:sz w:val="24"/>
          <w:szCs w:val="24"/>
          <w:lang w:val="it-IT"/>
        </w:rPr>
        <w:t xml:space="preserve"> o deţin terenurile agricole arabile (90,63%).</w:t>
      </w: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noProof/>
          <w:sz w:val="24"/>
          <w:szCs w:val="24"/>
          <w:lang w:eastAsia="ro-RO"/>
        </w:rPr>
        <w:drawing>
          <wp:inline distT="0" distB="0" distL="0" distR="0">
            <wp:extent cx="5872792" cy="1802921"/>
            <wp:effectExtent l="19050" t="0" r="13658" b="6829"/>
            <wp:docPr id="68"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00628" w:rsidRPr="00202088" w:rsidRDefault="00E00628" w:rsidP="00C625DB">
      <w:pPr>
        <w:pStyle w:val="Heading1"/>
        <w:spacing w:before="0" w:after="0"/>
        <w:jc w:val="center"/>
        <w:rPr>
          <w:b w:val="0"/>
          <w:bCs w:val="0"/>
          <w:sz w:val="24"/>
          <w:szCs w:val="24"/>
          <w:lang w:val="es-ES"/>
        </w:rPr>
      </w:pPr>
      <w:r w:rsidRPr="00202088">
        <w:rPr>
          <w:b w:val="0"/>
          <w:bCs w:val="0"/>
          <w:sz w:val="24"/>
          <w:szCs w:val="24"/>
          <w:lang w:val="es-ES"/>
        </w:rPr>
        <w:t>Fig. IV.1.1- 3 -</w:t>
      </w:r>
      <w:r w:rsidRPr="00202088">
        <w:rPr>
          <w:b w:val="0"/>
          <w:sz w:val="24"/>
          <w:szCs w:val="24"/>
        </w:rPr>
        <w:t xml:space="preserve"> Utilizarea terenurilor agricole la nivelul anului 2015</w:t>
      </w:r>
    </w:p>
    <w:p w:rsidR="00E00628" w:rsidRPr="00202088" w:rsidRDefault="00E00628" w:rsidP="00C625DB">
      <w:pPr>
        <w:pStyle w:val="Heading1"/>
        <w:spacing w:before="0" w:after="0"/>
        <w:jc w:val="both"/>
        <w:rPr>
          <w:b w:val="0"/>
          <w:bCs w:val="0"/>
          <w:sz w:val="24"/>
          <w:szCs w:val="24"/>
          <w:lang w:val="es-ES"/>
        </w:rPr>
      </w:pPr>
    </w:p>
    <w:p w:rsidR="00E00628" w:rsidRPr="00202088" w:rsidRDefault="00E00628" w:rsidP="00C625DB">
      <w:pPr>
        <w:pStyle w:val="Heading1"/>
        <w:spacing w:before="0" w:after="0"/>
        <w:jc w:val="both"/>
        <w:rPr>
          <w:b w:val="0"/>
          <w:bCs w:val="0"/>
          <w:sz w:val="24"/>
          <w:szCs w:val="24"/>
          <w:lang w:val="es-ES"/>
        </w:rPr>
      </w:pPr>
    </w:p>
    <w:p w:rsidR="00E00628" w:rsidRPr="00DB2B5E" w:rsidRDefault="00202088" w:rsidP="00C625DB">
      <w:pPr>
        <w:pStyle w:val="Heading1"/>
        <w:spacing w:before="0" w:after="0"/>
        <w:jc w:val="both"/>
        <w:rPr>
          <w:sz w:val="24"/>
          <w:szCs w:val="24"/>
          <w:lang w:val="es-ES"/>
        </w:rPr>
      </w:pPr>
      <w:r>
        <w:rPr>
          <w:bCs w:val="0"/>
          <w:sz w:val="24"/>
          <w:szCs w:val="24"/>
          <w:lang w:val="es-ES"/>
        </w:rPr>
        <w:t xml:space="preserve">      </w:t>
      </w:r>
      <w:r w:rsidR="00E00628" w:rsidRPr="00DB2B5E">
        <w:rPr>
          <w:bCs w:val="0"/>
          <w:sz w:val="24"/>
          <w:szCs w:val="24"/>
          <w:lang w:val="es-ES"/>
        </w:rPr>
        <w:t xml:space="preserve"> IV.1.2 </w:t>
      </w:r>
      <w:r w:rsidR="00E00628" w:rsidRPr="00DB2B5E">
        <w:rPr>
          <w:bCs w:val="0"/>
          <w:i/>
          <w:sz w:val="24"/>
          <w:szCs w:val="24"/>
          <w:lang w:val="es-ES"/>
        </w:rPr>
        <w:t>Tendințe privind schimbarea destinației utilizării terenurilor</w:t>
      </w:r>
    </w:p>
    <w:p w:rsidR="00E00628" w:rsidRPr="00DB2B5E" w:rsidRDefault="00E00628" w:rsidP="00C625DB">
      <w:pPr>
        <w:pStyle w:val="BodyTextIndent"/>
        <w:tabs>
          <w:tab w:val="left" w:pos="2460"/>
        </w:tabs>
        <w:spacing w:after="0" w:line="240" w:lineRule="auto"/>
        <w:ind w:left="0"/>
        <w:jc w:val="both"/>
        <w:rPr>
          <w:rFonts w:ascii="Arial" w:hAnsi="Arial" w:cs="Arial"/>
          <w:b/>
          <w:sz w:val="24"/>
          <w:szCs w:val="24"/>
        </w:rPr>
      </w:pPr>
      <w:r w:rsidRPr="00DB2B5E">
        <w:rPr>
          <w:rFonts w:ascii="Arial" w:hAnsi="Arial" w:cs="Arial"/>
          <w:sz w:val="24"/>
          <w:szCs w:val="24"/>
          <w:lang w:val="es-ES"/>
        </w:rPr>
        <w:tab/>
      </w:r>
      <w:r w:rsidRPr="00DB2B5E">
        <w:rPr>
          <w:rFonts w:ascii="Arial" w:hAnsi="Arial" w:cs="Arial"/>
          <w:sz w:val="24"/>
          <w:szCs w:val="24"/>
          <w:lang w:val="es-ES"/>
        </w:rPr>
        <w:tab/>
      </w:r>
      <w:r w:rsidRPr="00DB2B5E">
        <w:rPr>
          <w:rFonts w:ascii="Arial" w:hAnsi="Arial" w:cs="Arial"/>
          <w:sz w:val="24"/>
          <w:szCs w:val="24"/>
          <w:lang w:val="es-ES"/>
        </w:rPr>
        <w:tab/>
      </w:r>
      <w:r w:rsidRPr="00DB2B5E">
        <w:rPr>
          <w:rFonts w:ascii="Arial" w:hAnsi="Arial" w:cs="Arial"/>
          <w:sz w:val="24"/>
          <w:szCs w:val="24"/>
          <w:lang w:val="es-ES"/>
        </w:rPr>
        <w:tab/>
      </w:r>
      <w:r w:rsidRPr="00DB2B5E">
        <w:rPr>
          <w:rFonts w:ascii="Arial" w:hAnsi="Arial" w:cs="Arial"/>
          <w:sz w:val="24"/>
          <w:szCs w:val="24"/>
          <w:lang w:val="es-ES"/>
        </w:rPr>
        <w:tab/>
      </w:r>
      <w:r w:rsidRPr="00DB2B5E">
        <w:rPr>
          <w:rFonts w:ascii="Arial" w:hAnsi="Arial" w:cs="Arial"/>
          <w:sz w:val="24"/>
          <w:szCs w:val="24"/>
          <w:lang w:val="es-ES"/>
        </w:rPr>
        <w:tab/>
      </w:r>
    </w:p>
    <w:p w:rsidR="00E00628" w:rsidRPr="00DB2B5E" w:rsidRDefault="00E00628" w:rsidP="00202088">
      <w:pPr>
        <w:pStyle w:val="Heading1"/>
        <w:spacing w:before="0" w:after="0"/>
        <w:jc w:val="center"/>
        <w:rPr>
          <w:b w:val="0"/>
          <w:sz w:val="24"/>
          <w:szCs w:val="24"/>
        </w:rPr>
      </w:pPr>
      <w:r w:rsidRPr="00202088">
        <w:rPr>
          <w:b w:val="0"/>
          <w:sz w:val="24"/>
          <w:szCs w:val="24"/>
        </w:rPr>
        <w:t>Tabel IV.1.2. -1</w:t>
      </w:r>
      <w:r w:rsidRPr="00DB2B5E">
        <w:rPr>
          <w:sz w:val="24"/>
          <w:szCs w:val="24"/>
        </w:rPr>
        <w:t xml:space="preserve"> </w:t>
      </w:r>
      <w:r w:rsidRPr="00DB2B5E">
        <w:rPr>
          <w:b w:val="0"/>
          <w:bCs w:val="0"/>
          <w:sz w:val="24"/>
          <w:szCs w:val="24"/>
          <w:lang w:val="es-ES"/>
        </w:rPr>
        <w:t>Schimbări în acoperirea/utilizarea terenurilor în perioada 2011-2015</w:t>
      </w:r>
    </w:p>
    <w:tbl>
      <w:tblPr>
        <w:tblpPr w:leftFromText="180" w:rightFromText="180" w:vertAnchor="text" w:horzAnchor="margin" w:tblpXSpec="center" w:tblpY="14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DD"/>
        <w:tblLayout w:type="fixed"/>
        <w:tblLook w:val="01E0"/>
      </w:tblPr>
      <w:tblGrid>
        <w:gridCol w:w="1690"/>
        <w:gridCol w:w="1157"/>
        <w:gridCol w:w="1157"/>
        <w:gridCol w:w="1152"/>
        <w:gridCol w:w="1108"/>
        <w:gridCol w:w="1108"/>
        <w:gridCol w:w="1252"/>
        <w:gridCol w:w="1299"/>
      </w:tblGrid>
      <w:tr w:rsidR="00E00628" w:rsidRPr="00DB2B5E" w:rsidTr="00E00628">
        <w:trPr>
          <w:trHeight w:val="450"/>
        </w:trPr>
        <w:tc>
          <w:tcPr>
            <w:tcW w:w="1847" w:type="dxa"/>
            <w:vMerge w:val="restar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DC03E4" w:rsidRDefault="00E00628" w:rsidP="00C625DB">
            <w:pPr>
              <w:pStyle w:val="BodyTextIndent"/>
              <w:spacing w:after="0" w:line="240" w:lineRule="auto"/>
              <w:ind w:left="0"/>
              <w:jc w:val="center"/>
              <w:rPr>
                <w:rFonts w:ascii="Arial" w:hAnsi="Arial" w:cs="Arial"/>
                <w:b/>
                <w:sz w:val="20"/>
                <w:szCs w:val="20"/>
              </w:rPr>
            </w:pPr>
            <w:r w:rsidRPr="00DC03E4">
              <w:rPr>
                <w:rFonts w:ascii="Arial" w:hAnsi="Arial" w:cs="Arial"/>
                <w:b/>
                <w:sz w:val="20"/>
                <w:szCs w:val="20"/>
              </w:rPr>
              <w:t>Categoria</w:t>
            </w:r>
          </w:p>
          <w:p w:rsidR="00E00628" w:rsidRPr="00DC03E4" w:rsidRDefault="00E00628" w:rsidP="00C625DB">
            <w:pPr>
              <w:pStyle w:val="BodyTextIndent"/>
              <w:spacing w:after="0" w:line="240" w:lineRule="auto"/>
              <w:ind w:left="0"/>
              <w:jc w:val="center"/>
              <w:rPr>
                <w:rFonts w:ascii="Arial" w:hAnsi="Arial" w:cs="Arial"/>
                <w:b/>
                <w:sz w:val="20"/>
                <w:szCs w:val="20"/>
              </w:rPr>
            </w:pPr>
            <w:r w:rsidRPr="00DC03E4">
              <w:rPr>
                <w:rFonts w:ascii="Arial" w:hAnsi="Arial" w:cs="Arial"/>
                <w:b/>
                <w:sz w:val="20"/>
                <w:szCs w:val="20"/>
              </w:rPr>
              <w:t>de acoperire</w:t>
            </w:r>
          </w:p>
        </w:tc>
        <w:tc>
          <w:tcPr>
            <w:tcW w:w="6167" w:type="dxa"/>
            <w:gridSpan w:val="5"/>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E00628" w:rsidRPr="00DC03E4" w:rsidRDefault="00E00628" w:rsidP="00C625DB">
            <w:pPr>
              <w:pStyle w:val="BodyTextIndent"/>
              <w:spacing w:after="0" w:line="240" w:lineRule="auto"/>
              <w:ind w:left="0"/>
              <w:jc w:val="center"/>
              <w:rPr>
                <w:rFonts w:ascii="Arial" w:hAnsi="Arial" w:cs="Arial"/>
                <w:b/>
                <w:sz w:val="20"/>
                <w:szCs w:val="20"/>
              </w:rPr>
            </w:pPr>
            <w:r w:rsidRPr="00DC03E4">
              <w:rPr>
                <w:rFonts w:ascii="Arial" w:hAnsi="Arial" w:cs="Arial"/>
                <w:b/>
                <w:sz w:val="20"/>
                <w:szCs w:val="20"/>
              </w:rPr>
              <w:t>Suprafaţa (ha)</w:t>
            </w:r>
          </w:p>
        </w:tc>
        <w:tc>
          <w:tcPr>
            <w:tcW w:w="1361" w:type="dxa"/>
            <w:tcBorders>
              <w:bottom w:val="single" w:sz="4" w:space="0" w:color="auto"/>
            </w:tcBorders>
            <w:shd w:val="clear" w:color="DDD9C3" w:themeColor="background2" w:themeShade="E6" w:fill="FFEFBD"/>
            <w:vAlign w:val="center"/>
          </w:tcPr>
          <w:p w:rsidR="00E00628" w:rsidRPr="00DC03E4" w:rsidRDefault="00E00628" w:rsidP="00C625DB">
            <w:pPr>
              <w:spacing w:after="0" w:line="240" w:lineRule="auto"/>
              <w:jc w:val="center"/>
              <w:rPr>
                <w:rFonts w:ascii="Arial" w:hAnsi="Arial" w:cs="Arial"/>
                <w:sz w:val="20"/>
                <w:szCs w:val="20"/>
              </w:rPr>
            </w:pPr>
            <w:r w:rsidRPr="00DC03E4">
              <w:rPr>
                <w:rFonts w:ascii="Arial" w:hAnsi="Arial" w:cs="Arial"/>
                <w:sz w:val="20"/>
                <w:szCs w:val="20"/>
              </w:rPr>
              <w:t>Schimbări în acoperirea terenurilor</w:t>
            </w:r>
          </w:p>
          <w:p w:rsidR="00E00628" w:rsidRPr="00DC03E4" w:rsidRDefault="00E00628" w:rsidP="00C625DB">
            <w:pPr>
              <w:spacing w:after="0" w:line="240" w:lineRule="auto"/>
              <w:jc w:val="center"/>
              <w:rPr>
                <w:rFonts w:ascii="Arial" w:hAnsi="Arial" w:cs="Arial"/>
                <w:sz w:val="20"/>
                <w:szCs w:val="20"/>
              </w:rPr>
            </w:pPr>
            <w:r w:rsidRPr="00DC03E4">
              <w:rPr>
                <w:rFonts w:ascii="Arial" w:hAnsi="Arial" w:cs="Arial"/>
                <w:sz w:val="20"/>
                <w:szCs w:val="20"/>
              </w:rPr>
              <w:t>2011-2015(ha)</w:t>
            </w:r>
          </w:p>
        </w:tc>
        <w:tc>
          <w:tcPr>
            <w:tcW w:w="1413" w:type="dxa"/>
            <w:tcBorders>
              <w:bottom w:val="single" w:sz="4" w:space="0" w:color="auto"/>
            </w:tcBorders>
            <w:shd w:val="clear" w:color="DDD9C3" w:themeColor="background2" w:themeShade="E6" w:fill="FFEFBD"/>
            <w:vAlign w:val="center"/>
          </w:tcPr>
          <w:p w:rsidR="00E00628" w:rsidRPr="00DC03E4" w:rsidRDefault="00E00628" w:rsidP="00C625DB">
            <w:pPr>
              <w:spacing w:after="0" w:line="240" w:lineRule="auto"/>
              <w:jc w:val="center"/>
              <w:rPr>
                <w:rFonts w:ascii="Arial" w:hAnsi="Arial" w:cs="Arial"/>
                <w:sz w:val="20"/>
                <w:szCs w:val="20"/>
              </w:rPr>
            </w:pPr>
            <w:r w:rsidRPr="00DC03E4">
              <w:rPr>
                <w:rFonts w:ascii="Arial" w:hAnsi="Arial" w:cs="Arial"/>
                <w:sz w:val="20"/>
                <w:szCs w:val="20"/>
              </w:rPr>
              <w:t>Schimbări în acoperirea terenurilor</w:t>
            </w:r>
          </w:p>
          <w:p w:rsidR="00E00628" w:rsidRPr="00DC03E4" w:rsidRDefault="00E00628" w:rsidP="00C625DB">
            <w:pPr>
              <w:spacing w:after="0" w:line="240" w:lineRule="auto"/>
              <w:jc w:val="center"/>
              <w:rPr>
                <w:rFonts w:ascii="Arial" w:hAnsi="Arial" w:cs="Arial"/>
                <w:sz w:val="20"/>
                <w:szCs w:val="20"/>
              </w:rPr>
            </w:pPr>
            <w:r w:rsidRPr="00DC03E4">
              <w:rPr>
                <w:rFonts w:ascii="Arial" w:hAnsi="Arial" w:cs="Arial"/>
                <w:sz w:val="20"/>
                <w:szCs w:val="20"/>
              </w:rPr>
              <w:t>% din anul 2011)</w:t>
            </w:r>
          </w:p>
        </w:tc>
      </w:tr>
      <w:tr w:rsidR="00E00628" w:rsidRPr="00DB2B5E" w:rsidTr="00E00628">
        <w:trPr>
          <w:trHeight w:val="360"/>
        </w:trPr>
        <w:tc>
          <w:tcPr>
            <w:tcW w:w="1847" w:type="dxa"/>
            <w:vMerge/>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DB2B5E" w:rsidRDefault="00E00628" w:rsidP="00C625DB">
            <w:pPr>
              <w:spacing w:after="0" w:line="240" w:lineRule="auto"/>
              <w:rPr>
                <w:rFonts w:ascii="Arial" w:eastAsia="Times New Roman" w:hAnsi="Arial" w:cs="Arial"/>
                <w:b/>
                <w:sz w:val="24"/>
                <w:szCs w:val="24"/>
                <w:lang w:val="en-US"/>
              </w:rPr>
            </w:pPr>
          </w:p>
        </w:tc>
        <w:tc>
          <w:tcPr>
            <w:tcW w:w="1256"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DC03E4" w:rsidRDefault="00E00628" w:rsidP="00C625DB">
            <w:pPr>
              <w:spacing w:after="0" w:line="240" w:lineRule="auto"/>
              <w:jc w:val="center"/>
              <w:rPr>
                <w:rFonts w:ascii="Arial" w:hAnsi="Arial" w:cs="Arial"/>
                <w:b/>
              </w:rPr>
            </w:pPr>
            <w:r w:rsidRPr="00DC03E4">
              <w:rPr>
                <w:rFonts w:ascii="Arial" w:hAnsi="Arial" w:cs="Arial"/>
                <w:b/>
              </w:rPr>
              <w:t>2011</w:t>
            </w:r>
          </w:p>
        </w:tc>
        <w:tc>
          <w:tcPr>
            <w:tcW w:w="1256"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DC03E4" w:rsidRDefault="00E00628" w:rsidP="00C625DB">
            <w:pPr>
              <w:spacing w:after="0" w:line="240" w:lineRule="auto"/>
              <w:jc w:val="center"/>
              <w:rPr>
                <w:rFonts w:ascii="Arial" w:hAnsi="Arial" w:cs="Arial"/>
                <w:b/>
              </w:rPr>
            </w:pPr>
            <w:r w:rsidRPr="00DC03E4">
              <w:rPr>
                <w:rFonts w:ascii="Arial" w:hAnsi="Arial" w:cs="Arial"/>
                <w:b/>
              </w:rPr>
              <w:t>2012</w:t>
            </w:r>
          </w:p>
        </w:tc>
        <w:tc>
          <w:tcPr>
            <w:tcW w:w="1251"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DC03E4" w:rsidRDefault="00E00628" w:rsidP="00C625DB">
            <w:pPr>
              <w:spacing w:after="0" w:line="240" w:lineRule="auto"/>
              <w:jc w:val="center"/>
              <w:rPr>
                <w:rFonts w:ascii="Arial" w:hAnsi="Arial" w:cs="Arial"/>
                <w:b/>
              </w:rPr>
            </w:pPr>
            <w:r w:rsidRPr="00DC03E4">
              <w:rPr>
                <w:rFonts w:ascii="Arial" w:hAnsi="Arial" w:cs="Arial"/>
                <w:b/>
              </w:rPr>
              <w:t>2013</w:t>
            </w:r>
          </w:p>
        </w:tc>
        <w:tc>
          <w:tcPr>
            <w:tcW w:w="1202"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00628" w:rsidRPr="00DC03E4" w:rsidRDefault="00E00628" w:rsidP="00C625DB">
            <w:pPr>
              <w:spacing w:after="0" w:line="240" w:lineRule="auto"/>
              <w:jc w:val="center"/>
              <w:rPr>
                <w:rFonts w:ascii="Arial" w:hAnsi="Arial" w:cs="Arial"/>
                <w:b/>
              </w:rPr>
            </w:pPr>
            <w:r w:rsidRPr="00DC03E4">
              <w:rPr>
                <w:rFonts w:ascii="Arial" w:hAnsi="Arial" w:cs="Arial"/>
                <w:b/>
              </w:rPr>
              <w:t>2014</w:t>
            </w:r>
          </w:p>
        </w:tc>
        <w:tc>
          <w:tcPr>
            <w:tcW w:w="1202" w:type="dxa"/>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E00628" w:rsidRPr="00DC03E4" w:rsidRDefault="00E00628" w:rsidP="00C625DB">
            <w:pPr>
              <w:spacing w:after="0" w:line="240" w:lineRule="auto"/>
              <w:jc w:val="center"/>
              <w:rPr>
                <w:rFonts w:ascii="Arial" w:hAnsi="Arial" w:cs="Arial"/>
                <w:b/>
              </w:rPr>
            </w:pPr>
            <w:r w:rsidRPr="00DC03E4">
              <w:rPr>
                <w:rFonts w:ascii="Arial" w:hAnsi="Arial" w:cs="Arial"/>
                <w:b/>
              </w:rPr>
              <w:t>2015</w:t>
            </w:r>
          </w:p>
        </w:tc>
        <w:tc>
          <w:tcPr>
            <w:tcW w:w="1361" w:type="dxa"/>
            <w:tcBorders>
              <w:top w:val="nil"/>
            </w:tcBorders>
            <w:shd w:val="clear" w:color="DDD9C3" w:themeColor="background2" w:themeShade="E6" w:fill="FFEFBD"/>
          </w:tcPr>
          <w:p w:rsidR="00E00628" w:rsidRPr="00DC03E4" w:rsidRDefault="00E00628" w:rsidP="00C625DB">
            <w:pPr>
              <w:spacing w:after="0" w:line="240" w:lineRule="auto"/>
              <w:rPr>
                <w:rFonts w:ascii="Arial" w:hAnsi="Arial" w:cs="Arial"/>
              </w:rPr>
            </w:pPr>
          </w:p>
        </w:tc>
        <w:tc>
          <w:tcPr>
            <w:tcW w:w="1413" w:type="dxa"/>
            <w:tcBorders>
              <w:top w:val="nil"/>
            </w:tcBorders>
            <w:shd w:val="clear" w:color="DDD9C3" w:themeColor="background2" w:themeShade="E6" w:fill="FFEFBD"/>
          </w:tcPr>
          <w:p w:rsidR="00E00628" w:rsidRPr="00DC03E4" w:rsidRDefault="00E00628" w:rsidP="00C625DB">
            <w:pPr>
              <w:spacing w:after="0" w:line="240" w:lineRule="auto"/>
              <w:rPr>
                <w:rFonts w:ascii="Arial" w:hAnsi="Arial" w:cs="Arial"/>
              </w:rPr>
            </w:pPr>
          </w:p>
        </w:tc>
      </w:tr>
      <w:tr w:rsidR="00E00628" w:rsidRPr="00DB2B5E" w:rsidTr="00E00628">
        <w:trPr>
          <w:trHeight w:val="360"/>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rPr>
                <w:rFonts w:ascii="Arial" w:hAnsi="Arial" w:cs="Arial"/>
              </w:rPr>
            </w:pPr>
            <w:r w:rsidRPr="00DC03E4">
              <w:rPr>
                <w:rFonts w:ascii="Arial" w:hAnsi="Arial" w:cs="Arial"/>
              </w:rPr>
              <w:t>TOTAL</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476576</w:t>
            </w:r>
          </w:p>
        </w:tc>
        <w:tc>
          <w:tcPr>
            <w:tcW w:w="1361" w:type="dxa"/>
            <w:tcBorders>
              <w:top w:val="nil"/>
            </w:tcBorders>
            <w:shd w:val="clear" w:color="auto" w:fill="FFFFE7"/>
          </w:tcPr>
          <w:p w:rsidR="00E00628" w:rsidRPr="00DC03E4" w:rsidRDefault="00E00628" w:rsidP="00C625DB">
            <w:pPr>
              <w:spacing w:after="0" w:line="240" w:lineRule="auto"/>
              <w:rPr>
                <w:rFonts w:ascii="Arial" w:hAnsi="Arial" w:cs="Arial"/>
              </w:rPr>
            </w:pPr>
          </w:p>
        </w:tc>
        <w:tc>
          <w:tcPr>
            <w:tcW w:w="1413" w:type="dxa"/>
            <w:tcBorders>
              <w:top w:val="nil"/>
            </w:tcBorders>
            <w:shd w:val="clear" w:color="auto" w:fill="FFFFE7"/>
          </w:tcPr>
          <w:p w:rsidR="00E00628" w:rsidRPr="00DC03E4" w:rsidRDefault="00E00628" w:rsidP="00C625DB">
            <w:pPr>
              <w:spacing w:after="0" w:line="240" w:lineRule="auto"/>
              <w:rPr>
                <w:rFonts w:ascii="Arial" w:hAnsi="Arial" w:cs="Arial"/>
              </w:rPr>
            </w:pPr>
          </w:p>
        </w:tc>
      </w:tr>
      <w:tr w:rsidR="00E00628" w:rsidRPr="00DB2B5E" w:rsidTr="00E00628">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rPr>
                <w:rFonts w:ascii="Arial" w:hAnsi="Arial" w:cs="Arial"/>
              </w:rPr>
            </w:pPr>
            <w:r w:rsidRPr="00DC03E4">
              <w:rPr>
                <w:rFonts w:ascii="Arial" w:hAnsi="Arial" w:cs="Arial"/>
              </w:rPr>
              <w:t>Terenuri agricole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387.363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387.160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387.598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jc w:val="center"/>
              <w:rPr>
                <w:rFonts w:ascii="Arial" w:hAnsi="Arial" w:cs="Arial"/>
              </w:rPr>
            </w:pPr>
            <w:r w:rsidRPr="00DC03E4">
              <w:rPr>
                <w:rFonts w:ascii="Arial" w:hAnsi="Arial" w:cs="Arial"/>
              </w:rPr>
              <w:t>387.750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389.907</w:t>
            </w:r>
          </w:p>
        </w:tc>
        <w:tc>
          <w:tcPr>
            <w:tcW w:w="1361"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2544</w:t>
            </w:r>
          </w:p>
        </w:tc>
        <w:tc>
          <w:tcPr>
            <w:tcW w:w="1413"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0,65</w:t>
            </w:r>
          </w:p>
        </w:tc>
      </w:tr>
      <w:tr w:rsidR="00E00628" w:rsidRPr="00DB2B5E" w:rsidTr="00E00628">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rPr>
                <w:rFonts w:ascii="Arial" w:hAnsi="Arial" w:cs="Arial"/>
              </w:rPr>
            </w:pPr>
            <w:r w:rsidRPr="00DC03E4">
              <w:rPr>
                <w:rFonts w:ascii="Arial" w:hAnsi="Arial" w:cs="Arial"/>
              </w:rPr>
              <w:t>Arabil</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350.447</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350625</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350.862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jc w:val="center"/>
              <w:rPr>
                <w:rFonts w:ascii="Arial" w:hAnsi="Arial" w:cs="Arial"/>
              </w:rPr>
            </w:pPr>
            <w:r w:rsidRPr="00DC03E4">
              <w:rPr>
                <w:rFonts w:ascii="Arial" w:hAnsi="Arial" w:cs="Arial"/>
              </w:rPr>
              <w:t>351.420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351.782</w:t>
            </w:r>
          </w:p>
        </w:tc>
        <w:tc>
          <w:tcPr>
            <w:tcW w:w="1361" w:type="dxa"/>
            <w:tcBorders>
              <w:top w:val="nil"/>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1335</w:t>
            </w:r>
          </w:p>
        </w:tc>
        <w:tc>
          <w:tcPr>
            <w:tcW w:w="1413" w:type="dxa"/>
            <w:tcBorders>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0,38</w:t>
            </w:r>
          </w:p>
        </w:tc>
      </w:tr>
      <w:tr w:rsidR="00E00628" w:rsidRPr="00DB2B5E" w:rsidTr="00E00628">
        <w:trPr>
          <w:trHeight w:val="271"/>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rPr>
                <w:rFonts w:ascii="Arial" w:hAnsi="Arial" w:cs="Arial"/>
              </w:rPr>
            </w:pPr>
            <w:r w:rsidRPr="00DC03E4">
              <w:rPr>
                <w:rFonts w:ascii="Arial" w:hAnsi="Arial" w:cs="Arial"/>
              </w:rPr>
              <w:t>Păşuni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31.733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31332</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31.538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jc w:val="center"/>
              <w:rPr>
                <w:rFonts w:ascii="Arial" w:hAnsi="Arial" w:cs="Arial"/>
              </w:rPr>
            </w:pPr>
            <w:r w:rsidRPr="00DC03E4">
              <w:rPr>
                <w:rFonts w:ascii="Arial" w:hAnsi="Arial" w:cs="Arial"/>
              </w:rPr>
              <w:t>31.132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33.151</w:t>
            </w:r>
          </w:p>
        </w:tc>
        <w:tc>
          <w:tcPr>
            <w:tcW w:w="1361"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1418</w:t>
            </w:r>
          </w:p>
        </w:tc>
        <w:tc>
          <w:tcPr>
            <w:tcW w:w="1413"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-4,46</w:t>
            </w:r>
          </w:p>
        </w:tc>
      </w:tr>
      <w:tr w:rsidR="00E00628" w:rsidRPr="00DB2B5E" w:rsidTr="00E00628">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rPr>
                <w:rFonts w:ascii="Arial" w:hAnsi="Arial" w:cs="Arial"/>
              </w:rPr>
            </w:pPr>
            <w:r w:rsidRPr="00DC03E4">
              <w:rPr>
                <w:rFonts w:ascii="Arial" w:hAnsi="Arial" w:cs="Arial"/>
              </w:rPr>
              <w:t>Fâneţe şi pajişti naturale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jc w:val="center"/>
              <w:rPr>
                <w:rFonts w:ascii="Arial" w:hAnsi="Arial" w:cs="Arial"/>
              </w:rPr>
            </w:pPr>
            <w:r w:rsidRPr="00DC03E4">
              <w:rPr>
                <w:rFonts w:ascii="Arial" w:hAnsi="Arial" w:cs="Arial"/>
              </w:rPr>
              <w:t>0</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0</w:t>
            </w:r>
          </w:p>
        </w:tc>
        <w:tc>
          <w:tcPr>
            <w:tcW w:w="1361"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0</w:t>
            </w:r>
          </w:p>
        </w:tc>
        <w:tc>
          <w:tcPr>
            <w:tcW w:w="1413"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0</w:t>
            </w:r>
          </w:p>
        </w:tc>
      </w:tr>
      <w:tr w:rsidR="00E00628" w:rsidRPr="00DB2B5E" w:rsidTr="00E00628">
        <w:trPr>
          <w:trHeight w:val="399"/>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rPr>
                <w:rFonts w:ascii="Arial" w:hAnsi="Arial" w:cs="Arial"/>
              </w:rPr>
            </w:pPr>
            <w:r w:rsidRPr="00DC03E4">
              <w:rPr>
                <w:rFonts w:ascii="Arial" w:hAnsi="Arial" w:cs="Arial"/>
              </w:rPr>
              <w:t>Vii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4.529</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4545</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4560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4560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4287</w:t>
            </w:r>
          </w:p>
        </w:tc>
        <w:tc>
          <w:tcPr>
            <w:tcW w:w="1361" w:type="dxa"/>
            <w:tcBorders>
              <w:top w:val="nil"/>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-242</w:t>
            </w:r>
          </w:p>
        </w:tc>
        <w:tc>
          <w:tcPr>
            <w:tcW w:w="1413" w:type="dxa"/>
            <w:tcBorders>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-5,34</w:t>
            </w:r>
          </w:p>
        </w:tc>
      </w:tr>
      <w:tr w:rsidR="00E00628" w:rsidRPr="00DB2B5E" w:rsidTr="00E00628">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rPr>
                <w:rFonts w:ascii="Arial" w:hAnsi="Arial" w:cs="Arial"/>
              </w:rPr>
            </w:pPr>
            <w:r w:rsidRPr="00DC03E4">
              <w:rPr>
                <w:rFonts w:ascii="Arial" w:hAnsi="Arial" w:cs="Arial"/>
              </w:rPr>
              <w:t>Livezi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654</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658</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638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638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687</w:t>
            </w:r>
          </w:p>
        </w:tc>
        <w:tc>
          <w:tcPr>
            <w:tcW w:w="1361" w:type="dxa"/>
            <w:tcBorders>
              <w:top w:val="nil"/>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-33</w:t>
            </w:r>
          </w:p>
        </w:tc>
        <w:tc>
          <w:tcPr>
            <w:tcW w:w="1413" w:type="dxa"/>
            <w:tcBorders>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-5,04</w:t>
            </w:r>
          </w:p>
        </w:tc>
      </w:tr>
      <w:tr w:rsidR="00E00628" w:rsidRPr="00DB2B5E"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rPr>
                <w:rFonts w:ascii="Arial" w:hAnsi="Arial" w:cs="Arial"/>
              </w:rPr>
            </w:pPr>
            <w:r w:rsidRPr="00DC03E4">
              <w:rPr>
                <w:rFonts w:ascii="Arial" w:hAnsi="Arial" w:cs="Arial"/>
              </w:rPr>
              <w:t>Terenuri  neagricole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89.213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89.416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jc w:val="center"/>
              <w:rPr>
                <w:rFonts w:ascii="Arial" w:hAnsi="Arial" w:cs="Arial"/>
              </w:rPr>
            </w:pPr>
            <w:r w:rsidRPr="00DC03E4">
              <w:rPr>
                <w:rFonts w:ascii="Arial" w:hAnsi="Arial" w:cs="Arial"/>
              </w:rPr>
              <w:t>88.978</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88.826</w:t>
            </w:r>
          </w:p>
        </w:tc>
        <w:tc>
          <w:tcPr>
            <w:tcW w:w="1202"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86.665</w:t>
            </w:r>
          </w:p>
        </w:tc>
        <w:tc>
          <w:tcPr>
            <w:tcW w:w="1361"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-2548</w:t>
            </w:r>
          </w:p>
        </w:tc>
        <w:tc>
          <w:tcPr>
            <w:tcW w:w="1413"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-2,86</w:t>
            </w:r>
          </w:p>
        </w:tc>
      </w:tr>
      <w:tr w:rsidR="00E00628" w:rsidRPr="00DB2B5E"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rPr>
                <w:rFonts w:ascii="Arial" w:hAnsi="Arial" w:cs="Arial"/>
              </w:rPr>
            </w:pPr>
            <w:r w:rsidRPr="00DC03E4">
              <w:rPr>
                <w:rFonts w:ascii="Arial" w:hAnsi="Arial" w:cs="Arial"/>
              </w:rPr>
              <w:t>Păduri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28.383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28552</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jc w:val="center"/>
              <w:rPr>
                <w:rFonts w:ascii="Arial" w:hAnsi="Arial" w:cs="Arial"/>
              </w:rPr>
            </w:pPr>
            <w:r w:rsidRPr="00DC03E4">
              <w:rPr>
                <w:rFonts w:ascii="Arial" w:hAnsi="Arial" w:cs="Arial"/>
              </w:rPr>
              <w:t>28653</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28687</w:t>
            </w:r>
          </w:p>
        </w:tc>
        <w:tc>
          <w:tcPr>
            <w:tcW w:w="1202"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30047</w:t>
            </w:r>
          </w:p>
        </w:tc>
        <w:tc>
          <w:tcPr>
            <w:tcW w:w="1361"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1664</w:t>
            </w:r>
          </w:p>
        </w:tc>
        <w:tc>
          <w:tcPr>
            <w:tcW w:w="1413"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5,86</w:t>
            </w:r>
          </w:p>
        </w:tc>
      </w:tr>
      <w:tr w:rsidR="00E00628" w:rsidRPr="00DB2B5E"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tabs>
                <w:tab w:val="num" w:pos="1092"/>
              </w:tabs>
              <w:spacing w:after="0" w:line="240" w:lineRule="auto"/>
              <w:rPr>
                <w:rFonts w:ascii="Arial" w:hAnsi="Arial" w:cs="Arial"/>
              </w:rPr>
            </w:pPr>
            <w:r w:rsidRPr="00DC03E4">
              <w:rPr>
                <w:rFonts w:ascii="Arial" w:hAnsi="Arial" w:cs="Arial"/>
              </w:rPr>
              <w:t>Ape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30.672</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30.590</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jc w:val="center"/>
              <w:rPr>
                <w:rFonts w:ascii="Arial" w:hAnsi="Arial" w:cs="Arial"/>
              </w:rPr>
            </w:pPr>
            <w:r w:rsidRPr="00DC03E4">
              <w:rPr>
                <w:rFonts w:ascii="Arial" w:hAnsi="Arial" w:cs="Arial"/>
              </w:rPr>
              <w:t>30556</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spacing w:after="0" w:line="240" w:lineRule="auto"/>
              <w:jc w:val="center"/>
              <w:rPr>
                <w:rFonts w:ascii="Arial" w:eastAsia="Times New Roman" w:hAnsi="Arial" w:cs="Arial"/>
                <w:lang w:val="en-US"/>
              </w:rPr>
            </w:pPr>
            <w:r w:rsidRPr="00DC03E4">
              <w:rPr>
                <w:rFonts w:ascii="Arial" w:eastAsia="Times New Roman" w:hAnsi="Arial" w:cs="Arial"/>
                <w:lang w:val="en-US"/>
              </w:rPr>
              <w:t>30331</w:t>
            </w:r>
          </w:p>
        </w:tc>
        <w:tc>
          <w:tcPr>
            <w:tcW w:w="1202"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eastAsia="Times New Roman" w:hAnsi="Arial" w:cs="Arial"/>
                <w:lang w:val="en-US"/>
              </w:rPr>
            </w:pPr>
            <w:r w:rsidRPr="00DC03E4">
              <w:rPr>
                <w:rFonts w:ascii="Arial" w:eastAsia="Times New Roman" w:hAnsi="Arial" w:cs="Arial"/>
                <w:lang w:val="en-US"/>
              </w:rPr>
              <w:t>26417</w:t>
            </w:r>
          </w:p>
        </w:tc>
        <w:tc>
          <w:tcPr>
            <w:tcW w:w="1361"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-4255</w:t>
            </w:r>
          </w:p>
        </w:tc>
        <w:tc>
          <w:tcPr>
            <w:tcW w:w="1413"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-13,86</w:t>
            </w:r>
          </w:p>
        </w:tc>
      </w:tr>
      <w:tr w:rsidR="00E00628" w:rsidRPr="00DB2B5E"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E00628" w:rsidRPr="00DC03E4" w:rsidRDefault="00E00628" w:rsidP="00C625DB">
            <w:pPr>
              <w:tabs>
                <w:tab w:val="num" w:pos="1092"/>
              </w:tabs>
              <w:spacing w:after="0" w:line="240" w:lineRule="auto"/>
              <w:rPr>
                <w:rFonts w:ascii="Arial" w:hAnsi="Arial" w:cs="Arial"/>
              </w:rPr>
            </w:pPr>
            <w:r w:rsidRPr="00DC03E4">
              <w:rPr>
                <w:rFonts w:ascii="Arial" w:hAnsi="Arial" w:cs="Arial"/>
              </w:rPr>
              <w:t>Drumuri şi căi ferate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8.587</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8597</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jc w:val="center"/>
              <w:rPr>
                <w:rFonts w:ascii="Arial" w:hAnsi="Arial" w:cs="Arial"/>
              </w:rPr>
            </w:pPr>
            <w:r w:rsidRPr="00DC03E4">
              <w:rPr>
                <w:rFonts w:ascii="Arial" w:hAnsi="Arial" w:cs="Arial"/>
              </w:rPr>
              <w:t>8592</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8586</w:t>
            </w:r>
          </w:p>
        </w:tc>
        <w:tc>
          <w:tcPr>
            <w:tcW w:w="1202"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8136</w:t>
            </w:r>
          </w:p>
        </w:tc>
        <w:tc>
          <w:tcPr>
            <w:tcW w:w="1361"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-451</w:t>
            </w:r>
          </w:p>
        </w:tc>
        <w:tc>
          <w:tcPr>
            <w:tcW w:w="1413"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-5,25</w:t>
            </w:r>
          </w:p>
        </w:tc>
      </w:tr>
      <w:tr w:rsidR="00E00628" w:rsidRPr="00DB2B5E"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E00628" w:rsidRPr="00DC03E4" w:rsidRDefault="00E00628" w:rsidP="00C625DB">
            <w:pPr>
              <w:tabs>
                <w:tab w:val="left" w:pos="652"/>
                <w:tab w:val="left" w:pos="1078"/>
              </w:tabs>
              <w:spacing w:after="0" w:line="240" w:lineRule="auto"/>
              <w:rPr>
                <w:rFonts w:ascii="Arial" w:hAnsi="Arial" w:cs="Arial"/>
              </w:rPr>
            </w:pPr>
            <w:r w:rsidRPr="00DC03E4">
              <w:rPr>
                <w:rFonts w:ascii="Arial" w:hAnsi="Arial" w:cs="Arial"/>
              </w:rPr>
              <w:t>Curţi şi construcţii</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13.058</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hAnsi="Arial" w:cs="Arial"/>
              </w:rPr>
            </w:pPr>
            <w:r w:rsidRPr="00DC03E4">
              <w:rPr>
                <w:rFonts w:ascii="Arial" w:hAnsi="Arial" w:cs="Arial"/>
              </w:rPr>
              <w:t>13.066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jc w:val="center"/>
              <w:rPr>
                <w:rFonts w:ascii="Arial" w:hAnsi="Arial" w:cs="Arial"/>
              </w:rPr>
            </w:pPr>
            <w:r w:rsidRPr="00DC03E4">
              <w:rPr>
                <w:rFonts w:ascii="Arial" w:hAnsi="Arial" w:cs="Arial"/>
              </w:rPr>
              <w:t>13267</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13294</w:t>
            </w:r>
          </w:p>
        </w:tc>
        <w:tc>
          <w:tcPr>
            <w:tcW w:w="1202"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14094</w:t>
            </w:r>
          </w:p>
        </w:tc>
        <w:tc>
          <w:tcPr>
            <w:tcW w:w="1361"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1036</w:t>
            </w:r>
          </w:p>
        </w:tc>
        <w:tc>
          <w:tcPr>
            <w:tcW w:w="1413"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7,93</w:t>
            </w:r>
          </w:p>
        </w:tc>
      </w:tr>
      <w:tr w:rsidR="00E00628" w:rsidRPr="00DB2B5E" w:rsidTr="00E00628">
        <w:trPr>
          <w:trHeight w:val="312"/>
        </w:trPr>
        <w:tc>
          <w:tcPr>
            <w:tcW w:w="1847" w:type="dxa"/>
            <w:tcBorders>
              <w:top w:val="single" w:sz="4" w:space="0" w:color="auto"/>
              <w:left w:val="single" w:sz="4" w:space="0" w:color="auto"/>
              <w:bottom w:val="single" w:sz="4" w:space="0" w:color="auto"/>
              <w:right w:val="single" w:sz="4" w:space="0" w:color="auto"/>
            </w:tcBorders>
            <w:shd w:val="clear" w:color="auto" w:fill="FFFFE7"/>
            <w:hideMark/>
          </w:tcPr>
          <w:p w:rsidR="00E00628" w:rsidRPr="00DC03E4" w:rsidRDefault="00E00628" w:rsidP="00C625DB">
            <w:pPr>
              <w:tabs>
                <w:tab w:val="num" w:pos="1092"/>
              </w:tabs>
              <w:spacing w:after="0" w:line="240" w:lineRule="auto"/>
              <w:rPr>
                <w:rFonts w:ascii="Arial" w:hAnsi="Arial" w:cs="Arial"/>
              </w:rPr>
            </w:pPr>
            <w:r w:rsidRPr="00DC03E4">
              <w:rPr>
                <w:rFonts w:ascii="Arial" w:hAnsi="Arial" w:cs="Arial"/>
              </w:rPr>
              <w:t>Neproductive</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8.513</w:t>
            </w:r>
          </w:p>
        </w:tc>
        <w:tc>
          <w:tcPr>
            <w:tcW w:w="1256"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pStyle w:val="BodyTextIndent"/>
              <w:spacing w:after="0" w:line="240" w:lineRule="auto"/>
              <w:ind w:left="0"/>
              <w:jc w:val="center"/>
              <w:rPr>
                <w:rFonts w:ascii="Arial" w:eastAsia="SimSun" w:hAnsi="Arial" w:cs="Arial"/>
                <w:lang w:val="en-GB"/>
              </w:rPr>
            </w:pPr>
            <w:r w:rsidRPr="00DC03E4">
              <w:rPr>
                <w:rFonts w:ascii="Arial" w:eastAsia="SimSun" w:hAnsi="Arial" w:cs="Arial"/>
                <w:lang w:val="en-GB"/>
              </w:rPr>
              <w:t>8616</w:t>
            </w:r>
          </w:p>
        </w:tc>
        <w:tc>
          <w:tcPr>
            <w:tcW w:w="1251" w:type="dxa"/>
            <w:tcBorders>
              <w:top w:val="single" w:sz="4" w:space="0" w:color="auto"/>
              <w:left w:val="single" w:sz="4" w:space="0" w:color="auto"/>
              <w:bottom w:val="single" w:sz="4" w:space="0" w:color="auto"/>
              <w:right w:val="single" w:sz="4" w:space="0" w:color="auto"/>
            </w:tcBorders>
            <w:shd w:val="clear" w:color="auto" w:fill="FFFFE7"/>
            <w:vAlign w:val="center"/>
            <w:hideMark/>
          </w:tcPr>
          <w:p w:rsidR="00E00628" w:rsidRPr="00DC03E4" w:rsidRDefault="00E00628" w:rsidP="00C625DB">
            <w:pPr>
              <w:spacing w:after="0" w:line="240" w:lineRule="auto"/>
              <w:jc w:val="center"/>
              <w:rPr>
                <w:rFonts w:ascii="Arial" w:hAnsi="Arial" w:cs="Arial"/>
              </w:rPr>
            </w:pPr>
            <w:r w:rsidRPr="00DC03E4">
              <w:rPr>
                <w:rFonts w:ascii="Arial" w:hAnsi="Arial" w:cs="Arial"/>
              </w:rPr>
              <w:t>8110</w:t>
            </w:r>
          </w:p>
        </w:tc>
        <w:tc>
          <w:tcPr>
            <w:tcW w:w="1202" w:type="dxa"/>
            <w:tcBorders>
              <w:top w:val="single" w:sz="4" w:space="0" w:color="auto"/>
              <w:left w:val="single" w:sz="4" w:space="0" w:color="auto"/>
              <w:bottom w:val="single" w:sz="4" w:space="0" w:color="auto"/>
              <w:right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7928</w:t>
            </w:r>
          </w:p>
        </w:tc>
        <w:tc>
          <w:tcPr>
            <w:tcW w:w="1202"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7971</w:t>
            </w:r>
          </w:p>
        </w:tc>
        <w:tc>
          <w:tcPr>
            <w:tcW w:w="1361" w:type="dxa"/>
            <w:tcBorders>
              <w:top w:val="single" w:sz="4" w:space="0" w:color="auto"/>
              <w:bottom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-542</w:t>
            </w:r>
          </w:p>
        </w:tc>
        <w:tc>
          <w:tcPr>
            <w:tcW w:w="1134" w:type="dxa"/>
            <w:tcBorders>
              <w:top w:val="single" w:sz="4" w:space="0" w:color="auto"/>
            </w:tcBorders>
            <w:shd w:val="clear" w:color="auto" w:fill="FFFFE7"/>
            <w:vAlign w:val="center"/>
          </w:tcPr>
          <w:p w:rsidR="00E00628" w:rsidRPr="00DC03E4" w:rsidRDefault="00E00628" w:rsidP="00C625DB">
            <w:pPr>
              <w:spacing w:after="0" w:line="240" w:lineRule="auto"/>
              <w:jc w:val="center"/>
              <w:rPr>
                <w:rFonts w:ascii="Arial" w:hAnsi="Arial" w:cs="Arial"/>
              </w:rPr>
            </w:pPr>
            <w:r w:rsidRPr="00DC03E4">
              <w:rPr>
                <w:rFonts w:ascii="Arial" w:hAnsi="Arial" w:cs="Arial"/>
              </w:rPr>
              <w:t>-6,36</w:t>
            </w:r>
          </w:p>
        </w:tc>
      </w:tr>
    </w:tbl>
    <w:p w:rsidR="00E00628" w:rsidRPr="00DB2B5E" w:rsidRDefault="00E00628" w:rsidP="00C625DB">
      <w:pPr>
        <w:spacing w:after="0" w:line="240" w:lineRule="auto"/>
        <w:jc w:val="both"/>
        <w:rPr>
          <w:rFonts w:ascii="Arial" w:hAnsi="Arial" w:cs="Arial"/>
          <w:sz w:val="24"/>
          <w:szCs w:val="24"/>
        </w:rPr>
      </w:pPr>
    </w:p>
    <w:p w:rsidR="00E00628" w:rsidRPr="00DB2B5E" w:rsidRDefault="00E00628" w:rsidP="00C625DB">
      <w:pPr>
        <w:spacing w:after="0" w:line="240" w:lineRule="auto"/>
        <w:jc w:val="both"/>
        <w:rPr>
          <w:rFonts w:ascii="Arial" w:hAnsi="Arial" w:cs="Arial"/>
          <w:sz w:val="24"/>
          <w:szCs w:val="24"/>
        </w:rPr>
      </w:pPr>
    </w:p>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noProof/>
          <w:sz w:val="24"/>
          <w:szCs w:val="24"/>
          <w:lang w:eastAsia="ro-RO"/>
        </w:rPr>
        <w:lastRenderedPageBreak/>
        <w:drawing>
          <wp:inline distT="0" distB="0" distL="0" distR="0">
            <wp:extent cx="4859164" cy="2794959"/>
            <wp:effectExtent l="19050" t="0" r="17636" b="5391"/>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02088" w:rsidRPr="00202088" w:rsidRDefault="00E00628" w:rsidP="00C625DB">
      <w:pPr>
        <w:spacing w:after="0" w:line="240" w:lineRule="auto"/>
        <w:jc w:val="both"/>
        <w:rPr>
          <w:rFonts w:ascii="Arial" w:hAnsi="Arial" w:cs="Arial"/>
          <w:sz w:val="24"/>
          <w:szCs w:val="24"/>
        </w:rPr>
      </w:pPr>
      <w:r w:rsidRPr="00DB2B5E">
        <w:rPr>
          <w:rFonts w:ascii="Arial" w:hAnsi="Arial" w:cs="Arial"/>
          <w:b/>
          <w:bCs/>
          <w:sz w:val="24"/>
          <w:szCs w:val="24"/>
          <w:lang w:val="es-ES"/>
        </w:rPr>
        <w:t xml:space="preserve">    </w:t>
      </w:r>
      <w:r w:rsidRPr="00202088">
        <w:rPr>
          <w:rFonts w:ascii="Arial" w:hAnsi="Arial" w:cs="Arial"/>
          <w:bCs/>
          <w:sz w:val="24"/>
          <w:szCs w:val="24"/>
          <w:lang w:val="es-ES"/>
        </w:rPr>
        <w:t>Fig. IV.1.2-1</w:t>
      </w:r>
      <w:r w:rsidRPr="00202088">
        <w:rPr>
          <w:rFonts w:ascii="Arial" w:hAnsi="Arial" w:cs="Arial"/>
          <w:sz w:val="24"/>
          <w:szCs w:val="24"/>
        </w:rPr>
        <w:t xml:space="preserve"> Schimbări în acoperirea/utilizarea terenurilor, în perioada 2011-2015 (ha)</w:t>
      </w:r>
    </w:p>
    <w:p w:rsidR="00E00628" w:rsidRPr="00202088" w:rsidRDefault="00E00628" w:rsidP="00C625DB">
      <w:pPr>
        <w:spacing w:after="0" w:line="240" w:lineRule="auto"/>
        <w:jc w:val="both"/>
        <w:rPr>
          <w:rFonts w:ascii="Arial" w:hAnsi="Arial" w:cs="Arial"/>
          <w:sz w:val="24"/>
          <w:szCs w:val="24"/>
        </w:rPr>
      </w:pPr>
      <w:r w:rsidRPr="00202088">
        <w:rPr>
          <w:rFonts w:ascii="Arial" w:hAnsi="Arial" w:cs="Arial"/>
          <w:sz w:val="24"/>
          <w:szCs w:val="24"/>
        </w:rPr>
        <w:t xml:space="preserve"> </w:t>
      </w:r>
    </w:p>
    <w:p w:rsidR="00E00628" w:rsidRPr="00DB2B5E" w:rsidRDefault="00E00628" w:rsidP="00C625DB">
      <w:pPr>
        <w:spacing w:after="0" w:line="240" w:lineRule="auto"/>
        <w:jc w:val="center"/>
        <w:rPr>
          <w:rFonts w:ascii="Arial" w:hAnsi="Arial" w:cs="Arial"/>
          <w:sz w:val="24"/>
          <w:szCs w:val="24"/>
          <w:lang w:val="es-ES"/>
        </w:rPr>
      </w:pPr>
      <w:r w:rsidRPr="00DB2B5E">
        <w:rPr>
          <w:rFonts w:ascii="Arial" w:hAnsi="Arial" w:cs="Arial"/>
          <w:noProof/>
          <w:sz w:val="24"/>
          <w:szCs w:val="24"/>
          <w:lang w:eastAsia="ro-RO"/>
        </w:rPr>
        <w:drawing>
          <wp:inline distT="0" distB="0" distL="0" distR="0">
            <wp:extent cx="5199931" cy="2639683"/>
            <wp:effectExtent l="19050" t="0" r="19769" b="8267"/>
            <wp:docPr id="7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00628" w:rsidRPr="00202088" w:rsidRDefault="00E00628" w:rsidP="00C625DB">
      <w:pPr>
        <w:spacing w:after="0" w:line="240" w:lineRule="auto"/>
        <w:jc w:val="both"/>
        <w:rPr>
          <w:rFonts w:ascii="Arial" w:hAnsi="Arial" w:cs="Arial"/>
          <w:sz w:val="24"/>
          <w:szCs w:val="24"/>
        </w:rPr>
      </w:pPr>
      <w:r w:rsidRPr="00202088">
        <w:rPr>
          <w:rFonts w:ascii="Arial" w:hAnsi="Arial" w:cs="Arial"/>
          <w:bCs/>
          <w:sz w:val="24"/>
          <w:szCs w:val="24"/>
          <w:lang w:val="es-ES"/>
        </w:rPr>
        <w:t>Fig. IV.1.2-2</w:t>
      </w:r>
      <w:r w:rsidRPr="00202088">
        <w:rPr>
          <w:rFonts w:ascii="Arial" w:hAnsi="Arial" w:cs="Arial"/>
          <w:sz w:val="24"/>
          <w:szCs w:val="24"/>
        </w:rPr>
        <w:t xml:space="preserve"> Schimbări în acoperirea/utilizarea terenurilor, în perioada 2011-2015 (% din anul 2011)</w:t>
      </w:r>
    </w:p>
    <w:p w:rsidR="00E00628" w:rsidRPr="00202088" w:rsidRDefault="00E00628" w:rsidP="00C625DB">
      <w:pPr>
        <w:pStyle w:val="Heading1"/>
        <w:spacing w:before="0" w:after="0"/>
        <w:rPr>
          <w:b w:val="0"/>
          <w:bCs w:val="0"/>
          <w:sz w:val="24"/>
          <w:szCs w:val="24"/>
          <w:lang w:val="es-ES"/>
        </w:rPr>
      </w:pPr>
    </w:p>
    <w:p w:rsidR="00E00628" w:rsidRPr="00202088" w:rsidRDefault="00E00628" w:rsidP="00C625DB">
      <w:pPr>
        <w:spacing w:after="0" w:line="240" w:lineRule="auto"/>
        <w:rPr>
          <w:rFonts w:ascii="Arial" w:hAnsi="Arial" w:cs="Arial"/>
          <w:sz w:val="24"/>
          <w:szCs w:val="24"/>
          <w:lang w:val="es-ES"/>
        </w:rPr>
      </w:pPr>
    </w:p>
    <w:p w:rsidR="00E00628" w:rsidRPr="00202088" w:rsidRDefault="00E00628" w:rsidP="00C625DB">
      <w:pPr>
        <w:spacing w:after="0" w:line="240" w:lineRule="auto"/>
        <w:jc w:val="both"/>
        <w:rPr>
          <w:rFonts w:ascii="Arial" w:hAnsi="Arial" w:cs="Arial"/>
          <w:sz w:val="24"/>
          <w:szCs w:val="24"/>
        </w:rPr>
      </w:pPr>
    </w:p>
    <w:p w:rsidR="00E00628" w:rsidRPr="00DB2B5E" w:rsidRDefault="00E00628" w:rsidP="00C625DB">
      <w:pPr>
        <w:pStyle w:val="Footer"/>
        <w:jc w:val="both"/>
        <w:rPr>
          <w:rFonts w:ascii="Arial" w:hAnsi="Arial" w:cs="Arial"/>
          <w:b/>
          <w:sz w:val="24"/>
          <w:szCs w:val="24"/>
        </w:rPr>
      </w:pPr>
    </w:p>
    <w:p w:rsidR="00E00628" w:rsidRPr="00DB2B5E" w:rsidRDefault="00E00628" w:rsidP="00C625DB">
      <w:pPr>
        <w:pStyle w:val="Footer"/>
        <w:jc w:val="both"/>
        <w:rPr>
          <w:rFonts w:ascii="Arial" w:hAnsi="Arial" w:cs="Arial"/>
          <w:b/>
          <w:sz w:val="24"/>
          <w:szCs w:val="24"/>
        </w:rPr>
      </w:pPr>
    </w:p>
    <w:p w:rsidR="00E00628" w:rsidRPr="00DB2B5E" w:rsidRDefault="00E00628" w:rsidP="00DB2B5E">
      <w:pPr>
        <w:pStyle w:val="Footer"/>
        <w:jc w:val="center"/>
        <w:rPr>
          <w:rFonts w:ascii="Arial" w:hAnsi="Arial" w:cs="Arial"/>
          <w:b/>
          <w:sz w:val="24"/>
          <w:szCs w:val="24"/>
        </w:rPr>
      </w:pPr>
      <w:r w:rsidRPr="00DB2B5E">
        <w:rPr>
          <w:rFonts w:ascii="Arial" w:hAnsi="Arial" w:cs="Arial"/>
          <w:b/>
          <w:noProof/>
          <w:sz w:val="24"/>
          <w:szCs w:val="24"/>
          <w:lang w:eastAsia="ro-RO"/>
        </w:rPr>
        <w:lastRenderedPageBreak/>
        <w:drawing>
          <wp:inline distT="0" distB="0" distL="0" distR="0">
            <wp:extent cx="2810510" cy="4839335"/>
            <wp:effectExtent l="19050" t="0" r="27940" b="0"/>
            <wp:docPr id="7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DB2B5E">
        <w:rPr>
          <w:rFonts w:ascii="Arial" w:hAnsi="Arial" w:cs="Arial"/>
          <w:b/>
          <w:noProof/>
          <w:sz w:val="24"/>
          <w:szCs w:val="24"/>
          <w:lang w:eastAsia="ro-RO"/>
        </w:rPr>
        <w:drawing>
          <wp:inline distT="0" distB="0" distL="0" distR="0">
            <wp:extent cx="2810510" cy="4829810"/>
            <wp:effectExtent l="19050" t="0" r="27940" b="8890"/>
            <wp:docPr id="7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00628" w:rsidRPr="00DB2B5E" w:rsidRDefault="00E00628" w:rsidP="00C625DB">
      <w:pPr>
        <w:pStyle w:val="Footer"/>
        <w:jc w:val="both"/>
        <w:rPr>
          <w:rFonts w:ascii="Arial" w:hAnsi="Arial" w:cs="Arial"/>
          <w:b/>
          <w:sz w:val="24"/>
          <w:szCs w:val="24"/>
        </w:rPr>
      </w:pPr>
    </w:p>
    <w:p w:rsidR="00E00628" w:rsidRPr="00DB2B5E" w:rsidRDefault="00E00628" w:rsidP="00C625DB">
      <w:pPr>
        <w:pStyle w:val="Footer"/>
        <w:rPr>
          <w:rFonts w:ascii="Arial" w:hAnsi="Arial" w:cs="Arial"/>
          <w:sz w:val="24"/>
          <w:szCs w:val="24"/>
        </w:rPr>
      </w:pPr>
      <w:r w:rsidRPr="00202088">
        <w:rPr>
          <w:rFonts w:ascii="Arial" w:hAnsi="Arial" w:cs="Arial"/>
          <w:sz w:val="24"/>
          <w:szCs w:val="24"/>
          <w:lang w:val="it-IT"/>
        </w:rPr>
        <w:t>Fig. nr. IV.1.2- 3 -</w:t>
      </w:r>
      <w:r w:rsidRPr="00DB2B5E">
        <w:rPr>
          <w:rFonts w:ascii="Arial" w:hAnsi="Arial" w:cs="Arial"/>
          <w:sz w:val="24"/>
          <w:szCs w:val="24"/>
          <w:lang w:val="it-IT"/>
        </w:rPr>
        <w:t xml:space="preserve"> </w:t>
      </w:r>
      <w:r w:rsidRPr="00DB2B5E">
        <w:rPr>
          <w:rFonts w:ascii="Arial" w:hAnsi="Arial" w:cs="Arial"/>
          <w:bCs/>
          <w:iCs/>
          <w:sz w:val="24"/>
          <w:szCs w:val="24"/>
        </w:rPr>
        <w:t xml:space="preserve">Evoluţia suprafeţei agricole la nivelul județului </w:t>
      </w:r>
      <w:r w:rsidR="00217620">
        <w:rPr>
          <w:rFonts w:ascii="Arial" w:hAnsi="Arial" w:cs="Arial"/>
          <w:bCs/>
          <w:iCs/>
          <w:sz w:val="24"/>
          <w:szCs w:val="24"/>
        </w:rPr>
        <w:t>Brăila</w:t>
      </w:r>
      <w:r w:rsidRPr="00DB2B5E">
        <w:rPr>
          <w:rFonts w:ascii="Arial" w:hAnsi="Arial" w:cs="Arial"/>
          <w:bCs/>
          <w:iCs/>
          <w:sz w:val="24"/>
          <w:szCs w:val="24"/>
        </w:rPr>
        <w:t xml:space="preserve"> în perioada 2011 – 2015 (ha și respectiv- procente din anul 2011).</w:t>
      </w: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p>
    <w:p w:rsidR="00E00628" w:rsidRPr="00DB2B5E" w:rsidRDefault="00E00628" w:rsidP="00C625DB">
      <w:pPr>
        <w:pStyle w:val="BodyTextIndent"/>
        <w:tabs>
          <w:tab w:val="left" w:pos="2478"/>
        </w:tabs>
        <w:spacing w:after="0" w:line="240" w:lineRule="auto"/>
        <w:ind w:left="0"/>
        <w:jc w:val="center"/>
        <w:rPr>
          <w:rFonts w:ascii="Arial" w:hAnsi="Arial" w:cs="Arial"/>
          <w:b/>
          <w:sz w:val="24"/>
          <w:szCs w:val="24"/>
          <w:lang w:val="ro-RO"/>
        </w:rPr>
      </w:pPr>
      <w:r w:rsidRPr="00DB2B5E">
        <w:rPr>
          <w:rFonts w:ascii="Arial" w:hAnsi="Arial" w:cs="Arial"/>
          <w:b/>
          <w:noProof/>
          <w:sz w:val="24"/>
          <w:szCs w:val="24"/>
          <w:lang w:val="ro-RO" w:eastAsia="ro-RO"/>
        </w:rPr>
        <w:drawing>
          <wp:inline distT="0" distB="0" distL="0" distR="0">
            <wp:extent cx="5475078" cy="2372265"/>
            <wp:effectExtent l="19050" t="0" r="11322" b="8985"/>
            <wp:docPr id="7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p>
    <w:p w:rsidR="00E00628" w:rsidRPr="00DB2B5E" w:rsidRDefault="00E00628" w:rsidP="00C625DB">
      <w:pPr>
        <w:pStyle w:val="Footer"/>
        <w:rPr>
          <w:rFonts w:ascii="Arial" w:hAnsi="Arial" w:cs="Arial"/>
          <w:sz w:val="24"/>
          <w:szCs w:val="24"/>
        </w:rPr>
      </w:pPr>
      <w:r w:rsidRPr="00202088">
        <w:rPr>
          <w:rFonts w:ascii="Arial" w:hAnsi="Arial" w:cs="Arial"/>
          <w:sz w:val="24"/>
          <w:szCs w:val="24"/>
          <w:lang w:val="it-IT"/>
        </w:rPr>
        <w:t xml:space="preserve">Fig. nr. IV.1.2- 4 - </w:t>
      </w:r>
      <w:r w:rsidRPr="00202088">
        <w:rPr>
          <w:rFonts w:ascii="Arial" w:hAnsi="Arial" w:cs="Arial"/>
          <w:bCs/>
          <w:iCs/>
          <w:sz w:val="24"/>
          <w:szCs w:val="24"/>
        </w:rPr>
        <w:t>Evoluţia</w:t>
      </w:r>
      <w:r w:rsidRPr="00DB2B5E">
        <w:rPr>
          <w:rFonts w:ascii="Arial" w:hAnsi="Arial" w:cs="Arial"/>
          <w:bCs/>
          <w:iCs/>
          <w:sz w:val="24"/>
          <w:szCs w:val="24"/>
        </w:rPr>
        <w:t xml:space="preserve"> suprafeţei terenurilor cu altă destinație decât agricolă la nivelul județului </w:t>
      </w:r>
      <w:r w:rsidR="00217620">
        <w:rPr>
          <w:rFonts w:ascii="Arial" w:hAnsi="Arial" w:cs="Arial"/>
          <w:bCs/>
          <w:iCs/>
          <w:sz w:val="24"/>
          <w:szCs w:val="24"/>
        </w:rPr>
        <w:t>Brăila</w:t>
      </w:r>
      <w:r w:rsidRPr="00DB2B5E">
        <w:rPr>
          <w:rFonts w:ascii="Arial" w:hAnsi="Arial" w:cs="Arial"/>
          <w:bCs/>
          <w:iCs/>
          <w:sz w:val="24"/>
          <w:szCs w:val="24"/>
        </w:rPr>
        <w:t xml:space="preserve"> în perioada 2011 - 2014</w:t>
      </w:r>
    </w:p>
    <w:p w:rsidR="00E00628" w:rsidRPr="00DB2B5E" w:rsidRDefault="00E00628" w:rsidP="00C625DB">
      <w:pPr>
        <w:pStyle w:val="BodyTextIndent"/>
        <w:tabs>
          <w:tab w:val="left" w:pos="2478"/>
        </w:tabs>
        <w:spacing w:after="0" w:line="240" w:lineRule="auto"/>
        <w:ind w:left="0"/>
        <w:jc w:val="both"/>
        <w:rPr>
          <w:rFonts w:ascii="Arial" w:hAnsi="Arial" w:cs="Arial"/>
          <w:sz w:val="24"/>
          <w:szCs w:val="24"/>
          <w:lang w:val="ro-RO"/>
        </w:rPr>
      </w:pPr>
    </w:p>
    <w:p w:rsidR="00E00628" w:rsidRPr="00DB2B5E" w:rsidRDefault="00E00628" w:rsidP="00C625DB">
      <w:pPr>
        <w:pStyle w:val="BodyTextIndent"/>
        <w:tabs>
          <w:tab w:val="left" w:pos="2478"/>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 xml:space="preserve">În ceea ce privește utilizarea terenurilor cu altă destinație decât agricolă în perioada analizată se constată </w:t>
      </w:r>
    </w:p>
    <w:p w:rsidR="00E00628" w:rsidRPr="00DB2B5E" w:rsidRDefault="00E00628" w:rsidP="00252ED3">
      <w:pPr>
        <w:pStyle w:val="BodyTextIndent"/>
        <w:numPr>
          <w:ilvl w:val="0"/>
          <w:numId w:val="26"/>
        </w:numPr>
        <w:tabs>
          <w:tab w:val="left" w:pos="2478"/>
        </w:tabs>
        <w:spacing w:after="0" w:line="240" w:lineRule="auto"/>
        <w:jc w:val="both"/>
        <w:rPr>
          <w:rFonts w:ascii="Arial" w:hAnsi="Arial" w:cs="Arial"/>
          <w:b/>
          <w:sz w:val="24"/>
          <w:szCs w:val="24"/>
          <w:lang w:val="ro-RO"/>
        </w:rPr>
      </w:pPr>
      <w:r w:rsidRPr="00DB2B5E">
        <w:rPr>
          <w:rFonts w:ascii="Arial" w:hAnsi="Arial" w:cs="Arial"/>
          <w:sz w:val="24"/>
          <w:szCs w:val="24"/>
          <w:lang w:val="ro-RO"/>
        </w:rPr>
        <w:t>ușoară scădere a terenurilor neproductive în ultimii doi ani, după ce în perioada 2011-2012 se observă o ușoară creștere a acestora;</w:t>
      </w:r>
    </w:p>
    <w:p w:rsidR="00E00628" w:rsidRPr="00DB2B5E" w:rsidRDefault="00E00628" w:rsidP="00252ED3">
      <w:pPr>
        <w:pStyle w:val="BodyTextIndent"/>
        <w:numPr>
          <w:ilvl w:val="0"/>
          <w:numId w:val="26"/>
        </w:numPr>
        <w:tabs>
          <w:tab w:val="left" w:pos="2478"/>
        </w:tabs>
        <w:spacing w:after="0" w:line="240" w:lineRule="auto"/>
        <w:jc w:val="both"/>
        <w:rPr>
          <w:rFonts w:ascii="Arial" w:hAnsi="Arial" w:cs="Arial"/>
          <w:b/>
          <w:sz w:val="24"/>
          <w:szCs w:val="24"/>
          <w:lang w:val="ro-RO"/>
        </w:rPr>
      </w:pPr>
      <w:r w:rsidRPr="00DB2B5E">
        <w:rPr>
          <w:rFonts w:ascii="Arial" w:hAnsi="Arial" w:cs="Arial"/>
          <w:sz w:val="24"/>
          <w:szCs w:val="24"/>
          <w:lang w:val="ro-RO"/>
        </w:rPr>
        <w:lastRenderedPageBreak/>
        <w:t>o ușoară scădere a terenurilor ocupate de ape.</w:t>
      </w:r>
      <w:r w:rsidRPr="00DB2B5E">
        <w:rPr>
          <w:rFonts w:ascii="Arial" w:hAnsi="Arial" w:cs="Arial"/>
          <w:b/>
          <w:noProof/>
          <w:sz w:val="24"/>
          <w:szCs w:val="24"/>
          <w:lang w:val="ro-RO" w:eastAsia="ro-RO"/>
        </w:rPr>
        <w:t xml:space="preserve">   </w:t>
      </w:r>
    </w:p>
    <w:p w:rsidR="00E00628" w:rsidRPr="00DB2B5E" w:rsidRDefault="00E00628" w:rsidP="00C625DB">
      <w:pPr>
        <w:pStyle w:val="Footer"/>
        <w:rPr>
          <w:rFonts w:ascii="Arial" w:hAnsi="Arial" w:cs="Arial"/>
          <w:b/>
          <w:sz w:val="24"/>
          <w:szCs w:val="24"/>
          <w:lang w:val="it-IT"/>
        </w:rPr>
      </w:pPr>
    </w:p>
    <w:p w:rsidR="00E00628" w:rsidRPr="00DB2B5E" w:rsidRDefault="00E00628" w:rsidP="00C625DB">
      <w:pPr>
        <w:pStyle w:val="Footer"/>
        <w:rPr>
          <w:rFonts w:ascii="Arial" w:hAnsi="Arial" w:cs="Arial"/>
          <w:b/>
          <w:sz w:val="24"/>
          <w:szCs w:val="24"/>
          <w:lang w:val="it-IT"/>
        </w:rPr>
      </w:pPr>
    </w:p>
    <w:p w:rsidR="00E00628" w:rsidRPr="00DB2B5E" w:rsidRDefault="00E00628" w:rsidP="00C625DB">
      <w:pPr>
        <w:pStyle w:val="BodyTextIndent"/>
        <w:tabs>
          <w:tab w:val="left" w:pos="2478"/>
        </w:tabs>
        <w:spacing w:after="0" w:line="240" w:lineRule="auto"/>
        <w:ind w:left="0"/>
        <w:jc w:val="center"/>
        <w:rPr>
          <w:rFonts w:ascii="Arial" w:hAnsi="Arial" w:cs="Arial"/>
          <w:b/>
          <w:sz w:val="24"/>
          <w:szCs w:val="24"/>
          <w:lang w:val="ro-RO"/>
        </w:rPr>
      </w:pPr>
      <w:r w:rsidRPr="00DB2B5E">
        <w:rPr>
          <w:rFonts w:ascii="Arial" w:hAnsi="Arial" w:cs="Arial"/>
          <w:b/>
          <w:noProof/>
          <w:sz w:val="24"/>
          <w:szCs w:val="24"/>
          <w:lang w:val="ro-RO" w:eastAsia="ro-RO"/>
        </w:rPr>
        <w:drawing>
          <wp:inline distT="0" distB="0" distL="0" distR="0">
            <wp:extent cx="5032591" cy="2320506"/>
            <wp:effectExtent l="19050" t="0" r="15659" b="3594"/>
            <wp:docPr id="7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00628" w:rsidRPr="00DB2B5E" w:rsidRDefault="00E00628" w:rsidP="00C625DB">
      <w:pPr>
        <w:pStyle w:val="Footer"/>
        <w:rPr>
          <w:rFonts w:ascii="Arial" w:hAnsi="Arial" w:cs="Arial"/>
          <w:b/>
          <w:sz w:val="24"/>
          <w:szCs w:val="24"/>
          <w:lang w:val="it-IT"/>
        </w:rPr>
      </w:pPr>
    </w:p>
    <w:p w:rsidR="00E00628" w:rsidRPr="00DB2B5E" w:rsidRDefault="00E00628" w:rsidP="00C625DB">
      <w:pPr>
        <w:pStyle w:val="Footer"/>
        <w:rPr>
          <w:rFonts w:ascii="Arial" w:hAnsi="Arial" w:cs="Arial"/>
          <w:bCs/>
          <w:iCs/>
          <w:sz w:val="24"/>
          <w:szCs w:val="24"/>
        </w:rPr>
      </w:pPr>
      <w:r w:rsidRPr="00202088">
        <w:rPr>
          <w:rFonts w:ascii="Arial" w:hAnsi="Arial" w:cs="Arial"/>
          <w:sz w:val="24"/>
          <w:szCs w:val="24"/>
          <w:lang w:val="it-IT"/>
        </w:rPr>
        <w:t xml:space="preserve">Fig. nr. IV.1.2.5 - </w:t>
      </w:r>
      <w:r w:rsidRPr="00202088">
        <w:rPr>
          <w:rFonts w:ascii="Arial" w:hAnsi="Arial" w:cs="Arial"/>
          <w:bCs/>
          <w:iCs/>
          <w:sz w:val="24"/>
          <w:szCs w:val="24"/>
        </w:rPr>
        <w:t>Evoluţia</w:t>
      </w:r>
      <w:r w:rsidRPr="00DB2B5E">
        <w:rPr>
          <w:rFonts w:ascii="Arial" w:hAnsi="Arial" w:cs="Arial"/>
          <w:bCs/>
          <w:iCs/>
          <w:sz w:val="24"/>
          <w:szCs w:val="24"/>
        </w:rPr>
        <w:t xml:space="preserve"> suprafeţei terenurilor urbane și artificiale la nivelul județului </w:t>
      </w:r>
      <w:r w:rsidR="00217620">
        <w:rPr>
          <w:rFonts w:ascii="Arial" w:hAnsi="Arial" w:cs="Arial"/>
          <w:bCs/>
          <w:iCs/>
          <w:sz w:val="24"/>
          <w:szCs w:val="24"/>
        </w:rPr>
        <w:t>Brăila</w:t>
      </w:r>
      <w:r w:rsidRPr="00DB2B5E">
        <w:rPr>
          <w:rFonts w:ascii="Arial" w:hAnsi="Arial" w:cs="Arial"/>
          <w:bCs/>
          <w:iCs/>
          <w:sz w:val="24"/>
          <w:szCs w:val="24"/>
        </w:rPr>
        <w:t xml:space="preserve"> în perioada 2011 – 2015</w:t>
      </w:r>
    </w:p>
    <w:p w:rsidR="00E00628" w:rsidRPr="00DB2B5E" w:rsidRDefault="00E00628" w:rsidP="00C625DB">
      <w:pPr>
        <w:pStyle w:val="Footer"/>
        <w:rPr>
          <w:rFonts w:ascii="Arial" w:hAnsi="Arial" w:cs="Arial"/>
          <w:b/>
          <w:sz w:val="24"/>
          <w:szCs w:val="24"/>
        </w:rPr>
      </w:pPr>
    </w:p>
    <w:p w:rsidR="00E00628" w:rsidRPr="00DB2B5E" w:rsidRDefault="00E00628" w:rsidP="00C625DB">
      <w:pPr>
        <w:pStyle w:val="BodyTextIndent"/>
        <w:tabs>
          <w:tab w:val="left" w:pos="2478"/>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În ceea ce privește terenurile urbane și artificiale (curți și construcții și drumuri și căi ferate) se constată o ușoară creștere a acestora în perioada 2011 – 2014 iar în 2015 o creștere accentuată a terenurilor curți construcții și o scădere ușoară a terenurilor drumuri și căi ferate.</w:t>
      </w: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r w:rsidRPr="00DB2B5E">
        <w:rPr>
          <w:rFonts w:ascii="Arial" w:hAnsi="Arial" w:cs="Arial"/>
          <w:b/>
          <w:sz w:val="24"/>
          <w:szCs w:val="24"/>
          <w:lang w:val="ro-RO"/>
        </w:rPr>
        <w:t xml:space="preserve"> IV.2. Impactul schimbării utilizării terenurilor asupra mediului</w:t>
      </w: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p>
    <w:p w:rsidR="00E00628" w:rsidRPr="00DB2B5E" w:rsidRDefault="00202088" w:rsidP="00C625DB">
      <w:pPr>
        <w:pStyle w:val="BodyTextIndent"/>
        <w:tabs>
          <w:tab w:val="left" w:pos="2478"/>
        </w:tabs>
        <w:spacing w:after="0" w:line="240" w:lineRule="auto"/>
        <w:ind w:left="0"/>
        <w:jc w:val="both"/>
        <w:rPr>
          <w:rFonts w:ascii="Arial" w:hAnsi="Arial" w:cs="Arial"/>
          <w:b/>
          <w:sz w:val="24"/>
          <w:szCs w:val="24"/>
          <w:lang w:val="ro-RO"/>
        </w:rPr>
      </w:pPr>
      <w:r>
        <w:rPr>
          <w:rFonts w:ascii="Arial" w:hAnsi="Arial" w:cs="Arial"/>
          <w:b/>
          <w:sz w:val="24"/>
          <w:szCs w:val="24"/>
          <w:lang w:val="ro-RO"/>
        </w:rPr>
        <w:t xml:space="preserve"> </w:t>
      </w:r>
      <w:r w:rsidR="00E00628" w:rsidRPr="00DB2B5E">
        <w:rPr>
          <w:rFonts w:ascii="Arial" w:hAnsi="Arial" w:cs="Arial"/>
          <w:b/>
          <w:sz w:val="24"/>
          <w:szCs w:val="24"/>
          <w:lang w:val="ro-RO"/>
        </w:rPr>
        <w:t xml:space="preserve">  IV.2.1. </w:t>
      </w:r>
      <w:r w:rsidR="00E00628" w:rsidRPr="00DB2B5E">
        <w:rPr>
          <w:rFonts w:ascii="Arial" w:hAnsi="Arial" w:cs="Arial"/>
          <w:b/>
          <w:i/>
          <w:sz w:val="24"/>
          <w:szCs w:val="24"/>
          <w:lang w:val="ro-RO"/>
        </w:rPr>
        <w:t>Impactul schimbării utilizării terenurilor asupra terenurilor agricole</w:t>
      </w:r>
    </w:p>
    <w:p w:rsidR="008A1026" w:rsidRDefault="008A1026" w:rsidP="00C625DB">
      <w:pPr>
        <w:pStyle w:val="BodyTextIndent"/>
        <w:tabs>
          <w:tab w:val="left" w:pos="2478"/>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 xml:space="preserve">Din datele furnizate de Direcţia pentru Agricultură Judeţeană </w:t>
      </w:r>
      <w:r w:rsidR="00217620">
        <w:rPr>
          <w:rFonts w:ascii="Arial" w:hAnsi="Arial" w:cs="Arial"/>
          <w:sz w:val="24"/>
          <w:szCs w:val="24"/>
          <w:lang w:val="ro-RO"/>
        </w:rPr>
        <w:t>Brăila</w:t>
      </w:r>
      <w:r w:rsidRPr="00DB2B5E">
        <w:rPr>
          <w:rFonts w:ascii="Arial" w:hAnsi="Arial" w:cs="Arial"/>
          <w:sz w:val="24"/>
          <w:szCs w:val="24"/>
          <w:lang w:val="ro-RO"/>
        </w:rPr>
        <w:t xml:space="preserve">, conform graficului de mai jos (figura IV.2.1.-1) se constată că în 2011-2016 suprafața terenurilor agricole din județul </w:t>
      </w:r>
      <w:r w:rsidR="00217620">
        <w:rPr>
          <w:rFonts w:ascii="Arial" w:hAnsi="Arial" w:cs="Arial"/>
          <w:sz w:val="24"/>
          <w:szCs w:val="24"/>
          <w:lang w:val="ro-RO"/>
        </w:rPr>
        <w:t>Brăila</w:t>
      </w:r>
      <w:r w:rsidRPr="00DB2B5E">
        <w:rPr>
          <w:rFonts w:ascii="Arial" w:hAnsi="Arial" w:cs="Arial"/>
          <w:sz w:val="24"/>
          <w:szCs w:val="24"/>
          <w:lang w:val="ro-RO"/>
        </w:rPr>
        <w:t xml:space="preserve"> a crescut ușor în timp ce în ultimul  an aceasta a crescut într-o măsură mai mare.</w:t>
      </w:r>
    </w:p>
    <w:p w:rsidR="00202088" w:rsidRPr="00DB2B5E" w:rsidRDefault="00202088" w:rsidP="00C625DB">
      <w:pPr>
        <w:pStyle w:val="BodyTextIndent"/>
        <w:tabs>
          <w:tab w:val="left" w:pos="2478"/>
        </w:tabs>
        <w:spacing w:after="0" w:line="240" w:lineRule="auto"/>
        <w:ind w:left="0" w:firstLine="709"/>
        <w:jc w:val="both"/>
        <w:rPr>
          <w:rFonts w:ascii="Arial" w:hAnsi="Arial" w:cs="Arial"/>
          <w:sz w:val="24"/>
          <w:szCs w:val="24"/>
          <w:lang w:val="ro-RO"/>
        </w:rPr>
      </w:pPr>
    </w:p>
    <w:p w:rsidR="008A1026" w:rsidRPr="00DB2B5E" w:rsidRDefault="008A1026" w:rsidP="00C625DB">
      <w:pPr>
        <w:tabs>
          <w:tab w:val="num" w:pos="1092"/>
        </w:tabs>
        <w:spacing w:after="0" w:line="240" w:lineRule="auto"/>
        <w:jc w:val="center"/>
        <w:rPr>
          <w:rFonts w:ascii="Arial" w:hAnsi="Arial" w:cs="Arial"/>
          <w:sz w:val="24"/>
          <w:szCs w:val="24"/>
        </w:rPr>
      </w:pPr>
      <w:r w:rsidRPr="00DB2B5E">
        <w:rPr>
          <w:rFonts w:ascii="Arial" w:hAnsi="Arial" w:cs="Arial"/>
          <w:noProof/>
          <w:sz w:val="24"/>
          <w:szCs w:val="24"/>
          <w:lang w:eastAsia="ro-RO"/>
        </w:rPr>
        <w:drawing>
          <wp:inline distT="0" distB="0" distL="0" distR="0">
            <wp:extent cx="5615796" cy="2147977"/>
            <wp:effectExtent l="19050" t="0" r="3954" b="0"/>
            <wp:docPr id="47"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A1026" w:rsidRPr="00DB2B5E" w:rsidRDefault="00202088" w:rsidP="00C625DB">
      <w:pPr>
        <w:pStyle w:val="Footer"/>
        <w:rPr>
          <w:rFonts w:ascii="Arial" w:hAnsi="Arial" w:cs="Arial"/>
          <w:bCs/>
          <w:iCs/>
          <w:sz w:val="24"/>
          <w:szCs w:val="24"/>
        </w:rPr>
      </w:pPr>
      <w:r>
        <w:rPr>
          <w:rFonts w:ascii="Arial" w:hAnsi="Arial" w:cs="Arial"/>
          <w:sz w:val="24"/>
          <w:szCs w:val="24"/>
          <w:lang w:val="it-IT"/>
        </w:rPr>
        <w:t xml:space="preserve">     </w:t>
      </w:r>
      <w:r w:rsidR="008A1026" w:rsidRPr="00202088">
        <w:rPr>
          <w:rFonts w:ascii="Arial" w:hAnsi="Arial" w:cs="Arial"/>
          <w:sz w:val="24"/>
          <w:szCs w:val="24"/>
          <w:lang w:val="it-IT"/>
        </w:rPr>
        <w:t>Fig. nr. IV.2.1-1 -</w:t>
      </w:r>
      <w:r w:rsidR="008A1026" w:rsidRPr="00DB2B5E">
        <w:rPr>
          <w:rFonts w:ascii="Arial" w:hAnsi="Arial" w:cs="Arial"/>
          <w:sz w:val="24"/>
          <w:szCs w:val="24"/>
          <w:lang w:val="it-IT"/>
        </w:rPr>
        <w:t xml:space="preserve"> </w:t>
      </w:r>
      <w:r w:rsidR="008A1026" w:rsidRPr="00DB2B5E">
        <w:rPr>
          <w:rFonts w:ascii="Arial" w:hAnsi="Arial" w:cs="Arial"/>
          <w:bCs/>
          <w:iCs/>
          <w:sz w:val="24"/>
          <w:szCs w:val="24"/>
        </w:rPr>
        <w:t xml:space="preserve">Evoluţia suprafeţei agricole la nivelul județului </w:t>
      </w:r>
      <w:r w:rsidR="00217620">
        <w:rPr>
          <w:rFonts w:ascii="Arial" w:hAnsi="Arial" w:cs="Arial"/>
          <w:bCs/>
          <w:iCs/>
          <w:sz w:val="24"/>
          <w:szCs w:val="24"/>
        </w:rPr>
        <w:t>Brăila</w:t>
      </w:r>
      <w:r w:rsidR="008A1026" w:rsidRPr="00DB2B5E">
        <w:rPr>
          <w:rFonts w:ascii="Arial" w:hAnsi="Arial" w:cs="Arial"/>
          <w:bCs/>
          <w:iCs/>
          <w:sz w:val="24"/>
          <w:szCs w:val="24"/>
        </w:rPr>
        <w:t xml:space="preserve"> în perioada 2011 – 201</w:t>
      </w:r>
      <w:r w:rsidR="00DC03E4">
        <w:rPr>
          <w:rFonts w:ascii="Arial" w:hAnsi="Arial" w:cs="Arial"/>
          <w:bCs/>
          <w:iCs/>
          <w:sz w:val="24"/>
          <w:szCs w:val="24"/>
        </w:rPr>
        <w:t>6</w:t>
      </w:r>
    </w:p>
    <w:p w:rsidR="00202088" w:rsidRDefault="00202088" w:rsidP="00C625DB">
      <w:pPr>
        <w:pStyle w:val="BodyTextIndent"/>
        <w:tabs>
          <w:tab w:val="left" w:pos="2478"/>
        </w:tabs>
        <w:spacing w:after="0" w:line="240" w:lineRule="auto"/>
        <w:ind w:left="0" w:firstLine="709"/>
        <w:jc w:val="both"/>
        <w:rPr>
          <w:rFonts w:ascii="Arial" w:hAnsi="Arial" w:cs="Arial"/>
          <w:sz w:val="24"/>
          <w:szCs w:val="24"/>
          <w:lang w:val="ro-RO"/>
        </w:rPr>
      </w:pPr>
    </w:p>
    <w:p w:rsidR="00E00628" w:rsidRPr="00DB2B5E" w:rsidRDefault="00E00628" w:rsidP="00C625DB">
      <w:pPr>
        <w:pStyle w:val="BodyTextIndent"/>
        <w:tabs>
          <w:tab w:val="left" w:pos="2478"/>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 xml:space="preserve">În anul 2015 Direcția pentru Agricultură a Județului </w:t>
      </w:r>
      <w:r w:rsidR="00217620">
        <w:rPr>
          <w:rFonts w:ascii="Arial" w:hAnsi="Arial" w:cs="Arial"/>
          <w:sz w:val="24"/>
          <w:szCs w:val="24"/>
          <w:lang w:val="ro-RO"/>
        </w:rPr>
        <w:t>Brăila</w:t>
      </w:r>
      <w:r w:rsidRPr="00DB2B5E">
        <w:rPr>
          <w:rFonts w:ascii="Arial" w:hAnsi="Arial" w:cs="Arial"/>
          <w:sz w:val="24"/>
          <w:szCs w:val="24"/>
          <w:lang w:val="ro-RO"/>
        </w:rPr>
        <w:t xml:space="preserve"> a verificat și aprobat documentații depuse pentru scoaterea definitivă sau temporară din circuitul agricol a terenurilor conform Ordinului comun al MADR și MAI nr. 897/2005 pentru o suprafață totală de cca. 7,4 ha. Motivația scoaterii terenurilor din circuitul agricol: construcții anexe pentru </w:t>
      </w:r>
      <w:r w:rsidRPr="00DB2B5E">
        <w:rPr>
          <w:rFonts w:ascii="Arial" w:hAnsi="Arial" w:cs="Arial"/>
          <w:sz w:val="24"/>
          <w:szCs w:val="24"/>
          <w:lang w:val="ro-RO"/>
        </w:rPr>
        <w:lastRenderedPageBreak/>
        <w:t xml:space="preserve">exploatații agricole, construcție ciupercărie, construcție fermă pui, montaj echipament auxiliar eoliene, foraj sonde gaze. </w:t>
      </w:r>
    </w:p>
    <w:p w:rsidR="00E00628" w:rsidRPr="00DB2B5E" w:rsidRDefault="00E00628" w:rsidP="00C625DB">
      <w:pPr>
        <w:pStyle w:val="BodyTextIndent"/>
        <w:tabs>
          <w:tab w:val="left" w:pos="2478"/>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Ponderea terenurilor agricole convertite în suprafețe artificiale în perioada 2011-2015 este reprezentată în tabelul de mai jos:</w:t>
      </w:r>
    </w:p>
    <w:p w:rsidR="00E00628" w:rsidRPr="00DB2B5E" w:rsidRDefault="00E00628" w:rsidP="00C625DB">
      <w:pPr>
        <w:pStyle w:val="BodyTextIndent"/>
        <w:tabs>
          <w:tab w:val="left" w:pos="2478"/>
        </w:tabs>
        <w:spacing w:after="0" w:line="240" w:lineRule="auto"/>
        <w:ind w:left="0" w:firstLine="851"/>
        <w:jc w:val="both"/>
        <w:rPr>
          <w:rFonts w:ascii="Arial" w:hAnsi="Arial" w:cs="Arial"/>
          <w:b/>
          <w:sz w:val="24"/>
          <w:szCs w:val="24"/>
        </w:rPr>
      </w:pPr>
    </w:p>
    <w:p w:rsidR="00E00628" w:rsidRPr="00202088" w:rsidRDefault="00E00628" w:rsidP="00202088">
      <w:pPr>
        <w:pStyle w:val="BodyTextIndent"/>
        <w:tabs>
          <w:tab w:val="left" w:pos="2478"/>
        </w:tabs>
        <w:spacing w:after="0" w:line="240" w:lineRule="auto"/>
        <w:ind w:left="0" w:firstLine="851"/>
        <w:rPr>
          <w:rFonts w:ascii="Arial" w:hAnsi="Arial" w:cs="Arial"/>
          <w:sz w:val="24"/>
          <w:szCs w:val="24"/>
          <w:lang w:val="ro-RO"/>
        </w:rPr>
      </w:pPr>
      <w:r w:rsidRPr="00202088">
        <w:rPr>
          <w:rFonts w:ascii="Arial" w:hAnsi="Arial" w:cs="Arial"/>
          <w:sz w:val="24"/>
          <w:szCs w:val="24"/>
        </w:rPr>
        <w:t>Tabel IV.2.1-1</w:t>
      </w:r>
    </w:p>
    <w:tbl>
      <w:tblPr>
        <w:tblpPr w:leftFromText="180" w:rightFromText="180" w:vertAnchor="text" w:horzAnchor="margin" w:tblpXSpec="center" w:tblpY="198"/>
        <w:tblOverlap w:val="never"/>
        <w:tblW w:w="3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0"/>
        <w:gridCol w:w="1238"/>
        <w:gridCol w:w="1239"/>
        <w:gridCol w:w="1235"/>
        <w:gridCol w:w="1186"/>
        <w:gridCol w:w="1186"/>
      </w:tblGrid>
      <w:tr w:rsidR="00E00628" w:rsidRPr="00DB2B5E" w:rsidTr="00E00628">
        <w:trPr>
          <w:trHeight w:val="1125"/>
        </w:trPr>
        <w:tc>
          <w:tcPr>
            <w:tcW w:w="1152" w:type="pct"/>
            <w:tcBorders>
              <w:top w:val="single" w:sz="4" w:space="0" w:color="auto"/>
              <w:left w:val="single" w:sz="4" w:space="0" w:color="auto"/>
              <w:bottom w:val="single" w:sz="4" w:space="0" w:color="auto"/>
              <w:right w:val="single" w:sz="4" w:space="0" w:color="auto"/>
              <w:tl2br w:val="single" w:sz="4" w:space="0" w:color="auto"/>
            </w:tcBorders>
            <w:shd w:val="clear" w:color="auto" w:fill="DBE6C4"/>
            <w:vAlign w:val="center"/>
            <w:hideMark/>
          </w:tcPr>
          <w:p w:rsidR="00E00628" w:rsidRPr="00DB2B5E" w:rsidRDefault="00E00628" w:rsidP="00C625DB">
            <w:pPr>
              <w:spacing w:after="0" w:line="240" w:lineRule="auto"/>
              <w:jc w:val="center"/>
              <w:rPr>
                <w:rFonts w:ascii="Arial" w:eastAsia="Times New Roman" w:hAnsi="Arial" w:cs="Arial"/>
                <w:b/>
                <w:sz w:val="24"/>
                <w:szCs w:val="24"/>
                <w:lang w:val="en-US"/>
              </w:rPr>
            </w:pPr>
            <w:r w:rsidRPr="00DB2B5E">
              <w:rPr>
                <w:rFonts w:ascii="Arial" w:eastAsia="Times New Roman" w:hAnsi="Arial" w:cs="Arial"/>
                <w:b/>
                <w:sz w:val="24"/>
                <w:szCs w:val="24"/>
                <w:lang w:val="en-US"/>
              </w:rPr>
              <w:t>An</w:t>
            </w:r>
          </w:p>
          <w:p w:rsidR="00E00628" w:rsidRPr="00DB2B5E" w:rsidRDefault="00E00628" w:rsidP="00C625DB">
            <w:pPr>
              <w:spacing w:after="0" w:line="240" w:lineRule="auto"/>
              <w:jc w:val="center"/>
              <w:rPr>
                <w:rFonts w:ascii="Arial" w:eastAsia="Times New Roman" w:hAnsi="Arial" w:cs="Arial"/>
                <w:b/>
                <w:sz w:val="24"/>
                <w:szCs w:val="24"/>
                <w:lang w:val="en-US"/>
              </w:rPr>
            </w:pPr>
          </w:p>
          <w:p w:rsidR="00E00628" w:rsidRPr="00DB2B5E" w:rsidRDefault="00E00628" w:rsidP="00C625DB">
            <w:pPr>
              <w:spacing w:after="0" w:line="240" w:lineRule="auto"/>
              <w:jc w:val="center"/>
              <w:rPr>
                <w:rFonts w:ascii="Arial" w:eastAsia="Times New Roman" w:hAnsi="Arial" w:cs="Arial"/>
                <w:b/>
                <w:sz w:val="24"/>
                <w:szCs w:val="24"/>
                <w:lang w:val="en-US"/>
              </w:rPr>
            </w:pPr>
          </w:p>
          <w:p w:rsidR="00E00628" w:rsidRPr="00DB2B5E" w:rsidRDefault="00E00628" w:rsidP="00C625DB">
            <w:pPr>
              <w:spacing w:after="0" w:line="240" w:lineRule="auto"/>
              <w:jc w:val="center"/>
              <w:rPr>
                <w:rFonts w:ascii="Arial" w:eastAsia="Times New Roman" w:hAnsi="Arial" w:cs="Arial"/>
                <w:b/>
                <w:sz w:val="24"/>
                <w:szCs w:val="24"/>
              </w:rPr>
            </w:pPr>
            <w:r w:rsidRPr="00DB2B5E">
              <w:rPr>
                <w:rFonts w:ascii="Arial" w:eastAsia="Times New Roman" w:hAnsi="Arial" w:cs="Arial"/>
                <w:b/>
                <w:sz w:val="24"/>
                <w:szCs w:val="24"/>
                <w:lang w:val="en-US"/>
              </w:rPr>
              <w:t>Suprafața</w:t>
            </w:r>
          </w:p>
        </w:tc>
        <w:tc>
          <w:tcPr>
            <w:tcW w:w="783"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2011</w:t>
            </w:r>
          </w:p>
        </w:tc>
        <w:tc>
          <w:tcPr>
            <w:tcW w:w="784"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2012</w:t>
            </w:r>
          </w:p>
        </w:tc>
        <w:tc>
          <w:tcPr>
            <w:tcW w:w="781"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2013</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2014</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tcPr>
          <w:p w:rsidR="00E00628" w:rsidRPr="00DB2B5E" w:rsidRDefault="00E00628" w:rsidP="00C625DB">
            <w:pPr>
              <w:spacing w:after="0" w:line="240" w:lineRule="auto"/>
              <w:jc w:val="center"/>
              <w:rPr>
                <w:rFonts w:ascii="Arial" w:hAnsi="Arial" w:cs="Arial"/>
                <w:b/>
                <w:sz w:val="24"/>
                <w:szCs w:val="24"/>
              </w:rPr>
            </w:pPr>
            <w:r w:rsidRPr="00DB2B5E">
              <w:rPr>
                <w:rFonts w:ascii="Arial" w:hAnsi="Arial" w:cs="Arial"/>
                <w:b/>
                <w:sz w:val="24"/>
                <w:szCs w:val="24"/>
              </w:rPr>
              <w:t>2015</w:t>
            </w:r>
          </w:p>
        </w:tc>
      </w:tr>
      <w:tr w:rsidR="00E00628" w:rsidRPr="00DB2B5E" w:rsidTr="00E00628">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rPr>
                <w:rFonts w:ascii="Arial" w:hAnsi="Arial" w:cs="Arial"/>
                <w:sz w:val="24"/>
                <w:szCs w:val="24"/>
              </w:rPr>
            </w:pPr>
            <w:r w:rsidRPr="00DB2B5E">
              <w:rPr>
                <w:rFonts w:ascii="Arial" w:hAnsi="Arial" w:cs="Arial"/>
                <w:sz w:val="24"/>
                <w:szCs w:val="24"/>
              </w:rPr>
              <w:t>Terenuri agricole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jc w:val="center"/>
              <w:rPr>
                <w:rFonts w:ascii="Arial" w:hAnsi="Arial" w:cs="Arial"/>
                <w:sz w:val="24"/>
                <w:szCs w:val="24"/>
              </w:rPr>
            </w:pPr>
            <w:r w:rsidRPr="00DB2B5E">
              <w:rPr>
                <w:rFonts w:ascii="Arial" w:hAnsi="Arial" w:cs="Arial"/>
                <w:sz w:val="24"/>
                <w:szCs w:val="24"/>
              </w:rPr>
              <w:t>387.363</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jc w:val="center"/>
              <w:rPr>
                <w:rFonts w:ascii="Arial" w:hAnsi="Arial" w:cs="Arial"/>
                <w:sz w:val="24"/>
                <w:szCs w:val="24"/>
              </w:rPr>
            </w:pPr>
            <w:r w:rsidRPr="00DB2B5E">
              <w:rPr>
                <w:rFonts w:ascii="Arial" w:hAnsi="Arial" w:cs="Arial"/>
                <w:sz w:val="24"/>
                <w:szCs w:val="24"/>
              </w:rPr>
              <w:t>387.160</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jc w:val="center"/>
              <w:rPr>
                <w:rFonts w:ascii="Arial" w:hAnsi="Arial" w:cs="Arial"/>
                <w:sz w:val="24"/>
                <w:szCs w:val="24"/>
              </w:rPr>
            </w:pPr>
            <w:r w:rsidRPr="00DB2B5E">
              <w:rPr>
                <w:rFonts w:ascii="Arial" w:hAnsi="Arial" w:cs="Arial"/>
                <w:sz w:val="24"/>
                <w:szCs w:val="24"/>
              </w:rPr>
              <w:t>387.598</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387.750</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389.907</w:t>
            </w:r>
          </w:p>
        </w:tc>
      </w:tr>
      <w:tr w:rsidR="00E00628" w:rsidRPr="00DB2B5E" w:rsidTr="00E00628">
        <w:trPr>
          <w:trHeight w:val="1888"/>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spacing w:after="0" w:line="240" w:lineRule="auto"/>
              <w:rPr>
                <w:rFonts w:ascii="Arial" w:hAnsi="Arial" w:cs="Arial"/>
                <w:sz w:val="24"/>
                <w:szCs w:val="24"/>
              </w:rPr>
            </w:pPr>
            <w:r w:rsidRPr="00DB2B5E">
              <w:rPr>
                <w:rFonts w:ascii="Arial" w:hAnsi="Arial" w:cs="Arial"/>
                <w:sz w:val="24"/>
                <w:szCs w:val="24"/>
              </w:rPr>
              <w:t>Suprafața scoasă din circuitul agricol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jc w:val="center"/>
              <w:rPr>
                <w:rFonts w:ascii="Arial" w:hAnsi="Arial" w:cs="Arial"/>
                <w:sz w:val="24"/>
                <w:szCs w:val="24"/>
              </w:rPr>
            </w:pPr>
            <w:r w:rsidRPr="00DB2B5E">
              <w:rPr>
                <w:rFonts w:ascii="Arial" w:hAnsi="Arial" w:cs="Arial"/>
                <w:sz w:val="24"/>
                <w:szCs w:val="24"/>
              </w:rPr>
              <w:t>51,01</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jc w:val="center"/>
              <w:rPr>
                <w:rFonts w:ascii="Arial" w:hAnsi="Arial" w:cs="Arial"/>
                <w:sz w:val="24"/>
                <w:szCs w:val="24"/>
              </w:rPr>
            </w:pPr>
            <w:r w:rsidRPr="00DB2B5E">
              <w:rPr>
                <w:rFonts w:ascii="Arial" w:hAnsi="Arial" w:cs="Arial"/>
                <w:sz w:val="24"/>
                <w:szCs w:val="24"/>
              </w:rPr>
              <w:t>10,45</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jc w:val="center"/>
              <w:rPr>
                <w:rFonts w:ascii="Arial" w:hAnsi="Arial" w:cs="Arial"/>
                <w:sz w:val="24"/>
                <w:szCs w:val="24"/>
              </w:rPr>
            </w:pPr>
            <w:r w:rsidRPr="00DB2B5E">
              <w:rPr>
                <w:rFonts w:ascii="Arial" w:hAnsi="Arial" w:cs="Arial"/>
                <w:sz w:val="24"/>
                <w:szCs w:val="24"/>
              </w:rPr>
              <w:t>10,45</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10,52</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7,4</w:t>
            </w:r>
          </w:p>
        </w:tc>
      </w:tr>
      <w:tr w:rsidR="00E00628" w:rsidRPr="00DB2B5E" w:rsidTr="00E00628">
        <w:trPr>
          <w:trHeight w:val="629"/>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spacing w:after="0" w:line="240" w:lineRule="auto"/>
              <w:rPr>
                <w:rFonts w:ascii="Arial" w:hAnsi="Arial" w:cs="Arial"/>
                <w:sz w:val="24"/>
                <w:szCs w:val="24"/>
              </w:rPr>
            </w:pPr>
            <w:r w:rsidRPr="00DB2B5E">
              <w:rPr>
                <w:rFonts w:ascii="Arial" w:hAnsi="Arial" w:cs="Arial"/>
                <w:sz w:val="24"/>
                <w:szCs w:val="24"/>
              </w:rPr>
              <w:t>% Suprafață scoasă din circuit agricol din suprafața teren agricol</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jc w:val="center"/>
              <w:rPr>
                <w:rFonts w:ascii="Arial" w:hAnsi="Arial" w:cs="Arial"/>
                <w:sz w:val="24"/>
                <w:szCs w:val="24"/>
              </w:rPr>
            </w:pPr>
            <w:r w:rsidRPr="00DB2B5E">
              <w:rPr>
                <w:rFonts w:ascii="Arial" w:hAnsi="Arial" w:cs="Arial"/>
                <w:sz w:val="24"/>
                <w:szCs w:val="24"/>
              </w:rPr>
              <w:t>0,013</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jc w:val="center"/>
              <w:rPr>
                <w:rFonts w:ascii="Arial" w:hAnsi="Arial" w:cs="Arial"/>
                <w:sz w:val="24"/>
                <w:szCs w:val="24"/>
              </w:rPr>
            </w:pPr>
            <w:r w:rsidRPr="00DB2B5E">
              <w:rPr>
                <w:rFonts w:ascii="Arial" w:hAnsi="Arial" w:cs="Arial"/>
                <w:sz w:val="24"/>
                <w:szCs w:val="24"/>
              </w:rPr>
              <w:t>0,003</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pStyle w:val="BodyTextIndent"/>
              <w:spacing w:after="0" w:line="240" w:lineRule="auto"/>
              <w:ind w:left="0"/>
              <w:jc w:val="center"/>
              <w:rPr>
                <w:rFonts w:ascii="Arial" w:hAnsi="Arial" w:cs="Arial"/>
                <w:sz w:val="24"/>
                <w:szCs w:val="24"/>
              </w:rPr>
            </w:pPr>
            <w:r w:rsidRPr="00DB2B5E">
              <w:rPr>
                <w:rFonts w:ascii="Arial" w:hAnsi="Arial" w:cs="Arial"/>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E00628" w:rsidRPr="00DB2B5E" w:rsidRDefault="00E00628" w:rsidP="00C625DB">
            <w:pPr>
              <w:spacing w:after="0" w:line="240" w:lineRule="auto"/>
              <w:jc w:val="center"/>
              <w:rPr>
                <w:rFonts w:ascii="Arial" w:hAnsi="Arial" w:cs="Arial"/>
                <w:sz w:val="24"/>
                <w:szCs w:val="24"/>
              </w:rPr>
            </w:pPr>
            <w:r w:rsidRPr="00DB2B5E">
              <w:rPr>
                <w:rFonts w:ascii="Arial" w:hAnsi="Arial" w:cs="Arial"/>
                <w:sz w:val="24"/>
                <w:szCs w:val="24"/>
              </w:rPr>
              <w:t>0,002</w:t>
            </w:r>
          </w:p>
        </w:tc>
      </w:tr>
    </w:tbl>
    <w:p w:rsidR="00E00628" w:rsidRPr="00DB2B5E" w:rsidRDefault="00E00628" w:rsidP="00C625DB">
      <w:pPr>
        <w:pStyle w:val="BodyTextIndent"/>
        <w:tabs>
          <w:tab w:val="left" w:pos="2478"/>
        </w:tabs>
        <w:spacing w:after="0" w:line="240" w:lineRule="auto"/>
        <w:ind w:left="0" w:firstLine="851"/>
        <w:jc w:val="both"/>
        <w:rPr>
          <w:rFonts w:ascii="Arial" w:hAnsi="Arial" w:cs="Arial"/>
          <w:sz w:val="24"/>
          <w:szCs w:val="24"/>
          <w:lang w:val="ro-RO"/>
        </w:rPr>
      </w:pPr>
    </w:p>
    <w:p w:rsidR="00E00628" w:rsidRPr="00DB2B5E" w:rsidRDefault="00E00628" w:rsidP="00C625DB">
      <w:pPr>
        <w:spacing w:after="0" w:line="240" w:lineRule="auto"/>
        <w:rPr>
          <w:rFonts w:ascii="Arial" w:hAnsi="Arial" w:cs="Arial"/>
          <w:sz w:val="24"/>
          <w:szCs w:val="24"/>
        </w:rPr>
      </w:pPr>
    </w:p>
    <w:p w:rsidR="00E00628" w:rsidRPr="00DB2B5E" w:rsidRDefault="00E00628" w:rsidP="00C625DB">
      <w:pPr>
        <w:spacing w:after="0" w:line="240" w:lineRule="auto"/>
        <w:rPr>
          <w:rFonts w:ascii="Arial" w:hAnsi="Arial" w:cs="Arial"/>
          <w:sz w:val="24"/>
          <w:szCs w:val="24"/>
        </w:rPr>
      </w:pPr>
    </w:p>
    <w:p w:rsidR="00E00628" w:rsidRPr="00DB2B5E" w:rsidRDefault="00E00628" w:rsidP="00C625DB">
      <w:pPr>
        <w:spacing w:after="0" w:line="240" w:lineRule="auto"/>
        <w:rPr>
          <w:rFonts w:ascii="Arial" w:hAnsi="Arial" w:cs="Arial"/>
          <w:sz w:val="24"/>
          <w:szCs w:val="24"/>
        </w:rPr>
      </w:pPr>
    </w:p>
    <w:p w:rsidR="00E00628" w:rsidRPr="00DB2B5E" w:rsidRDefault="00E00628" w:rsidP="00C625DB">
      <w:pPr>
        <w:spacing w:after="0" w:line="240" w:lineRule="auto"/>
        <w:rPr>
          <w:rFonts w:ascii="Arial" w:hAnsi="Arial" w:cs="Arial"/>
          <w:sz w:val="24"/>
          <w:szCs w:val="24"/>
        </w:rPr>
      </w:pPr>
    </w:p>
    <w:p w:rsidR="00E00628" w:rsidRPr="00DB2B5E" w:rsidRDefault="00E00628" w:rsidP="00C625DB">
      <w:pPr>
        <w:spacing w:after="0" w:line="240" w:lineRule="auto"/>
        <w:rPr>
          <w:rFonts w:ascii="Arial" w:hAnsi="Arial" w:cs="Arial"/>
          <w:sz w:val="24"/>
          <w:szCs w:val="24"/>
        </w:rPr>
      </w:pPr>
    </w:p>
    <w:p w:rsidR="00E00628" w:rsidRPr="00DB2B5E" w:rsidRDefault="00E00628" w:rsidP="00C625DB">
      <w:pPr>
        <w:spacing w:after="0" w:line="240" w:lineRule="auto"/>
        <w:ind w:firstLine="708"/>
        <w:rPr>
          <w:rFonts w:ascii="Arial" w:eastAsia="Times New Roman" w:hAnsi="Arial" w:cs="Arial"/>
          <w:sz w:val="24"/>
          <w:szCs w:val="24"/>
        </w:rPr>
      </w:pPr>
    </w:p>
    <w:p w:rsidR="00E00628" w:rsidRPr="00DB2B5E" w:rsidRDefault="00E00628" w:rsidP="00C625DB">
      <w:pPr>
        <w:spacing w:after="0" w:line="240" w:lineRule="auto"/>
        <w:ind w:firstLine="708"/>
        <w:rPr>
          <w:rFonts w:ascii="Arial" w:eastAsia="Times New Roman" w:hAnsi="Arial" w:cs="Arial"/>
          <w:sz w:val="24"/>
          <w:szCs w:val="24"/>
        </w:rPr>
      </w:pPr>
    </w:p>
    <w:p w:rsidR="00E00628" w:rsidRPr="00DB2B5E" w:rsidRDefault="00E00628" w:rsidP="00C625DB">
      <w:pPr>
        <w:spacing w:after="0" w:line="240" w:lineRule="auto"/>
        <w:ind w:firstLine="708"/>
        <w:rPr>
          <w:rFonts w:ascii="Arial" w:eastAsia="Times New Roman" w:hAnsi="Arial" w:cs="Arial"/>
          <w:sz w:val="24"/>
          <w:szCs w:val="24"/>
        </w:rPr>
      </w:pPr>
    </w:p>
    <w:p w:rsidR="00E00628" w:rsidRPr="00DB2B5E" w:rsidRDefault="00E00628" w:rsidP="00C625DB">
      <w:pPr>
        <w:spacing w:after="0" w:line="240" w:lineRule="auto"/>
        <w:ind w:firstLine="708"/>
        <w:jc w:val="both"/>
        <w:rPr>
          <w:rFonts w:ascii="Arial" w:eastAsia="Times New Roman" w:hAnsi="Arial" w:cs="Arial"/>
          <w:sz w:val="24"/>
          <w:szCs w:val="24"/>
        </w:rPr>
      </w:pPr>
    </w:p>
    <w:p w:rsidR="00E00628" w:rsidRPr="00DB2B5E" w:rsidRDefault="00E00628" w:rsidP="00C625DB">
      <w:pPr>
        <w:spacing w:after="0" w:line="240" w:lineRule="auto"/>
        <w:ind w:firstLine="708"/>
        <w:jc w:val="both"/>
        <w:rPr>
          <w:rFonts w:ascii="Arial" w:eastAsia="Times New Roman" w:hAnsi="Arial" w:cs="Arial"/>
          <w:sz w:val="24"/>
          <w:szCs w:val="24"/>
        </w:rPr>
      </w:pPr>
    </w:p>
    <w:p w:rsidR="00E00628" w:rsidRPr="00DB2B5E" w:rsidRDefault="00E00628" w:rsidP="00C625DB">
      <w:pPr>
        <w:spacing w:after="0" w:line="240" w:lineRule="auto"/>
        <w:ind w:firstLine="708"/>
        <w:jc w:val="both"/>
        <w:rPr>
          <w:rFonts w:ascii="Arial" w:eastAsia="Times New Roman" w:hAnsi="Arial" w:cs="Arial"/>
          <w:sz w:val="24"/>
          <w:szCs w:val="24"/>
        </w:rPr>
      </w:pPr>
    </w:p>
    <w:p w:rsidR="00E00628" w:rsidRPr="00DB2B5E" w:rsidRDefault="00E00628" w:rsidP="00C625DB">
      <w:pPr>
        <w:spacing w:after="0" w:line="240" w:lineRule="auto"/>
        <w:ind w:firstLine="708"/>
        <w:jc w:val="both"/>
        <w:rPr>
          <w:rFonts w:ascii="Arial" w:eastAsia="Times New Roman" w:hAnsi="Arial" w:cs="Arial"/>
          <w:sz w:val="24"/>
          <w:szCs w:val="24"/>
        </w:rPr>
      </w:pPr>
    </w:p>
    <w:p w:rsidR="00202088" w:rsidRDefault="00202088" w:rsidP="00C625DB">
      <w:pPr>
        <w:spacing w:after="0" w:line="240" w:lineRule="auto"/>
        <w:ind w:firstLine="708"/>
        <w:jc w:val="both"/>
        <w:rPr>
          <w:rFonts w:ascii="Arial" w:eastAsia="Times New Roman" w:hAnsi="Arial" w:cs="Arial"/>
          <w:sz w:val="24"/>
          <w:szCs w:val="24"/>
        </w:rPr>
      </w:pPr>
    </w:p>
    <w:p w:rsidR="00202088" w:rsidRDefault="00202088" w:rsidP="00C625DB">
      <w:pPr>
        <w:spacing w:after="0" w:line="240" w:lineRule="auto"/>
        <w:ind w:firstLine="708"/>
        <w:jc w:val="both"/>
        <w:rPr>
          <w:rFonts w:ascii="Arial" w:eastAsia="Times New Roman" w:hAnsi="Arial" w:cs="Arial"/>
          <w:sz w:val="24"/>
          <w:szCs w:val="24"/>
        </w:rPr>
      </w:pPr>
    </w:p>
    <w:p w:rsidR="00202088" w:rsidRDefault="00202088" w:rsidP="00C625DB">
      <w:pPr>
        <w:spacing w:after="0" w:line="240" w:lineRule="auto"/>
        <w:ind w:firstLine="708"/>
        <w:jc w:val="both"/>
        <w:rPr>
          <w:rFonts w:ascii="Arial" w:eastAsia="Times New Roman" w:hAnsi="Arial" w:cs="Arial"/>
          <w:sz w:val="24"/>
          <w:szCs w:val="24"/>
        </w:rPr>
      </w:pPr>
    </w:p>
    <w:p w:rsidR="00202088" w:rsidRDefault="00202088" w:rsidP="00C625DB">
      <w:pPr>
        <w:spacing w:after="0" w:line="240" w:lineRule="auto"/>
        <w:ind w:firstLine="708"/>
        <w:jc w:val="both"/>
        <w:rPr>
          <w:rFonts w:ascii="Arial" w:eastAsia="Times New Roman" w:hAnsi="Arial" w:cs="Arial"/>
          <w:sz w:val="24"/>
          <w:szCs w:val="24"/>
        </w:rPr>
      </w:pPr>
    </w:p>
    <w:p w:rsidR="00202088" w:rsidRDefault="00202088" w:rsidP="00C625DB">
      <w:pPr>
        <w:spacing w:after="0" w:line="240" w:lineRule="auto"/>
        <w:ind w:firstLine="708"/>
        <w:jc w:val="both"/>
        <w:rPr>
          <w:rFonts w:ascii="Arial" w:eastAsia="Times New Roman" w:hAnsi="Arial" w:cs="Arial"/>
          <w:sz w:val="24"/>
          <w:szCs w:val="24"/>
        </w:rPr>
      </w:pPr>
    </w:p>
    <w:p w:rsidR="00202088" w:rsidRDefault="00202088" w:rsidP="00C625DB">
      <w:pPr>
        <w:spacing w:after="0" w:line="240" w:lineRule="auto"/>
        <w:ind w:firstLine="708"/>
        <w:jc w:val="both"/>
        <w:rPr>
          <w:rFonts w:ascii="Arial" w:eastAsia="Times New Roman" w:hAnsi="Arial" w:cs="Arial"/>
          <w:sz w:val="24"/>
          <w:szCs w:val="24"/>
        </w:rPr>
      </w:pPr>
    </w:p>
    <w:p w:rsidR="00202088" w:rsidRDefault="00202088" w:rsidP="00C625DB">
      <w:pPr>
        <w:spacing w:after="0" w:line="240" w:lineRule="auto"/>
        <w:ind w:firstLine="708"/>
        <w:jc w:val="both"/>
        <w:rPr>
          <w:rFonts w:ascii="Arial" w:eastAsia="Times New Roman" w:hAnsi="Arial" w:cs="Arial"/>
          <w:sz w:val="24"/>
          <w:szCs w:val="24"/>
        </w:rPr>
      </w:pPr>
    </w:p>
    <w:p w:rsidR="00E00628" w:rsidRPr="00DB2B5E" w:rsidRDefault="00E00628" w:rsidP="00C625DB">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După cum se observă suprafețele de teren scoase din circuitul agricol au scăzut în 2011-2015.</w:t>
      </w:r>
    </w:p>
    <w:p w:rsidR="00E00628" w:rsidRPr="00DB2B5E" w:rsidRDefault="00E00628" w:rsidP="00C625DB">
      <w:pPr>
        <w:spacing w:after="0" w:line="240" w:lineRule="auto"/>
        <w:ind w:firstLine="708"/>
        <w:rPr>
          <w:rFonts w:ascii="Arial" w:eastAsia="Times New Roman" w:hAnsi="Arial" w:cs="Arial"/>
          <w:sz w:val="24"/>
          <w:szCs w:val="24"/>
        </w:rPr>
      </w:pPr>
      <w:r w:rsidRPr="00DB2B5E">
        <w:rPr>
          <w:rFonts w:ascii="Arial" w:eastAsia="Times New Roman" w:hAnsi="Arial" w:cs="Arial"/>
          <w:sz w:val="24"/>
          <w:szCs w:val="24"/>
        </w:rPr>
        <w:t xml:space="preserve">Deși în perioada analizată au fost scoase din circuitul agricol suprafețe mici de teren suprafața totală de teren agricol a crescut cu 2544 de hectare ceea ce reprezintă doar 0,65% din suprafața agricolă a anului 2011. </w:t>
      </w:r>
    </w:p>
    <w:p w:rsidR="00DB2B5E" w:rsidRPr="00DB2B5E" w:rsidRDefault="00DB2B5E" w:rsidP="00C625DB">
      <w:pPr>
        <w:spacing w:after="0" w:line="240" w:lineRule="auto"/>
        <w:ind w:firstLine="708"/>
        <w:rPr>
          <w:rFonts w:ascii="Arial" w:hAnsi="Arial" w:cs="Arial"/>
          <w:b/>
          <w:sz w:val="24"/>
          <w:szCs w:val="24"/>
        </w:rPr>
      </w:pP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r w:rsidRPr="00DB2B5E">
        <w:rPr>
          <w:rFonts w:ascii="Arial" w:hAnsi="Arial" w:cs="Arial"/>
          <w:b/>
          <w:sz w:val="24"/>
          <w:szCs w:val="24"/>
          <w:lang w:val="ro-RO"/>
        </w:rPr>
        <w:t xml:space="preserve">      IV.2.2. </w:t>
      </w:r>
      <w:r w:rsidRPr="00DB2B5E">
        <w:rPr>
          <w:rFonts w:ascii="Arial" w:hAnsi="Arial" w:cs="Arial"/>
          <w:b/>
          <w:i/>
          <w:sz w:val="24"/>
          <w:szCs w:val="24"/>
          <w:lang w:val="ro-RO"/>
        </w:rPr>
        <w:t>Impactul schimbării utilizării terenurilor asupra habitatelor</w:t>
      </w: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p>
    <w:p w:rsidR="00E00628" w:rsidRPr="00DB2B5E" w:rsidRDefault="00E00628" w:rsidP="00C625DB">
      <w:pPr>
        <w:autoSpaceDE w:val="0"/>
        <w:autoSpaceDN w:val="0"/>
        <w:adjustRightInd w:val="0"/>
        <w:spacing w:after="0" w:line="240" w:lineRule="auto"/>
        <w:ind w:firstLine="708"/>
        <w:jc w:val="both"/>
        <w:rPr>
          <w:rFonts w:ascii="Arial" w:hAnsi="Arial" w:cs="Arial"/>
          <w:sz w:val="24"/>
          <w:szCs w:val="24"/>
        </w:rPr>
      </w:pPr>
      <w:r w:rsidRPr="00DB2B5E">
        <w:rPr>
          <w:rFonts w:ascii="Arial" w:hAnsi="Arial" w:cs="Arial"/>
          <w:sz w:val="24"/>
          <w:szCs w:val="24"/>
        </w:rPr>
        <w:t xml:space="preserve">Modul de utilizare a terenurilor s-a schimbat subtanțial în ultimul secol. Schimbările au afectat suprafețele arealelor naturale și semi-naturale, crescând în acest mod gradul de fragmentare a arealelor naturale și semi-naturale. Acest indicator oferă informații cu privire la evoluția suprafețelor arealelor naturale și semi-naturale, calculând valorile derivate din hărțile de acoperire a terenurilor. </w:t>
      </w:r>
    </w:p>
    <w:p w:rsidR="00E00628" w:rsidRPr="00DB2B5E" w:rsidRDefault="00E00628" w:rsidP="00C625DB">
      <w:pPr>
        <w:autoSpaceDE w:val="0"/>
        <w:autoSpaceDN w:val="0"/>
        <w:adjustRightInd w:val="0"/>
        <w:spacing w:after="0" w:line="240" w:lineRule="auto"/>
        <w:ind w:firstLine="708"/>
        <w:jc w:val="both"/>
        <w:rPr>
          <w:rFonts w:ascii="Arial" w:hAnsi="Arial" w:cs="Arial"/>
          <w:sz w:val="24"/>
          <w:szCs w:val="24"/>
        </w:rPr>
      </w:pPr>
      <w:r w:rsidRPr="00DB2B5E">
        <w:rPr>
          <w:rFonts w:ascii="Arial" w:hAnsi="Arial" w:cs="Arial"/>
          <w:sz w:val="24"/>
          <w:szCs w:val="24"/>
        </w:rPr>
        <w:t xml:space="preserve">Pe lângă fenomenul de distrugere integrală a habitatelor, apare şi cel de fragmentare prin drumuri, terenuri agricole, medii urbane ori construcţii. Fragmentarea habitatelor este procesul prin care o suprafaţă mare şi continuă a unui habitat este divizată în două sau mai multe fragmente. </w:t>
      </w:r>
    </w:p>
    <w:p w:rsidR="00E00628" w:rsidRPr="00DB2B5E" w:rsidRDefault="00E00628" w:rsidP="00C625DB">
      <w:pPr>
        <w:autoSpaceDE w:val="0"/>
        <w:autoSpaceDN w:val="0"/>
        <w:adjustRightInd w:val="0"/>
        <w:spacing w:after="0" w:line="240" w:lineRule="auto"/>
        <w:ind w:firstLine="708"/>
        <w:jc w:val="both"/>
        <w:rPr>
          <w:rFonts w:ascii="Arial" w:hAnsi="Arial" w:cs="Arial"/>
          <w:sz w:val="24"/>
          <w:szCs w:val="24"/>
        </w:rPr>
      </w:pPr>
      <w:r w:rsidRPr="00DB2B5E">
        <w:rPr>
          <w:rFonts w:ascii="Arial" w:hAnsi="Arial" w:cs="Arial"/>
          <w:sz w:val="24"/>
          <w:szCs w:val="24"/>
        </w:rPr>
        <w:t xml:space="preserve">O cauză principală a fragmentării arealelor naturale și seminaturale este reprezentată de conversia terenurilor în scopul dezvoltării infrastructurii urbane, industriale, agricole, turistice sau de transport, aceasta reprezentând cauza principală a pierderii de biodiversitate, ducând la degradarea, distrugerea şi fragmentarea habitatelor şi implicit la declinul populaţiilor naturale. </w:t>
      </w:r>
    </w:p>
    <w:p w:rsidR="00E00628" w:rsidRPr="00DB2B5E" w:rsidRDefault="00E00628" w:rsidP="00C625DB">
      <w:pPr>
        <w:spacing w:after="0" w:line="240" w:lineRule="auto"/>
        <w:ind w:firstLine="708"/>
        <w:jc w:val="both"/>
        <w:rPr>
          <w:rFonts w:ascii="Arial" w:hAnsi="Arial" w:cs="Arial"/>
          <w:sz w:val="24"/>
          <w:szCs w:val="24"/>
        </w:rPr>
      </w:pPr>
      <w:r w:rsidRPr="00DB2B5E">
        <w:rPr>
          <w:rFonts w:ascii="Arial" w:hAnsi="Arial" w:cs="Arial"/>
          <w:sz w:val="24"/>
          <w:szCs w:val="24"/>
        </w:rPr>
        <w:t xml:space="preserve">În judeţul </w:t>
      </w:r>
      <w:r w:rsidR="00217620">
        <w:rPr>
          <w:rFonts w:ascii="Arial" w:hAnsi="Arial" w:cs="Arial"/>
          <w:sz w:val="24"/>
          <w:szCs w:val="24"/>
        </w:rPr>
        <w:t>Brăila</w:t>
      </w:r>
      <w:r w:rsidRPr="00DB2B5E">
        <w:rPr>
          <w:rFonts w:ascii="Arial" w:hAnsi="Arial" w:cs="Arial"/>
          <w:sz w:val="24"/>
          <w:szCs w:val="24"/>
        </w:rPr>
        <w:t xml:space="preserve">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w:t>
      </w:r>
      <w:r w:rsidRPr="00DB2B5E">
        <w:rPr>
          <w:rFonts w:ascii="Arial" w:hAnsi="Arial" w:cs="Arial"/>
          <w:sz w:val="24"/>
          <w:szCs w:val="24"/>
        </w:rPr>
        <w:lastRenderedPageBreak/>
        <w:t xml:space="preserve">ca şi o mare parte din păşunile cu vegetaţie de stepă de pe terenuri cu exces de umiditate, care au fost asanate. </w:t>
      </w:r>
    </w:p>
    <w:p w:rsidR="00E00628" w:rsidRPr="00DB2B5E" w:rsidRDefault="00E00628" w:rsidP="00C625DB">
      <w:pPr>
        <w:spacing w:after="0" w:line="240" w:lineRule="auto"/>
        <w:jc w:val="both"/>
        <w:rPr>
          <w:rFonts w:ascii="Arial" w:hAnsi="Arial" w:cs="Arial"/>
          <w:sz w:val="24"/>
          <w:szCs w:val="24"/>
        </w:rPr>
      </w:pPr>
      <w:r w:rsidRPr="00DB2B5E">
        <w:rPr>
          <w:rFonts w:ascii="Arial" w:hAnsi="Arial" w:cs="Arial"/>
          <w:sz w:val="24"/>
          <w:szCs w:val="24"/>
        </w:rPr>
        <w:t xml:space="preserve">Consecinţele îndiguirii sunt: </w:t>
      </w:r>
    </w:p>
    <w:p w:rsidR="00E00628" w:rsidRPr="00DB2B5E" w:rsidRDefault="00E00628" w:rsidP="00252ED3">
      <w:pPr>
        <w:numPr>
          <w:ilvl w:val="0"/>
          <w:numId w:val="22"/>
        </w:numPr>
        <w:spacing w:after="0" w:line="240" w:lineRule="auto"/>
        <w:jc w:val="both"/>
        <w:rPr>
          <w:rFonts w:ascii="Arial" w:hAnsi="Arial" w:cs="Arial"/>
          <w:sz w:val="24"/>
          <w:szCs w:val="24"/>
          <w:lang w:val="it-IT"/>
        </w:rPr>
      </w:pPr>
      <w:r w:rsidRPr="00DB2B5E">
        <w:rPr>
          <w:rFonts w:ascii="Arial" w:hAnsi="Arial" w:cs="Arial"/>
          <w:sz w:val="24"/>
          <w:szCs w:val="24"/>
          <w:lang w:val="it-IT"/>
        </w:rPr>
        <w:t>modificarea regimului hidrologic al Dunării prin creşterea amplitudinii viiturilor;</w:t>
      </w:r>
    </w:p>
    <w:p w:rsidR="00E00628" w:rsidRPr="00DB2B5E" w:rsidRDefault="00E00628" w:rsidP="00252ED3">
      <w:pPr>
        <w:numPr>
          <w:ilvl w:val="0"/>
          <w:numId w:val="22"/>
        </w:numPr>
        <w:spacing w:after="0" w:line="240" w:lineRule="auto"/>
        <w:jc w:val="both"/>
        <w:rPr>
          <w:rFonts w:ascii="Arial" w:hAnsi="Arial" w:cs="Arial"/>
          <w:sz w:val="24"/>
          <w:szCs w:val="24"/>
        </w:rPr>
      </w:pPr>
      <w:r w:rsidRPr="00DB2B5E">
        <w:rPr>
          <w:rFonts w:ascii="Arial" w:hAnsi="Arial" w:cs="Arial"/>
          <w:sz w:val="24"/>
          <w:szCs w:val="24"/>
        </w:rPr>
        <w:t>reducerea capacităţii de retenţie a nutrienţilor de către zonele inundabile;</w:t>
      </w:r>
    </w:p>
    <w:p w:rsidR="00E00628" w:rsidRPr="00DB2B5E" w:rsidRDefault="00E00628" w:rsidP="00252ED3">
      <w:pPr>
        <w:numPr>
          <w:ilvl w:val="0"/>
          <w:numId w:val="22"/>
        </w:numPr>
        <w:spacing w:after="0" w:line="240" w:lineRule="auto"/>
        <w:jc w:val="both"/>
        <w:rPr>
          <w:rFonts w:ascii="Arial" w:hAnsi="Arial" w:cs="Arial"/>
          <w:sz w:val="24"/>
          <w:szCs w:val="24"/>
        </w:rPr>
      </w:pPr>
      <w:r w:rsidRPr="00DB2B5E">
        <w:rPr>
          <w:rFonts w:ascii="Arial" w:hAnsi="Arial" w:cs="Arial"/>
          <w:sz w:val="24"/>
          <w:szCs w:val="24"/>
        </w:rPr>
        <w:t>sărăturarea terenurilor desecate din cauza fluctuaţiilor nivelului pânzei freatice din sol;</w:t>
      </w:r>
    </w:p>
    <w:p w:rsidR="00E00628" w:rsidRPr="00DB2B5E" w:rsidRDefault="00E00628" w:rsidP="00252ED3">
      <w:pPr>
        <w:numPr>
          <w:ilvl w:val="0"/>
          <w:numId w:val="22"/>
        </w:numPr>
        <w:spacing w:after="0" w:line="240" w:lineRule="auto"/>
        <w:jc w:val="both"/>
        <w:rPr>
          <w:rFonts w:ascii="Arial" w:hAnsi="Arial" w:cs="Arial"/>
          <w:sz w:val="24"/>
          <w:szCs w:val="24"/>
        </w:rPr>
      </w:pPr>
      <w:r w:rsidRPr="00DB2B5E">
        <w:rPr>
          <w:rFonts w:ascii="Arial" w:hAnsi="Arial" w:cs="Arial"/>
          <w:sz w:val="24"/>
          <w:szCs w:val="24"/>
        </w:rPr>
        <w:t>reducerea zonelor de reproducere a speciilor de peşti semimigratori;</w:t>
      </w:r>
    </w:p>
    <w:p w:rsidR="00E00628" w:rsidRPr="00DB2B5E" w:rsidRDefault="00E00628" w:rsidP="00252ED3">
      <w:pPr>
        <w:numPr>
          <w:ilvl w:val="0"/>
          <w:numId w:val="22"/>
        </w:numPr>
        <w:spacing w:after="0" w:line="240" w:lineRule="auto"/>
        <w:jc w:val="both"/>
        <w:rPr>
          <w:rFonts w:ascii="Arial" w:hAnsi="Arial" w:cs="Arial"/>
          <w:sz w:val="24"/>
          <w:szCs w:val="24"/>
        </w:rPr>
      </w:pPr>
      <w:r w:rsidRPr="00DB2B5E">
        <w:rPr>
          <w:rFonts w:ascii="Arial" w:hAnsi="Arial" w:cs="Arial"/>
          <w:sz w:val="24"/>
          <w:szCs w:val="24"/>
        </w:rPr>
        <w:t>reducerea capturilor de peşte.</w:t>
      </w:r>
    </w:p>
    <w:p w:rsidR="00AE3406" w:rsidRPr="00DB2B5E" w:rsidRDefault="00E00628" w:rsidP="00C625DB">
      <w:pPr>
        <w:spacing w:after="0" w:line="240" w:lineRule="auto"/>
        <w:jc w:val="both"/>
        <w:rPr>
          <w:rFonts w:ascii="Arial" w:hAnsi="Arial" w:cs="Arial"/>
          <w:sz w:val="24"/>
          <w:szCs w:val="24"/>
        </w:rPr>
      </w:pPr>
      <w:r w:rsidRPr="00DB2B5E">
        <w:rPr>
          <w:rFonts w:ascii="Arial" w:hAnsi="Arial" w:cs="Arial"/>
          <w:sz w:val="24"/>
          <w:szCs w:val="24"/>
          <w:u w:val="single"/>
        </w:rPr>
        <w:t>Secarea</w:t>
      </w:r>
      <w:r w:rsidRPr="00DB2B5E">
        <w:rPr>
          <w:rFonts w:ascii="Arial" w:hAnsi="Arial" w:cs="Arial"/>
          <w:sz w:val="24"/>
          <w:szCs w:val="24"/>
        </w:rPr>
        <w:t xml:space="preserve">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Canalele realizate în scop piscicol determină în prezent scurgerea prematură a apei către Dunăre, fenomen generat de faptul că, în timp, fundul bălţilor s-a ridicat prin depunerea aluviunilor aduse de fluviu. </w:t>
      </w:r>
    </w:p>
    <w:p w:rsidR="00E00628" w:rsidRPr="00DB2B5E" w:rsidRDefault="00AE3406" w:rsidP="00C625DB">
      <w:pPr>
        <w:spacing w:after="0" w:line="240" w:lineRule="auto"/>
        <w:jc w:val="both"/>
        <w:rPr>
          <w:rFonts w:ascii="Arial" w:hAnsi="Arial" w:cs="Arial"/>
          <w:sz w:val="24"/>
          <w:szCs w:val="24"/>
        </w:rPr>
      </w:pPr>
      <w:r w:rsidRPr="00DB2B5E">
        <w:rPr>
          <w:rFonts w:ascii="Arial" w:hAnsi="Arial" w:cs="Arial"/>
          <w:sz w:val="24"/>
          <w:szCs w:val="24"/>
        </w:rPr>
        <w:t xml:space="preserve">    </w:t>
      </w:r>
      <w:r w:rsidR="00E00628" w:rsidRPr="00DB2B5E">
        <w:rPr>
          <w:rFonts w:ascii="Arial" w:hAnsi="Arial" w:cs="Arial"/>
          <w:sz w:val="24"/>
          <w:szCs w:val="24"/>
        </w:rPr>
        <w:t xml:space="preserve">Modificarea ecosistemelor a fost cauzată şi de utilizarea unor </w:t>
      </w:r>
      <w:r w:rsidR="00E00628" w:rsidRPr="00DB2B5E">
        <w:rPr>
          <w:rFonts w:ascii="Arial" w:hAnsi="Arial" w:cs="Arial"/>
          <w:sz w:val="24"/>
          <w:szCs w:val="24"/>
          <w:u w:val="single"/>
        </w:rPr>
        <w:t>metode şi tehnici agricole inadecvate</w:t>
      </w:r>
      <w:r w:rsidR="00E00628" w:rsidRPr="00DB2B5E">
        <w:rPr>
          <w:rFonts w:ascii="Arial" w:hAnsi="Arial" w:cs="Arial"/>
          <w:sz w:val="24"/>
          <w:szCs w:val="24"/>
        </w:rPr>
        <w:t xml:space="preserve"> precum folosirea pesticidelor, păşunatul intensiv sau neorganizat, arderea miriştilor</w:t>
      </w:r>
      <w:r w:rsidRPr="00DB2B5E">
        <w:rPr>
          <w:rFonts w:ascii="Arial" w:hAnsi="Arial" w:cs="Arial"/>
          <w:sz w:val="24"/>
          <w:szCs w:val="24"/>
        </w:rPr>
        <w:t>.</w:t>
      </w:r>
      <w:r w:rsidR="00E00628" w:rsidRPr="00DB2B5E">
        <w:rPr>
          <w:rFonts w:ascii="Arial" w:hAnsi="Arial" w:cs="Arial"/>
          <w:sz w:val="24"/>
          <w:szCs w:val="24"/>
        </w:rPr>
        <w:t xml:space="preserve">  </w:t>
      </w:r>
    </w:p>
    <w:p w:rsidR="00E00628" w:rsidRPr="00DB2B5E" w:rsidRDefault="00AE3406" w:rsidP="00C625DB">
      <w:pPr>
        <w:pStyle w:val="Footer"/>
        <w:jc w:val="both"/>
        <w:rPr>
          <w:rFonts w:ascii="Arial" w:hAnsi="Arial" w:cs="Arial"/>
          <w:sz w:val="24"/>
          <w:szCs w:val="24"/>
        </w:rPr>
      </w:pPr>
      <w:r w:rsidRPr="00DB2B5E">
        <w:rPr>
          <w:rFonts w:ascii="Arial" w:hAnsi="Arial" w:cs="Arial"/>
          <w:sz w:val="24"/>
          <w:szCs w:val="24"/>
        </w:rPr>
        <w:tab/>
        <w:t xml:space="preserve">        </w:t>
      </w:r>
      <w:r w:rsidR="00E00628" w:rsidRPr="00DB2B5E">
        <w:rPr>
          <w:rFonts w:ascii="Arial" w:hAnsi="Arial" w:cs="Arial"/>
          <w:sz w:val="24"/>
          <w:szCs w:val="24"/>
        </w:rPr>
        <w:t>S</w:t>
      </w:r>
      <w:r w:rsidR="00E00628" w:rsidRPr="00DB2B5E">
        <w:rPr>
          <w:rFonts w:ascii="Arial" w:hAnsi="Arial" w:cs="Arial"/>
          <w:noProof/>
          <w:sz w:val="24"/>
          <w:szCs w:val="24"/>
        </w:rPr>
        <w:t xml:space="preserve">ubstituirea pădurilor aluviale naturale din Balta </w:t>
      </w:r>
      <w:r w:rsidR="007C1699">
        <w:rPr>
          <w:rFonts w:ascii="Arial" w:hAnsi="Arial" w:cs="Arial"/>
          <w:noProof/>
          <w:sz w:val="24"/>
          <w:szCs w:val="24"/>
        </w:rPr>
        <w:t>BR</w:t>
      </w:r>
      <w:r w:rsidR="00E00628" w:rsidRPr="00DB2B5E">
        <w:rPr>
          <w:rFonts w:ascii="Arial" w:hAnsi="Arial" w:cs="Arial"/>
          <w:noProof/>
          <w:sz w:val="24"/>
          <w:szCs w:val="24"/>
        </w:rPr>
        <w:t>ăilei prin culturi uniclonale plopicole şi salicicole, î</w:t>
      </w:r>
      <w:r w:rsidR="00E00628" w:rsidRPr="00DB2B5E">
        <w:rPr>
          <w:rFonts w:ascii="Arial" w:hAnsi="Arial" w:cs="Arial"/>
          <w:sz w:val="24"/>
          <w:szCs w:val="24"/>
        </w:rPr>
        <w:t>ndiguirile, desecările şi î</w:t>
      </w:r>
      <w:r w:rsidR="00E00628" w:rsidRPr="00DB2B5E">
        <w:rPr>
          <w:rFonts w:ascii="Arial" w:hAnsi="Arial" w:cs="Arial"/>
          <w:noProof/>
          <w:sz w:val="24"/>
          <w:szCs w:val="24"/>
        </w:rPr>
        <w:t>ntinsele monoculturi agricole practicate în ultimele decenii ale secolului trecut au dus la profunde modificări calitative şi cantitative asupra biodiversităţii judeţului.</w:t>
      </w:r>
      <w:r w:rsidR="00E00628" w:rsidRPr="00DB2B5E">
        <w:rPr>
          <w:rFonts w:ascii="Arial" w:hAnsi="Arial" w:cs="Arial"/>
          <w:sz w:val="24"/>
          <w:szCs w:val="24"/>
        </w:rPr>
        <w:t xml:space="preserve"> </w:t>
      </w:r>
    </w:p>
    <w:p w:rsidR="00E00628" w:rsidRPr="00DB2B5E" w:rsidRDefault="00E00628" w:rsidP="00C625DB">
      <w:pPr>
        <w:pStyle w:val="Footer"/>
        <w:jc w:val="both"/>
        <w:rPr>
          <w:rFonts w:ascii="Arial" w:hAnsi="Arial" w:cs="Arial"/>
          <w:sz w:val="24"/>
          <w:szCs w:val="24"/>
        </w:rPr>
      </w:pP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r w:rsidRPr="00DB2B5E">
        <w:rPr>
          <w:rFonts w:ascii="Arial" w:hAnsi="Arial" w:cs="Arial"/>
          <w:b/>
          <w:sz w:val="24"/>
          <w:szCs w:val="24"/>
          <w:lang w:val="ro-RO"/>
        </w:rPr>
        <w:t>IV.3. Factorii determinanți ai schimbării utilizării terenurilor</w:t>
      </w: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r w:rsidRPr="00DB2B5E">
        <w:rPr>
          <w:rFonts w:ascii="Arial" w:hAnsi="Arial" w:cs="Arial"/>
          <w:b/>
          <w:sz w:val="24"/>
          <w:szCs w:val="24"/>
          <w:lang w:val="ro-RO"/>
        </w:rPr>
        <w:t xml:space="preserve">     IV.3.1. </w:t>
      </w:r>
      <w:r w:rsidRPr="00DB2B5E">
        <w:rPr>
          <w:rFonts w:ascii="Arial" w:hAnsi="Arial" w:cs="Arial"/>
          <w:b/>
          <w:i/>
          <w:sz w:val="24"/>
          <w:szCs w:val="24"/>
          <w:lang w:val="ro-RO"/>
        </w:rPr>
        <w:t>Modificarea densității populației</w:t>
      </w: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p>
    <w:p w:rsidR="00E00628" w:rsidRPr="00DB2B5E" w:rsidRDefault="00E00628" w:rsidP="00C625DB">
      <w:pPr>
        <w:tabs>
          <w:tab w:val="left" w:pos="2160"/>
          <w:tab w:val="left" w:leader="dot" w:pos="8820"/>
        </w:tabs>
        <w:spacing w:after="0" w:line="240" w:lineRule="auto"/>
        <w:ind w:right="31" w:firstLine="851"/>
        <w:jc w:val="both"/>
        <w:rPr>
          <w:rFonts w:ascii="Arial" w:hAnsi="Arial" w:cs="Arial"/>
          <w:sz w:val="24"/>
          <w:szCs w:val="24"/>
        </w:rPr>
      </w:pPr>
      <w:r w:rsidRPr="00DB2B5E">
        <w:rPr>
          <w:rFonts w:ascii="Arial" w:hAnsi="Arial" w:cs="Arial"/>
          <w:sz w:val="24"/>
          <w:szCs w:val="24"/>
        </w:rPr>
        <w:t xml:space="preserve">În ultimii ani populaţia judeţului </w:t>
      </w:r>
      <w:r w:rsidR="00217620">
        <w:rPr>
          <w:rFonts w:ascii="Arial" w:hAnsi="Arial" w:cs="Arial"/>
          <w:sz w:val="24"/>
          <w:szCs w:val="24"/>
        </w:rPr>
        <w:t>Brăila</w:t>
      </w:r>
      <w:r w:rsidRPr="00DB2B5E">
        <w:rPr>
          <w:rFonts w:ascii="Arial" w:hAnsi="Arial" w:cs="Arial"/>
          <w:sz w:val="24"/>
          <w:szCs w:val="24"/>
        </w:rPr>
        <w:t xml:space="preserve"> s-a aflat într-o continuă scădere cu o rată constant ajungându-se de la 321212 număr de locuitori  în 2011, la 308176  în anul 2015. Evoluţia populaţiei stabile a judeţului </w:t>
      </w:r>
      <w:r w:rsidR="00217620">
        <w:rPr>
          <w:rFonts w:ascii="Arial" w:hAnsi="Arial" w:cs="Arial"/>
          <w:sz w:val="24"/>
          <w:szCs w:val="24"/>
        </w:rPr>
        <w:t>Brăila</w:t>
      </w:r>
      <w:r w:rsidRPr="00DB2B5E">
        <w:rPr>
          <w:rFonts w:ascii="Arial" w:hAnsi="Arial" w:cs="Arial"/>
          <w:sz w:val="24"/>
          <w:szCs w:val="24"/>
        </w:rPr>
        <w:t xml:space="preserve"> pe medii (urban și rural) în perioada 2011 - 2015 este evidenţiată în tabelul de mai jos:</w:t>
      </w:r>
    </w:p>
    <w:p w:rsidR="00202088" w:rsidRDefault="00202088" w:rsidP="00C625DB">
      <w:pPr>
        <w:pStyle w:val="BodyTextIndent2"/>
        <w:spacing w:after="0" w:line="240" w:lineRule="auto"/>
        <w:ind w:left="0"/>
        <w:jc w:val="both"/>
        <w:rPr>
          <w:rFonts w:ascii="Arial" w:hAnsi="Arial" w:cs="Arial"/>
          <w:b/>
          <w:lang w:val="ro-RO"/>
        </w:rPr>
      </w:pPr>
    </w:p>
    <w:p w:rsidR="008A1026" w:rsidRPr="00DB2B5E" w:rsidRDefault="008A1026" w:rsidP="00C625DB">
      <w:pPr>
        <w:pStyle w:val="BodyTextIndent2"/>
        <w:spacing w:after="0" w:line="240" w:lineRule="auto"/>
        <w:ind w:left="0"/>
        <w:jc w:val="both"/>
        <w:rPr>
          <w:rFonts w:ascii="Arial" w:hAnsi="Arial" w:cs="Arial"/>
          <w:lang w:val="ro-RO"/>
        </w:rPr>
      </w:pPr>
      <w:r w:rsidRPr="00202088">
        <w:rPr>
          <w:rFonts w:ascii="Arial" w:hAnsi="Arial" w:cs="Arial"/>
          <w:lang w:val="ro-RO"/>
        </w:rPr>
        <w:t xml:space="preserve">Tabel IV.3.1-1 - </w:t>
      </w:r>
      <w:r w:rsidRPr="00DB2B5E">
        <w:rPr>
          <w:rFonts w:ascii="Arial" w:hAnsi="Arial" w:cs="Arial"/>
          <w:lang w:val="ro-RO"/>
        </w:rPr>
        <w:t xml:space="preserve">Evoluţia populaţiei stabile a judeţului </w:t>
      </w:r>
      <w:r w:rsidR="00217620">
        <w:rPr>
          <w:rFonts w:ascii="Arial" w:hAnsi="Arial" w:cs="Arial"/>
          <w:lang w:val="ro-RO"/>
        </w:rPr>
        <w:t>Brăila</w:t>
      </w:r>
      <w:r w:rsidRPr="00DB2B5E">
        <w:rPr>
          <w:rFonts w:ascii="Arial" w:hAnsi="Arial" w:cs="Arial"/>
          <w:lang w:val="ro-RO"/>
        </w:rPr>
        <w:t xml:space="preserve"> pe medii (urban și rural) în perioada 2012 – 2016 (date furnizate de Institutul Național de Statistică): </w:t>
      </w:r>
    </w:p>
    <w:p w:rsidR="008A1026" w:rsidRPr="00DB2B5E" w:rsidRDefault="008A1026" w:rsidP="00C625DB">
      <w:pPr>
        <w:tabs>
          <w:tab w:val="left" w:pos="2160"/>
          <w:tab w:val="left" w:leader="dot" w:pos="8820"/>
        </w:tabs>
        <w:spacing w:after="0" w:line="240" w:lineRule="auto"/>
        <w:ind w:right="31"/>
        <w:rPr>
          <w:rFonts w:ascii="Arial" w:hAnsi="Arial" w:cs="Arial"/>
          <w:sz w:val="24"/>
          <w:szCs w:val="24"/>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018"/>
        <w:gridCol w:w="1355"/>
        <w:gridCol w:w="1304"/>
        <w:gridCol w:w="1247"/>
      </w:tblGrid>
      <w:tr w:rsidR="008A1026" w:rsidRPr="00DB2B5E" w:rsidTr="000A4BED">
        <w:trPr>
          <w:trHeight w:val="937"/>
          <w:jc w:val="center"/>
        </w:trPr>
        <w:tc>
          <w:tcPr>
            <w:tcW w:w="1001" w:type="dxa"/>
            <w:tcBorders>
              <w:bottom w:val="single" w:sz="4" w:space="0" w:color="auto"/>
            </w:tcBorders>
            <w:shd w:val="clear" w:color="auto" w:fill="D9D9D9"/>
            <w:vAlign w:val="center"/>
          </w:tcPr>
          <w:p w:rsidR="008A1026" w:rsidRPr="00DB2B5E" w:rsidRDefault="008A1026" w:rsidP="00C625DB">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Anul</w:t>
            </w:r>
          </w:p>
        </w:tc>
        <w:tc>
          <w:tcPr>
            <w:tcW w:w="1018" w:type="dxa"/>
            <w:tcBorders>
              <w:bottom w:val="single" w:sz="4" w:space="0" w:color="auto"/>
            </w:tcBorders>
            <w:shd w:val="clear" w:color="auto" w:fill="D9D9D9"/>
            <w:vAlign w:val="center"/>
          </w:tcPr>
          <w:p w:rsidR="008A1026" w:rsidRPr="00DB2B5E" w:rsidRDefault="008A1026" w:rsidP="00C625DB">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Total</w:t>
            </w:r>
          </w:p>
        </w:tc>
        <w:tc>
          <w:tcPr>
            <w:tcW w:w="1355" w:type="dxa"/>
            <w:tcBorders>
              <w:bottom w:val="single" w:sz="4" w:space="0" w:color="auto"/>
            </w:tcBorders>
            <w:shd w:val="clear" w:color="auto" w:fill="D9D9D9"/>
            <w:vAlign w:val="center"/>
          </w:tcPr>
          <w:p w:rsidR="008A1026" w:rsidRPr="00DB2B5E" w:rsidRDefault="008A1026" w:rsidP="00C625DB">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Urban</w:t>
            </w:r>
          </w:p>
        </w:tc>
        <w:tc>
          <w:tcPr>
            <w:tcW w:w="1304" w:type="dxa"/>
            <w:tcBorders>
              <w:bottom w:val="single" w:sz="4" w:space="0" w:color="auto"/>
            </w:tcBorders>
            <w:shd w:val="clear" w:color="auto" w:fill="D9D9D9"/>
            <w:vAlign w:val="center"/>
          </w:tcPr>
          <w:p w:rsidR="008A1026" w:rsidRPr="00DB2B5E" w:rsidRDefault="008A1026" w:rsidP="00C625DB">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Rural</w:t>
            </w:r>
          </w:p>
        </w:tc>
        <w:tc>
          <w:tcPr>
            <w:tcW w:w="1247" w:type="dxa"/>
            <w:tcBorders>
              <w:bottom w:val="single" w:sz="4" w:space="0" w:color="auto"/>
            </w:tcBorders>
            <w:shd w:val="clear" w:color="auto" w:fill="D9D9D9"/>
            <w:vAlign w:val="center"/>
          </w:tcPr>
          <w:p w:rsidR="008A1026" w:rsidRPr="00DB2B5E" w:rsidRDefault="008A1026" w:rsidP="00C625DB">
            <w:pPr>
              <w:tabs>
                <w:tab w:val="left" w:pos="2160"/>
                <w:tab w:val="left" w:leader="dot" w:pos="8820"/>
              </w:tabs>
              <w:spacing w:after="0" w:line="240" w:lineRule="auto"/>
              <w:rPr>
                <w:rFonts w:ascii="Arial" w:hAnsi="Arial" w:cs="Arial"/>
                <w:b/>
                <w:sz w:val="24"/>
                <w:szCs w:val="24"/>
              </w:rPr>
            </w:pPr>
            <w:r w:rsidRPr="00DB2B5E">
              <w:rPr>
                <w:rFonts w:ascii="Arial" w:hAnsi="Arial" w:cs="Arial"/>
                <w:b/>
                <w:sz w:val="24"/>
                <w:szCs w:val="24"/>
              </w:rPr>
              <w:t>Locuitori /km</w:t>
            </w:r>
            <w:r w:rsidRPr="00DB2B5E">
              <w:rPr>
                <w:rFonts w:ascii="Arial" w:hAnsi="Arial" w:cs="Arial"/>
                <w:b/>
                <w:sz w:val="24"/>
                <w:szCs w:val="24"/>
                <w:vertAlign w:val="superscript"/>
              </w:rPr>
              <w:t>2</w:t>
            </w:r>
          </w:p>
        </w:tc>
      </w:tr>
      <w:tr w:rsidR="008A1026" w:rsidRPr="00DB2B5E" w:rsidTr="000A4BED">
        <w:trPr>
          <w:trHeight w:val="270"/>
          <w:jc w:val="center"/>
        </w:trPr>
        <w:tc>
          <w:tcPr>
            <w:tcW w:w="1001"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2012</w:t>
            </w:r>
          </w:p>
        </w:tc>
        <w:tc>
          <w:tcPr>
            <w:tcW w:w="1018"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319674</w:t>
            </w:r>
          </w:p>
        </w:tc>
        <w:tc>
          <w:tcPr>
            <w:tcW w:w="1355"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199634</w:t>
            </w:r>
          </w:p>
        </w:tc>
        <w:tc>
          <w:tcPr>
            <w:tcW w:w="1304"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120040</w:t>
            </w:r>
          </w:p>
        </w:tc>
        <w:tc>
          <w:tcPr>
            <w:tcW w:w="1247"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67,08</w:t>
            </w:r>
          </w:p>
        </w:tc>
      </w:tr>
      <w:tr w:rsidR="008A1026" w:rsidRPr="00DB2B5E" w:rsidTr="000A4BED">
        <w:trPr>
          <w:trHeight w:val="270"/>
          <w:jc w:val="center"/>
        </w:trPr>
        <w:tc>
          <w:tcPr>
            <w:tcW w:w="1001"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2013</w:t>
            </w:r>
          </w:p>
        </w:tc>
        <w:tc>
          <w:tcPr>
            <w:tcW w:w="1018"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315598</w:t>
            </w:r>
          </w:p>
        </w:tc>
        <w:tc>
          <w:tcPr>
            <w:tcW w:w="1355"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196563</w:t>
            </w:r>
          </w:p>
        </w:tc>
        <w:tc>
          <w:tcPr>
            <w:tcW w:w="1304"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119035</w:t>
            </w:r>
          </w:p>
        </w:tc>
        <w:tc>
          <w:tcPr>
            <w:tcW w:w="1247"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66,22</w:t>
            </w:r>
          </w:p>
        </w:tc>
      </w:tr>
      <w:tr w:rsidR="008A1026" w:rsidRPr="00DB2B5E" w:rsidTr="000A4BED">
        <w:trPr>
          <w:trHeight w:val="270"/>
          <w:jc w:val="center"/>
        </w:trPr>
        <w:tc>
          <w:tcPr>
            <w:tcW w:w="1001"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2014</w:t>
            </w:r>
          </w:p>
        </w:tc>
        <w:tc>
          <w:tcPr>
            <w:tcW w:w="1018"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312089</w:t>
            </w:r>
          </w:p>
        </w:tc>
        <w:tc>
          <w:tcPr>
            <w:tcW w:w="1355"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194025</w:t>
            </w:r>
          </w:p>
        </w:tc>
        <w:tc>
          <w:tcPr>
            <w:tcW w:w="1304"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118064</w:t>
            </w:r>
          </w:p>
        </w:tc>
        <w:tc>
          <w:tcPr>
            <w:tcW w:w="1247"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65,49</w:t>
            </w:r>
          </w:p>
        </w:tc>
      </w:tr>
      <w:tr w:rsidR="008A1026" w:rsidRPr="00DB2B5E" w:rsidTr="000A4BED">
        <w:trPr>
          <w:trHeight w:val="270"/>
          <w:jc w:val="center"/>
        </w:trPr>
        <w:tc>
          <w:tcPr>
            <w:tcW w:w="1001"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2015</w:t>
            </w:r>
          </w:p>
        </w:tc>
        <w:tc>
          <w:tcPr>
            <w:tcW w:w="1018"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308176</w:t>
            </w:r>
          </w:p>
        </w:tc>
        <w:tc>
          <w:tcPr>
            <w:tcW w:w="1355"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191230</w:t>
            </w:r>
          </w:p>
        </w:tc>
        <w:tc>
          <w:tcPr>
            <w:tcW w:w="1304"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116946</w:t>
            </w:r>
          </w:p>
        </w:tc>
        <w:tc>
          <w:tcPr>
            <w:tcW w:w="1247"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64,65</w:t>
            </w:r>
          </w:p>
        </w:tc>
      </w:tr>
      <w:tr w:rsidR="008A1026" w:rsidRPr="00DB2B5E" w:rsidTr="000A4BED">
        <w:trPr>
          <w:trHeight w:val="270"/>
          <w:jc w:val="center"/>
        </w:trPr>
        <w:tc>
          <w:tcPr>
            <w:tcW w:w="1001"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2016</w:t>
            </w:r>
          </w:p>
        </w:tc>
        <w:tc>
          <w:tcPr>
            <w:tcW w:w="1018"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303662</w:t>
            </w:r>
          </w:p>
        </w:tc>
        <w:tc>
          <w:tcPr>
            <w:tcW w:w="1355"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187956</w:t>
            </w:r>
          </w:p>
        </w:tc>
        <w:tc>
          <w:tcPr>
            <w:tcW w:w="1304"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115666</w:t>
            </w:r>
          </w:p>
        </w:tc>
        <w:tc>
          <w:tcPr>
            <w:tcW w:w="1247" w:type="dxa"/>
            <w:shd w:val="clear" w:color="auto" w:fill="FFFFDD"/>
            <w:vAlign w:val="center"/>
          </w:tcPr>
          <w:p w:rsidR="008A1026" w:rsidRPr="00DB2B5E" w:rsidRDefault="008A1026" w:rsidP="00C625DB">
            <w:pPr>
              <w:spacing w:after="0" w:line="240" w:lineRule="auto"/>
              <w:jc w:val="center"/>
              <w:rPr>
                <w:rFonts w:ascii="Arial" w:hAnsi="Arial" w:cs="Arial"/>
                <w:sz w:val="24"/>
                <w:szCs w:val="24"/>
              </w:rPr>
            </w:pPr>
            <w:r w:rsidRPr="00DB2B5E">
              <w:rPr>
                <w:rFonts w:ascii="Arial" w:hAnsi="Arial" w:cs="Arial"/>
                <w:sz w:val="24"/>
                <w:szCs w:val="24"/>
              </w:rPr>
              <w:t>63,72</w:t>
            </w:r>
          </w:p>
        </w:tc>
      </w:tr>
    </w:tbl>
    <w:p w:rsidR="008A1026" w:rsidRPr="00DB2B5E" w:rsidRDefault="008A1026" w:rsidP="00C625DB">
      <w:pPr>
        <w:tabs>
          <w:tab w:val="left" w:pos="2160"/>
          <w:tab w:val="left" w:leader="dot" w:pos="8820"/>
        </w:tabs>
        <w:spacing w:after="0" w:line="240" w:lineRule="auto"/>
        <w:ind w:right="31"/>
        <w:rPr>
          <w:rFonts w:ascii="Arial" w:hAnsi="Arial" w:cs="Arial"/>
          <w:sz w:val="24"/>
          <w:szCs w:val="24"/>
        </w:rPr>
      </w:pPr>
    </w:p>
    <w:p w:rsidR="008A1026" w:rsidRPr="00DB2B5E" w:rsidRDefault="008A1026" w:rsidP="00C625DB">
      <w:pPr>
        <w:spacing w:after="0" w:line="240" w:lineRule="auto"/>
        <w:ind w:firstLine="708"/>
        <w:rPr>
          <w:rFonts w:ascii="Arial" w:eastAsia="Times New Roman" w:hAnsi="Arial" w:cs="Arial"/>
          <w:sz w:val="24"/>
          <w:szCs w:val="24"/>
        </w:rPr>
      </w:pPr>
      <w:r w:rsidRPr="00DB2B5E">
        <w:rPr>
          <w:rFonts w:ascii="Arial" w:eastAsia="Times New Roman" w:hAnsi="Arial" w:cs="Arial"/>
          <w:sz w:val="24"/>
          <w:szCs w:val="24"/>
        </w:rPr>
        <w:t xml:space="preserve">Tendința de scădere a populației județului </w:t>
      </w:r>
      <w:r w:rsidR="00217620">
        <w:rPr>
          <w:rFonts w:ascii="Arial" w:eastAsia="Times New Roman" w:hAnsi="Arial" w:cs="Arial"/>
          <w:sz w:val="24"/>
          <w:szCs w:val="24"/>
        </w:rPr>
        <w:t>Brăila</w:t>
      </w:r>
      <w:r w:rsidRPr="00DB2B5E">
        <w:rPr>
          <w:rFonts w:ascii="Arial" w:eastAsia="Times New Roman" w:hAnsi="Arial" w:cs="Arial"/>
          <w:sz w:val="24"/>
          <w:szCs w:val="24"/>
        </w:rPr>
        <w:t xml:space="preserve"> este mai vizibilă în mediul urban.</w:t>
      </w:r>
    </w:p>
    <w:p w:rsidR="008A1026" w:rsidRPr="00DB2B5E" w:rsidRDefault="008A1026" w:rsidP="00C625DB">
      <w:pPr>
        <w:spacing w:after="0" w:line="240" w:lineRule="auto"/>
        <w:rPr>
          <w:rFonts w:ascii="Arial" w:eastAsia="Times New Roman" w:hAnsi="Arial" w:cs="Arial"/>
          <w:sz w:val="24"/>
          <w:szCs w:val="24"/>
        </w:rPr>
      </w:pPr>
      <w:r w:rsidRPr="00DB2B5E">
        <w:rPr>
          <w:rFonts w:ascii="Arial" w:eastAsia="Times New Roman" w:hAnsi="Arial" w:cs="Arial"/>
          <w:sz w:val="24"/>
          <w:szCs w:val="24"/>
        </w:rPr>
        <w:t>Modificarea populației urbane în perioada 2012- 2016 (% față de anul 2012) este redată în graficul de mai jos:</w:t>
      </w:r>
    </w:p>
    <w:p w:rsidR="00E00628" w:rsidRPr="00DB2B5E" w:rsidRDefault="00E00628" w:rsidP="00C625DB">
      <w:pPr>
        <w:spacing w:after="0" w:line="240" w:lineRule="auto"/>
        <w:ind w:firstLine="708"/>
        <w:jc w:val="center"/>
        <w:rPr>
          <w:rFonts w:ascii="Arial" w:eastAsia="Times New Roman" w:hAnsi="Arial" w:cs="Arial"/>
          <w:sz w:val="24"/>
          <w:szCs w:val="24"/>
        </w:rPr>
      </w:pPr>
      <w:r w:rsidRPr="00DB2B5E">
        <w:rPr>
          <w:rFonts w:ascii="Arial" w:eastAsia="Times New Roman" w:hAnsi="Arial" w:cs="Arial"/>
          <w:noProof/>
          <w:sz w:val="24"/>
          <w:szCs w:val="24"/>
          <w:lang w:eastAsia="ro-RO"/>
        </w:rPr>
        <w:lastRenderedPageBreak/>
        <w:drawing>
          <wp:inline distT="0" distB="0" distL="0" distR="0">
            <wp:extent cx="2059940" cy="3048000"/>
            <wp:effectExtent l="19050" t="0" r="16510"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00628" w:rsidRDefault="00E00628" w:rsidP="00C625DB">
      <w:pPr>
        <w:tabs>
          <w:tab w:val="left" w:pos="2160"/>
          <w:tab w:val="left" w:leader="dot" w:pos="8820"/>
        </w:tabs>
        <w:spacing w:after="0" w:line="240" w:lineRule="auto"/>
        <w:ind w:right="31"/>
        <w:jc w:val="center"/>
        <w:rPr>
          <w:rFonts w:ascii="Arial" w:hAnsi="Arial" w:cs="Arial"/>
          <w:sz w:val="24"/>
          <w:szCs w:val="24"/>
        </w:rPr>
      </w:pPr>
      <w:r w:rsidRPr="00202088">
        <w:rPr>
          <w:rFonts w:ascii="Arial" w:hAnsi="Arial" w:cs="Arial"/>
          <w:sz w:val="24"/>
          <w:szCs w:val="24"/>
        </w:rPr>
        <w:t>Figura nr.1.3-1</w:t>
      </w:r>
    </w:p>
    <w:p w:rsidR="00202088" w:rsidRPr="00202088" w:rsidRDefault="00202088" w:rsidP="00C625DB">
      <w:pPr>
        <w:tabs>
          <w:tab w:val="left" w:pos="2160"/>
          <w:tab w:val="left" w:leader="dot" w:pos="8820"/>
        </w:tabs>
        <w:spacing w:after="0" w:line="240" w:lineRule="auto"/>
        <w:ind w:right="31"/>
        <w:jc w:val="center"/>
        <w:rPr>
          <w:rFonts w:ascii="Arial" w:hAnsi="Arial" w:cs="Arial"/>
          <w:sz w:val="24"/>
          <w:szCs w:val="24"/>
        </w:rPr>
      </w:pPr>
    </w:p>
    <w:p w:rsidR="00E00628" w:rsidRPr="00DB2B5E" w:rsidRDefault="00E00628" w:rsidP="00C625DB">
      <w:pPr>
        <w:spacing w:after="0" w:line="240" w:lineRule="auto"/>
        <w:ind w:firstLine="708"/>
        <w:rPr>
          <w:rFonts w:ascii="Arial" w:eastAsia="Times New Roman" w:hAnsi="Arial" w:cs="Arial"/>
          <w:sz w:val="24"/>
          <w:szCs w:val="24"/>
        </w:rPr>
      </w:pPr>
      <w:r w:rsidRPr="00DB2B5E">
        <w:rPr>
          <w:rFonts w:ascii="Arial" w:eastAsia="Times New Roman" w:hAnsi="Arial" w:cs="Arial"/>
          <w:sz w:val="24"/>
          <w:szCs w:val="24"/>
        </w:rPr>
        <w:t xml:space="preserve">Modificări ale densității populației județului </w:t>
      </w:r>
      <w:r w:rsidR="00217620">
        <w:rPr>
          <w:rFonts w:ascii="Arial" w:eastAsia="Times New Roman" w:hAnsi="Arial" w:cs="Arial"/>
          <w:sz w:val="24"/>
          <w:szCs w:val="24"/>
        </w:rPr>
        <w:t>Brăila</w:t>
      </w:r>
      <w:r w:rsidRPr="00DB2B5E">
        <w:rPr>
          <w:rFonts w:ascii="Arial" w:eastAsia="Times New Roman" w:hAnsi="Arial" w:cs="Arial"/>
          <w:sz w:val="24"/>
          <w:szCs w:val="24"/>
        </w:rPr>
        <w:t xml:space="preserve"> în perioada 2011-201</w:t>
      </w:r>
      <w:r w:rsidR="00DC03E4">
        <w:rPr>
          <w:rFonts w:ascii="Arial" w:eastAsia="Times New Roman" w:hAnsi="Arial" w:cs="Arial"/>
          <w:sz w:val="24"/>
          <w:szCs w:val="24"/>
        </w:rPr>
        <w:t>6</w:t>
      </w:r>
      <w:r w:rsidRPr="00DB2B5E">
        <w:rPr>
          <w:rFonts w:ascii="Arial" w:eastAsia="Times New Roman" w:hAnsi="Arial" w:cs="Arial"/>
          <w:sz w:val="24"/>
          <w:szCs w:val="24"/>
        </w:rPr>
        <w:t xml:space="preserve"> s-au înregistrat conform graficului de mai jos. Se observă o scădere continuă în această perioadă.</w:t>
      </w:r>
    </w:p>
    <w:p w:rsidR="00E00628" w:rsidRPr="00DB2B5E" w:rsidRDefault="00E00628" w:rsidP="00C625DB">
      <w:pPr>
        <w:spacing w:after="0" w:line="240" w:lineRule="auto"/>
        <w:ind w:firstLine="708"/>
        <w:rPr>
          <w:rFonts w:ascii="Arial" w:eastAsia="Times New Roman" w:hAnsi="Arial" w:cs="Arial"/>
          <w:sz w:val="24"/>
          <w:szCs w:val="24"/>
        </w:rPr>
      </w:pPr>
    </w:p>
    <w:p w:rsidR="008A1026" w:rsidRPr="00DB2B5E" w:rsidRDefault="008A1026" w:rsidP="00C625DB">
      <w:pPr>
        <w:tabs>
          <w:tab w:val="left" w:pos="2160"/>
          <w:tab w:val="left" w:leader="dot" w:pos="8820"/>
        </w:tabs>
        <w:spacing w:after="0" w:line="240" w:lineRule="auto"/>
        <w:ind w:right="31"/>
        <w:jc w:val="center"/>
        <w:rPr>
          <w:rFonts w:ascii="Arial" w:hAnsi="Arial" w:cs="Arial"/>
          <w:b/>
          <w:sz w:val="24"/>
          <w:szCs w:val="24"/>
        </w:rPr>
      </w:pPr>
    </w:p>
    <w:p w:rsidR="00E00628" w:rsidRPr="00DB2B5E" w:rsidRDefault="008A1026" w:rsidP="00C625DB">
      <w:pPr>
        <w:spacing w:after="0" w:line="240" w:lineRule="auto"/>
        <w:ind w:firstLine="708"/>
        <w:jc w:val="center"/>
        <w:rPr>
          <w:rFonts w:ascii="Arial" w:eastAsia="Times New Roman" w:hAnsi="Arial" w:cs="Arial"/>
          <w:sz w:val="24"/>
          <w:szCs w:val="24"/>
        </w:rPr>
      </w:pPr>
      <w:r w:rsidRPr="00DB2B5E">
        <w:rPr>
          <w:rFonts w:ascii="Arial" w:eastAsia="Times New Roman" w:hAnsi="Arial" w:cs="Arial"/>
          <w:noProof/>
          <w:sz w:val="24"/>
          <w:szCs w:val="24"/>
          <w:lang w:eastAsia="ro-RO"/>
        </w:rPr>
        <w:drawing>
          <wp:inline distT="0" distB="0" distL="0" distR="0">
            <wp:extent cx="4820920" cy="2000250"/>
            <wp:effectExtent l="19050" t="0" r="17780" b="0"/>
            <wp:docPr id="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A1026" w:rsidRPr="00DB2B5E" w:rsidRDefault="008A1026" w:rsidP="00C625DB">
      <w:pPr>
        <w:spacing w:after="0" w:line="240" w:lineRule="auto"/>
        <w:ind w:firstLine="708"/>
        <w:jc w:val="center"/>
        <w:rPr>
          <w:rFonts w:ascii="Arial" w:eastAsia="Times New Roman" w:hAnsi="Arial" w:cs="Arial"/>
          <w:sz w:val="24"/>
          <w:szCs w:val="24"/>
        </w:rPr>
      </w:pPr>
    </w:p>
    <w:p w:rsidR="00202088" w:rsidRPr="00202088" w:rsidRDefault="00202088" w:rsidP="00202088">
      <w:pPr>
        <w:tabs>
          <w:tab w:val="left" w:pos="2160"/>
          <w:tab w:val="left" w:leader="dot" w:pos="8820"/>
        </w:tabs>
        <w:spacing w:after="0" w:line="240" w:lineRule="auto"/>
        <w:ind w:right="31"/>
        <w:jc w:val="center"/>
        <w:rPr>
          <w:rFonts w:ascii="Arial" w:hAnsi="Arial" w:cs="Arial"/>
          <w:sz w:val="24"/>
          <w:szCs w:val="24"/>
        </w:rPr>
      </w:pPr>
      <w:r w:rsidRPr="00202088">
        <w:rPr>
          <w:rFonts w:ascii="Arial" w:hAnsi="Arial" w:cs="Arial"/>
          <w:sz w:val="24"/>
          <w:szCs w:val="24"/>
        </w:rPr>
        <w:t>Figura nr.1.3- 2</w:t>
      </w:r>
    </w:p>
    <w:p w:rsidR="008A1026" w:rsidRPr="00202088" w:rsidRDefault="008A1026" w:rsidP="00C625DB">
      <w:pPr>
        <w:spacing w:after="0" w:line="240" w:lineRule="auto"/>
        <w:ind w:firstLine="708"/>
        <w:jc w:val="center"/>
        <w:rPr>
          <w:rFonts w:ascii="Arial" w:eastAsia="Times New Roman" w:hAnsi="Arial" w:cs="Arial"/>
          <w:sz w:val="24"/>
          <w:szCs w:val="24"/>
        </w:rPr>
      </w:pPr>
    </w:p>
    <w:p w:rsidR="00E00628" w:rsidRPr="00DB2B5E" w:rsidRDefault="00E00628" w:rsidP="00C625DB">
      <w:pPr>
        <w:spacing w:after="0" w:line="240" w:lineRule="auto"/>
        <w:ind w:firstLine="708"/>
        <w:rPr>
          <w:rFonts w:ascii="Arial" w:eastAsia="Times New Roman" w:hAnsi="Arial" w:cs="Arial"/>
          <w:sz w:val="24"/>
          <w:szCs w:val="24"/>
        </w:rPr>
      </w:pPr>
      <w:r w:rsidRPr="00DB2B5E">
        <w:rPr>
          <w:rFonts w:ascii="Arial" w:eastAsia="Times New Roman" w:hAnsi="Arial" w:cs="Arial"/>
          <w:sz w:val="24"/>
          <w:szCs w:val="24"/>
        </w:rPr>
        <w:t xml:space="preserve">Densitatea populației județului </w:t>
      </w:r>
      <w:r w:rsidR="00217620">
        <w:rPr>
          <w:rFonts w:ascii="Arial" w:eastAsia="Times New Roman" w:hAnsi="Arial" w:cs="Arial"/>
          <w:sz w:val="24"/>
          <w:szCs w:val="24"/>
        </w:rPr>
        <w:t>Brăila</w:t>
      </w:r>
      <w:r w:rsidRPr="00DB2B5E">
        <w:rPr>
          <w:rFonts w:ascii="Arial" w:eastAsia="Times New Roman" w:hAnsi="Arial" w:cs="Arial"/>
          <w:sz w:val="24"/>
          <w:szCs w:val="24"/>
        </w:rPr>
        <w:t xml:space="preserve"> s-a modificat cu </w:t>
      </w:r>
      <w:r w:rsidR="008A1026" w:rsidRPr="00DB2B5E">
        <w:rPr>
          <w:rFonts w:ascii="Arial" w:eastAsia="Times New Roman" w:hAnsi="Arial" w:cs="Arial"/>
          <w:sz w:val="24"/>
          <w:szCs w:val="24"/>
        </w:rPr>
        <w:t>5,01% în anul 2016 față de anul 2012</w:t>
      </w:r>
      <w:r w:rsidRPr="00DB2B5E">
        <w:rPr>
          <w:rFonts w:ascii="Arial" w:eastAsia="Times New Roman" w:hAnsi="Arial" w:cs="Arial"/>
          <w:sz w:val="24"/>
          <w:szCs w:val="24"/>
        </w:rPr>
        <w:t>.</w:t>
      </w:r>
    </w:p>
    <w:p w:rsidR="00DB2B5E" w:rsidRPr="00DB2B5E" w:rsidRDefault="00DB2B5E" w:rsidP="00C625DB">
      <w:pPr>
        <w:spacing w:after="0" w:line="240" w:lineRule="auto"/>
        <w:ind w:firstLine="708"/>
        <w:rPr>
          <w:rFonts w:ascii="Arial" w:eastAsia="Times New Roman" w:hAnsi="Arial" w:cs="Arial"/>
          <w:sz w:val="24"/>
          <w:szCs w:val="24"/>
        </w:rPr>
      </w:pPr>
    </w:p>
    <w:p w:rsidR="00E00628" w:rsidRPr="00DB2B5E" w:rsidRDefault="00E00628" w:rsidP="00C625DB">
      <w:pPr>
        <w:spacing w:after="0" w:line="240" w:lineRule="auto"/>
        <w:rPr>
          <w:rFonts w:ascii="Arial" w:eastAsia="Times New Roman" w:hAnsi="Arial" w:cs="Arial"/>
          <w:sz w:val="24"/>
          <w:szCs w:val="24"/>
        </w:rPr>
      </w:pPr>
      <w:r w:rsidRPr="00DB2B5E">
        <w:rPr>
          <w:rFonts w:ascii="Arial" w:eastAsia="Times New Roman" w:hAnsi="Arial" w:cs="Arial"/>
          <w:b/>
          <w:sz w:val="24"/>
          <w:szCs w:val="24"/>
        </w:rPr>
        <w:t xml:space="preserve">     IV.3.2. </w:t>
      </w:r>
      <w:r w:rsidRPr="00DB2B5E">
        <w:rPr>
          <w:rFonts w:ascii="Arial" w:eastAsia="Times New Roman" w:hAnsi="Arial" w:cs="Arial"/>
          <w:b/>
          <w:i/>
          <w:sz w:val="24"/>
          <w:szCs w:val="24"/>
        </w:rPr>
        <w:t>Expansiunea urbană</w:t>
      </w:r>
    </w:p>
    <w:p w:rsidR="00202088" w:rsidRDefault="00202088" w:rsidP="00C625DB">
      <w:pPr>
        <w:spacing w:after="0" w:line="240" w:lineRule="auto"/>
        <w:ind w:firstLine="708"/>
        <w:jc w:val="both"/>
        <w:rPr>
          <w:rFonts w:ascii="Arial" w:eastAsia="Times New Roman" w:hAnsi="Arial" w:cs="Arial"/>
          <w:sz w:val="24"/>
          <w:szCs w:val="24"/>
        </w:rPr>
      </w:pPr>
    </w:p>
    <w:p w:rsidR="00E00628" w:rsidRPr="00DB2B5E" w:rsidRDefault="00E00628" w:rsidP="00C625DB">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Impactul urbanizării depinde de suprafaţa de teren ocupată şi de intensitatea de utilizare a terenurilor, de exemplu, gradul de impermeabilizare a solului şi densitatea populatiei.</w:t>
      </w:r>
    </w:p>
    <w:p w:rsidR="00E00628" w:rsidRPr="00DB2B5E" w:rsidRDefault="00E00628" w:rsidP="00C625DB">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Ocuparea terenului prin extinderea urbană şi a infrastructurii respective este, în general, ireversibilă şi conduce la impermeabilizarea solului ca urmare a acoperirii terenurilor cu locuinţe, drumuri şi alte lucrări de construcţii. Ocuparea terenurilor urbane consumă cea mai mare parte din suprafaţa terenurilor agricole, şi reduce spaţiul pentru habitate şi ecosisteme care furnizează servicii importante, cum ar fi reglarea echili</w:t>
      </w:r>
      <w:r w:rsidR="00DC03E4">
        <w:rPr>
          <w:rFonts w:ascii="Arial" w:eastAsia="Times New Roman" w:hAnsi="Arial" w:cs="Arial"/>
          <w:sz w:val="24"/>
          <w:szCs w:val="24"/>
        </w:rPr>
        <w:t>br</w:t>
      </w:r>
      <w:r w:rsidRPr="00DB2B5E">
        <w:rPr>
          <w:rFonts w:ascii="Arial" w:eastAsia="Times New Roman" w:hAnsi="Arial" w:cs="Arial"/>
          <w:sz w:val="24"/>
          <w:szCs w:val="24"/>
        </w:rPr>
        <w:t>ului apei şi protecţia împotriva inundaţiilor.</w:t>
      </w:r>
    </w:p>
    <w:p w:rsidR="00E00628" w:rsidRPr="00DB2B5E" w:rsidRDefault="00E00628" w:rsidP="00C625DB">
      <w:pPr>
        <w:spacing w:after="0" w:line="240" w:lineRule="auto"/>
        <w:jc w:val="both"/>
        <w:rPr>
          <w:rFonts w:ascii="Arial" w:eastAsia="Times New Roman" w:hAnsi="Arial" w:cs="Arial"/>
          <w:sz w:val="24"/>
          <w:szCs w:val="24"/>
        </w:rPr>
      </w:pPr>
      <w:r w:rsidRPr="00DB2B5E">
        <w:rPr>
          <w:rFonts w:ascii="Arial" w:eastAsia="Times New Roman" w:hAnsi="Arial" w:cs="Arial"/>
          <w:sz w:val="24"/>
          <w:szCs w:val="24"/>
        </w:rPr>
        <w:lastRenderedPageBreak/>
        <w:t xml:space="preserve"> </w:t>
      </w:r>
      <w:r w:rsidR="00086CBF" w:rsidRPr="00DB2B5E">
        <w:rPr>
          <w:rFonts w:ascii="Arial" w:eastAsia="Times New Roman" w:hAnsi="Arial" w:cs="Arial"/>
          <w:sz w:val="24"/>
          <w:szCs w:val="24"/>
        </w:rPr>
        <w:tab/>
      </w:r>
      <w:r w:rsidRPr="00DB2B5E">
        <w:rPr>
          <w:rFonts w:ascii="Arial" w:eastAsia="Times New Roman" w:hAnsi="Arial" w:cs="Arial"/>
          <w:sz w:val="24"/>
          <w:szCs w:val="24"/>
        </w:rPr>
        <w:t>Terenurile ocupate de suprafeţele construite şi infrastructura densă conectează aşezările umane şi fragmentează peisajele. Acest lucru fiind, de asemenea, o sursă importantă de poluare a apei, solului şi a aerului.</w:t>
      </w:r>
    </w:p>
    <w:p w:rsidR="00E00628" w:rsidRDefault="00E00628" w:rsidP="00C625DB">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 xml:space="preserve">Evoluţia suprafeţei terenurilor urbane și artificiale la nivelul județului </w:t>
      </w:r>
      <w:r w:rsidR="00217620">
        <w:rPr>
          <w:rFonts w:ascii="Arial" w:eastAsia="Times New Roman" w:hAnsi="Arial" w:cs="Arial"/>
          <w:sz w:val="24"/>
          <w:szCs w:val="24"/>
        </w:rPr>
        <w:t>Brăila</w:t>
      </w:r>
      <w:r w:rsidRPr="00DB2B5E">
        <w:rPr>
          <w:rFonts w:ascii="Arial" w:eastAsia="Times New Roman" w:hAnsi="Arial" w:cs="Arial"/>
          <w:sz w:val="24"/>
          <w:szCs w:val="24"/>
        </w:rPr>
        <w:t xml:space="preserve"> în perioada 2011 – 2015 este redată în figura de mai jos. </w:t>
      </w:r>
    </w:p>
    <w:p w:rsidR="00202088" w:rsidRPr="00DB2B5E" w:rsidRDefault="00202088" w:rsidP="00C625DB">
      <w:pPr>
        <w:spacing w:after="0" w:line="240" w:lineRule="auto"/>
        <w:ind w:firstLine="708"/>
        <w:jc w:val="both"/>
        <w:rPr>
          <w:rFonts w:ascii="Arial" w:eastAsia="Times New Roman" w:hAnsi="Arial" w:cs="Arial"/>
          <w:sz w:val="24"/>
          <w:szCs w:val="24"/>
        </w:rPr>
      </w:pPr>
    </w:p>
    <w:p w:rsidR="00E00628" w:rsidRPr="00DB2B5E" w:rsidRDefault="00E00628" w:rsidP="00C625DB">
      <w:pPr>
        <w:pStyle w:val="BodyTextIndent"/>
        <w:tabs>
          <w:tab w:val="left" w:pos="2478"/>
        </w:tabs>
        <w:spacing w:after="0" w:line="240" w:lineRule="auto"/>
        <w:ind w:left="0"/>
        <w:jc w:val="center"/>
        <w:rPr>
          <w:rFonts w:ascii="Arial" w:hAnsi="Arial" w:cs="Arial"/>
          <w:b/>
          <w:sz w:val="24"/>
          <w:szCs w:val="24"/>
          <w:lang w:val="ro-RO"/>
        </w:rPr>
      </w:pPr>
      <w:r w:rsidRPr="00DB2B5E">
        <w:rPr>
          <w:rFonts w:ascii="Arial" w:hAnsi="Arial" w:cs="Arial"/>
          <w:b/>
          <w:noProof/>
          <w:sz w:val="24"/>
          <w:szCs w:val="24"/>
          <w:lang w:val="ro-RO" w:eastAsia="ro-RO"/>
        </w:rPr>
        <w:drawing>
          <wp:inline distT="0" distB="0" distL="0" distR="0">
            <wp:extent cx="5112385" cy="2600325"/>
            <wp:effectExtent l="19050" t="0" r="12065" b="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00628" w:rsidRPr="00202088" w:rsidRDefault="00E00628" w:rsidP="00C625DB">
      <w:pPr>
        <w:pStyle w:val="Footer"/>
        <w:jc w:val="center"/>
        <w:rPr>
          <w:rFonts w:ascii="Arial" w:hAnsi="Arial" w:cs="Arial"/>
          <w:sz w:val="24"/>
          <w:szCs w:val="24"/>
        </w:rPr>
      </w:pPr>
      <w:r w:rsidRPr="00202088">
        <w:rPr>
          <w:rFonts w:ascii="Arial" w:hAnsi="Arial" w:cs="Arial"/>
          <w:sz w:val="24"/>
          <w:szCs w:val="24"/>
          <w:lang w:val="it-IT"/>
        </w:rPr>
        <w:t>Fig. nr. IV.3.2-1</w:t>
      </w:r>
    </w:p>
    <w:p w:rsidR="00E00628" w:rsidRPr="00202088" w:rsidRDefault="00E00628" w:rsidP="00C625DB">
      <w:pPr>
        <w:pStyle w:val="BodyTextIndent"/>
        <w:tabs>
          <w:tab w:val="left" w:pos="2478"/>
        </w:tabs>
        <w:spacing w:after="0" w:line="240" w:lineRule="auto"/>
        <w:ind w:left="0"/>
        <w:jc w:val="both"/>
        <w:rPr>
          <w:rFonts w:ascii="Arial" w:hAnsi="Arial" w:cs="Arial"/>
          <w:sz w:val="24"/>
          <w:szCs w:val="24"/>
          <w:lang w:val="ro-RO"/>
        </w:rPr>
      </w:pP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p>
    <w:p w:rsidR="00E00628" w:rsidRPr="00DB2B5E" w:rsidRDefault="00E00628" w:rsidP="00C625DB">
      <w:pPr>
        <w:pStyle w:val="BodyTextIndent"/>
        <w:tabs>
          <w:tab w:val="left" w:pos="2478"/>
        </w:tabs>
        <w:spacing w:after="0" w:line="240" w:lineRule="auto"/>
        <w:ind w:left="0"/>
        <w:jc w:val="center"/>
        <w:rPr>
          <w:rFonts w:ascii="Arial" w:hAnsi="Arial" w:cs="Arial"/>
          <w:b/>
          <w:sz w:val="24"/>
          <w:szCs w:val="24"/>
          <w:lang w:val="ro-RO"/>
        </w:rPr>
      </w:pPr>
      <w:r w:rsidRPr="00DB2B5E">
        <w:rPr>
          <w:rFonts w:ascii="Arial" w:hAnsi="Arial" w:cs="Arial"/>
          <w:b/>
          <w:noProof/>
          <w:sz w:val="24"/>
          <w:szCs w:val="24"/>
          <w:lang w:val="ro-RO" w:eastAsia="ro-RO"/>
        </w:rPr>
        <w:drawing>
          <wp:inline distT="0" distB="0" distL="0" distR="0">
            <wp:extent cx="5471795" cy="2162175"/>
            <wp:effectExtent l="19050" t="0" r="14605" b="0"/>
            <wp:docPr id="1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00628" w:rsidRPr="00DB2B5E" w:rsidRDefault="00E00628" w:rsidP="00C625DB">
      <w:pPr>
        <w:pStyle w:val="Footer"/>
        <w:rPr>
          <w:rFonts w:ascii="Arial" w:hAnsi="Arial" w:cs="Arial"/>
          <w:b/>
          <w:sz w:val="24"/>
          <w:szCs w:val="24"/>
          <w:lang w:val="it-IT"/>
        </w:rPr>
      </w:pPr>
    </w:p>
    <w:p w:rsidR="00E00628" w:rsidRPr="00DB2B5E" w:rsidRDefault="00086CBF" w:rsidP="00C625DB">
      <w:pPr>
        <w:pStyle w:val="Footer"/>
        <w:rPr>
          <w:rFonts w:ascii="Arial" w:hAnsi="Arial" w:cs="Arial"/>
          <w:sz w:val="24"/>
          <w:szCs w:val="24"/>
        </w:rPr>
      </w:pPr>
      <w:r w:rsidRPr="00202088">
        <w:rPr>
          <w:rFonts w:ascii="Arial" w:hAnsi="Arial" w:cs="Arial"/>
          <w:sz w:val="24"/>
          <w:szCs w:val="24"/>
          <w:lang w:val="it-IT"/>
        </w:rPr>
        <w:t xml:space="preserve">           </w:t>
      </w:r>
      <w:r w:rsidR="00E00628" w:rsidRPr="00202088">
        <w:rPr>
          <w:rFonts w:ascii="Arial" w:hAnsi="Arial" w:cs="Arial"/>
          <w:sz w:val="24"/>
          <w:szCs w:val="24"/>
          <w:lang w:val="it-IT"/>
        </w:rPr>
        <w:t xml:space="preserve">Fig. nr. IV.3.2. - 2- </w:t>
      </w:r>
      <w:r w:rsidR="00E00628" w:rsidRPr="00202088">
        <w:rPr>
          <w:rFonts w:ascii="Arial" w:hAnsi="Arial" w:cs="Arial"/>
          <w:bCs/>
          <w:iCs/>
          <w:sz w:val="24"/>
          <w:szCs w:val="24"/>
        </w:rPr>
        <w:t xml:space="preserve">Evoluţia suprafeţei terenurilor urbane și artificiale la nivelul județului </w:t>
      </w:r>
      <w:r w:rsidR="00217620" w:rsidRPr="00202088">
        <w:rPr>
          <w:rFonts w:ascii="Arial" w:hAnsi="Arial" w:cs="Arial"/>
          <w:bCs/>
          <w:iCs/>
          <w:sz w:val="24"/>
          <w:szCs w:val="24"/>
        </w:rPr>
        <w:t>Brăila</w:t>
      </w:r>
      <w:r w:rsidR="00E00628" w:rsidRPr="00202088">
        <w:rPr>
          <w:rFonts w:ascii="Arial" w:hAnsi="Arial" w:cs="Arial"/>
          <w:bCs/>
          <w:iCs/>
          <w:sz w:val="24"/>
          <w:szCs w:val="24"/>
        </w:rPr>
        <w:t xml:space="preserve"> în perioada</w:t>
      </w:r>
      <w:r w:rsidR="00E00628" w:rsidRPr="00DB2B5E">
        <w:rPr>
          <w:rFonts w:ascii="Arial" w:hAnsi="Arial" w:cs="Arial"/>
          <w:bCs/>
          <w:iCs/>
          <w:sz w:val="24"/>
          <w:szCs w:val="24"/>
        </w:rPr>
        <w:t xml:space="preserve"> 2011 - 2015</w:t>
      </w:r>
    </w:p>
    <w:p w:rsidR="00E00628" w:rsidRPr="00DB2B5E" w:rsidRDefault="00E00628" w:rsidP="00C625DB">
      <w:pPr>
        <w:pStyle w:val="BodyTextIndent"/>
        <w:tabs>
          <w:tab w:val="left" w:pos="2478"/>
        </w:tabs>
        <w:spacing w:after="0" w:line="240" w:lineRule="auto"/>
        <w:ind w:left="0"/>
        <w:jc w:val="both"/>
        <w:rPr>
          <w:rFonts w:ascii="Arial" w:hAnsi="Arial" w:cs="Arial"/>
          <w:b/>
          <w:sz w:val="24"/>
          <w:szCs w:val="24"/>
          <w:lang w:val="ro-RO"/>
        </w:rPr>
      </w:pPr>
    </w:p>
    <w:p w:rsidR="00E00628" w:rsidRPr="00DB2B5E" w:rsidRDefault="00E00628" w:rsidP="00C625DB">
      <w:pPr>
        <w:pStyle w:val="BodyTextIndent"/>
        <w:tabs>
          <w:tab w:val="left" w:pos="851"/>
        </w:tabs>
        <w:spacing w:after="0" w:line="240" w:lineRule="auto"/>
        <w:ind w:left="0" w:firstLine="709"/>
        <w:jc w:val="both"/>
        <w:rPr>
          <w:rFonts w:ascii="Arial" w:hAnsi="Arial" w:cs="Arial"/>
          <w:sz w:val="24"/>
          <w:szCs w:val="24"/>
          <w:lang w:val="ro-RO"/>
        </w:rPr>
      </w:pPr>
      <w:r w:rsidRPr="00DB2B5E">
        <w:rPr>
          <w:rFonts w:ascii="Arial" w:hAnsi="Arial" w:cs="Arial"/>
          <w:sz w:val="24"/>
          <w:szCs w:val="24"/>
          <w:lang w:val="ro-RO"/>
        </w:rPr>
        <w:tab/>
        <w:t xml:space="preserve">În ceea ce privește </w:t>
      </w:r>
      <w:r w:rsidRPr="00DB2B5E">
        <w:rPr>
          <w:rFonts w:ascii="Arial" w:hAnsi="Arial" w:cs="Arial"/>
          <w:i/>
          <w:sz w:val="24"/>
          <w:szCs w:val="24"/>
          <w:lang w:val="ro-RO"/>
        </w:rPr>
        <w:t>terenurile urbane și artificiale</w:t>
      </w:r>
      <w:r w:rsidRPr="00DB2B5E">
        <w:rPr>
          <w:rFonts w:ascii="Arial" w:hAnsi="Arial" w:cs="Arial"/>
          <w:sz w:val="24"/>
          <w:szCs w:val="24"/>
          <w:lang w:val="ro-RO"/>
        </w:rPr>
        <w:t xml:space="preserve"> (curți și construcții și drumuri și căi ferate) se constată o ușoară creștere a acestora în perioada 2011 – 2015.</w:t>
      </w:r>
    </w:p>
    <w:p w:rsidR="00E00628" w:rsidRPr="00DB2B5E" w:rsidRDefault="00E00628" w:rsidP="00C625DB">
      <w:pPr>
        <w:spacing w:after="0" w:line="240" w:lineRule="auto"/>
        <w:jc w:val="center"/>
        <w:rPr>
          <w:rFonts w:ascii="Arial" w:eastAsia="Times New Roman" w:hAnsi="Arial" w:cs="Arial"/>
          <w:sz w:val="24"/>
          <w:szCs w:val="24"/>
        </w:rPr>
      </w:pPr>
    </w:p>
    <w:p w:rsidR="00E00628" w:rsidRPr="00DB2B5E" w:rsidRDefault="00DB2B5E" w:rsidP="00C625DB">
      <w:pPr>
        <w:spacing w:after="0" w:line="240" w:lineRule="auto"/>
        <w:jc w:val="both"/>
        <w:rPr>
          <w:rFonts w:ascii="Arial" w:eastAsia="Times New Roman" w:hAnsi="Arial" w:cs="Arial"/>
          <w:b/>
          <w:sz w:val="24"/>
          <w:szCs w:val="24"/>
        </w:rPr>
      </w:pPr>
      <w:r w:rsidRPr="00DB2B5E">
        <w:rPr>
          <w:rFonts w:ascii="Arial" w:eastAsia="Times New Roman" w:hAnsi="Arial" w:cs="Arial"/>
          <w:b/>
          <w:sz w:val="24"/>
          <w:szCs w:val="24"/>
        </w:rPr>
        <w:t xml:space="preserve">  </w:t>
      </w:r>
      <w:r w:rsidR="00E00628" w:rsidRPr="00DB2B5E">
        <w:rPr>
          <w:rFonts w:ascii="Arial" w:eastAsia="Times New Roman" w:hAnsi="Arial" w:cs="Arial"/>
          <w:b/>
          <w:sz w:val="24"/>
          <w:szCs w:val="24"/>
        </w:rPr>
        <w:t>IV.4.  Prognoze și acțiuni întreprinse privind utilizarea terenurilor</w:t>
      </w:r>
    </w:p>
    <w:p w:rsidR="00202088" w:rsidRDefault="00202088" w:rsidP="00C625DB">
      <w:pPr>
        <w:spacing w:after="0" w:line="240" w:lineRule="auto"/>
        <w:ind w:firstLine="708"/>
        <w:jc w:val="both"/>
        <w:rPr>
          <w:rFonts w:ascii="Arial" w:eastAsia="Times New Roman" w:hAnsi="Arial" w:cs="Arial"/>
          <w:sz w:val="24"/>
          <w:szCs w:val="24"/>
        </w:rPr>
      </w:pPr>
    </w:p>
    <w:p w:rsidR="00E00628" w:rsidRPr="00DB2B5E" w:rsidRDefault="00E00628" w:rsidP="00C625DB">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 xml:space="preserve">La nivel national, reducerea presiunilor datorate schimbării destinaţiei terenurilor şi care conduc la pierderea habitatelor naturale şi semi-naturale reprezintă unul dintre obiectivele prevăzute în Strategia Naţională şi Planul de Acţiune pentru Conservarea Biodiversităţii 2013 – 2020, obiective care sunt preluate și la nivel județean. </w:t>
      </w:r>
    </w:p>
    <w:p w:rsidR="00E00628" w:rsidRPr="00DB2B5E" w:rsidRDefault="00E00628" w:rsidP="00C625DB">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 xml:space="preserve">Deciziile politice care modifică utilizarea terenurilor implică compromisuri între interesele de dezvoltare ale sectoriale, inclusiv industrie, transport, energie, minerit, agricultură şi silvicultură. Se impune promovarea sistemelor de folosire integrată a terenurilor la nivel local şi regional, dublată de introducerea ghidurilor şi codurilor de bună practică </w:t>
      </w:r>
      <w:r w:rsidRPr="00DB2B5E">
        <w:rPr>
          <w:rFonts w:ascii="Arial" w:eastAsia="Times New Roman" w:hAnsi="Arial" w:cs="Arial"/>
          <w:sz w:val="24"/>
          <w:szCs w:val="24"/>
        </w:rPr>
        <w:lastRenderedPageBreak/>
        <w:t>prevăzută în cadrul Planului naţional de acţiune privind schimbările climatice, prin acţiunea Utilizarea terenurilor, schimbarea utilizării terenurilor şi silvicultură va  permite utilizarea durabilă a terenurilor.</w:t>
      </w:r>
    </w:p>
    <w:p w:rsidR="00E00628" w:rsidRPr="00DB2B5E" w:rsidRDefault="00E00628" w:rsidP="00C625DB">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 xml:space="preserve">Deşi, nu există obiective cantitative în ceea ce priveşte ocuparea terenurilor prin dezvoltarea urbană la nivel european, mai multe documente reflectă necesitatea unei mai bune planificări pentru a controla dezvoltarea urbană şi extinderea infrastructurilor. </w:t>
      </w:r>
    </w:p>
    <w:p w:rsidR="00E00628" w:rsidRPr="00DB2B5E" w:rsidRDefault="00E00628" w:rsidP="00C625DB">
      <w:pPr>
        <w:spacing w:after="0" w:line="240" w:lineRule="auto"/>
        <w:ind w:firstLine="708"/>
        <w:jc w:val="both"/>
        <w:rPr>
          <w:rFonts w:ascii="Arial" w:eastAsia="Times New Roman" w:hAnsi="Arial" w:cs="Arial"/>
          <w:sz w:val="24"/>
          <w:szCs w:val="24"/>
        </w:rPr>
      </w:pPr>
      <w:r w:rsidRPr="00DB2B5E">
        <w:rPr>
          <w:rFonts w:ascii="Arial" w:eastAsia="Times New Roman" w:hAnsi="Arial" w:cs="Arial"/>
          <w:sz w:val="24"/>
          <w:szCs w:val="24"/>
        </w:rPr>
        <w:t xml:space="preserve">Politicile referitoare la problemele de utilizare rațională a terenurilor şi la planificarea fizică şi spaţială a acestora sunt în responsabilitatea autorităţilor locale. </w:t>
      </w:r>
    </w:p>
    <w:p w:rsidR="00E00628" w:rsidRPr="00DB2B5E" w:rsidRDefault="00E00628" w:rsidP="00C625DB">
      <w:pPr>
        <w:spacing w:after="0" w:line="240" w:lineRule="auto"/>
        <w:ind w:firstLine="708"/>
        <w:jc w:val="both"/>
        <w:rPr>
          <w:rFonts w:ascii="Arial" w:hAnsi="Arial" w:cs="Arial"/>
          <w:sz w:val="24"/>
          <w:szCs w:val="24"/>
        </w:rPr>
      </w:pPr>
      <w:r w:rsidRPr="00DB2B5E">
        <w:rPr>
          <w:rFonts w:ascii="Arial" w:eastAsia="Times New Roman" w:hAnsi="Arial" w:cs="Arial"/>
          <w:sz w:val="24"/>
          <w:szCs w:val="24"/>
        </w:rPr>
        <w:t xml:space="preserve">În ceea ce privește utilizarea terenurilor în județul </w:t>
      </w:r>
      <w:r w:rsidR="00217620">
        <w:rPr>
          <w:rFonts w:ascii="Arial" w:eastAsia="Times New Roman" w:hAnsi="Arial" w:cs="Arial"/>
          <w:sz w:val="24"/>
          <w:szCs w:val="24"/>
        </w:rPr>
        <w:t>Brăila</w:t>
      </w:r>
      <w:r w:rsidRPr="00DB2B5E">
        <w:rPr>
          <w:rFonts w:ascii="Arial" w:eastAsia="Times New Roman" w:hAnsi="Arial" w:cs="Arial"/>
          <w:sz w:val="24"/>
          <w:szCs w:val="24"/>
        </w:rPr>
        <w:t xml:space="preserve"> se constată în ultimii ani o tendință de creștere ușoară a terenurilor agricole de scădere a terenurilor neproductive și o ușoară creștere a  terenurilor urbane și artificiale care probabil se va păstra în perioada următoare.</w:t>
      </w:r>
    </w:p>
    <w:p w:rsidR="00E00628" w:rsidRPr="00DB2B5E" w:rsidRDefault="00E00628" w:rsidP="00C625DB">
      <w:pPr>
        <w:spacing w:after="0" w:line="240" w:lineRule="auto"/>
        <w:ind w:firstLine="708"/>
        <w:jc w:val="both"/>
        <w:rPr>
          <w:rFonts w:ascii="Arial" w:hAnsi="Arial" w:cs="Arial"/>
          <w:sz w:val="24"/>
          <w:szCs w:val="24"/>
        </w:rPr>
      </w:pPr>
      <w:r w:rsidRPr="00DB2B5E">
        <w:rPr>
          <w:rFonts w:ascii="Arial" w:hAnsi="Arial" w:cs="Arial"/>
          <w:sz w:val="24"/>
          <w:szCs w:val="24"/>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Pr="00DB2B5E">
        <w:rPr>
          <w:rFonts w:ascii="Arial" w:hAnsi="Arial" w:cs="Arial"/>
          <w:i/>
          <w:iCs/>
          <w:sz w:val="24"/>
          <w:szCs w:val="24"/>
        </w:rPr>
        <w:t xml:space="preserve">conversia terenurilor </w:t>
      </w:r>
      <w:r w:rsidRPr="00DB2B5E">
        <w:rPr>
          <w:rFonts w:ascii="Arial" w:hAnsi="Arial" w:cs="Arial"/>
          <w:sz w:val="24"/>
          <w:szCs w:val="24"/>
        </w:rPr>
        <w:t>în scopul extinderii urbane, dezvoltării infrastructurii de transport, dezvoltării industriale, agricole și turistice.</w:t>
      </w:r>
    </w:p>
    <w:p w:rsidR="00E00628" w:rsidRPr="00DB2B5E" w:rsidRDefault="00E00628" w:rsidP="00C625DB">
      <w:pPr>
        <w:spacing w:after="0" w:line="240" w:lineRule="auto"/>
        <w:ind w:firstLine="708"/>
        <w:jc w:val="both"/>
        <w:rPr>
          <w:rFonts w:ascii="Arial" w:hAnsi="Arial" w:cs="Arial"/>
          <w:i/>
          <w:iCs/>
          <w:sz w:val="24"/>
          <w:szCs w:val="24"/>
        </w:rPr>
      </w:pPr>
      <w:r w:rsidRPr="00DB2B5E">
        <w:rPr>
          <w:rFonts w:ascii="Arial" w:hAnsi="Arial" w:cs="Arial"/>
          <w:iCs/>
          <w:sz w:val="24"/>
          <w:szCs w:val="24"/>
        </w:rPr>
        <w:t>Datele privind schimbarea utilizării terenurilor agricole vor fi disponibile pe geo-portalul INSPIRE al României (http://geoportal.ancpi.ro/geoportal/catalog/main/home.page), coordonat de ANCPI conform Ordonanţei Guvernului nr. 4/2010 cu modificările şi completările ulterioare, ce a transpus în legislaţia naţională prevederile Directivei 2007/2/CE a Parlamentului European şi a Consiliului de instituire a unei infrastructuri pentru informaţii spaţiale în Comunitatea Europeană (INSPIRE). Agenţia Naţională de Cadastru şi Publicitate Imobiliară (ANCPI) în colaborare cu alte instituţii reponsabile pentru anumite teme de date spaţiale conforme cu INSPIRE - MMSC (acoperirea terenurilor), INS (repartizarea populaţiei demografice), MDRT (utilizarea terenurilor), MT (reţele de transport) - este responsabilă pentru realizarea seturilor de date spaţiale din România.</w:t>
      </w:r>
      <w:r w:rsidRPr="00DB2B5E">
        <w:rPr>
          <w:rFonts w:ascii="Arial" w:hAnsi="Arial" w:cs="Arial"/>
          <w:i/>
          <w:iCs/>
          <w:sz w:val="24"/>
          <w:szCs w:val="24"/>
        </w:rPr>
        <w:t xml:space="preserve"> </w:t>
      </w:r>
    </w:p>
    <w:p w:rsidR="00E00628" w:rsidRPr="003771CC" w:rsidRDefault="00E00628" w:rsidP="00C625DB">
      <w:pPr>
        <w:spacing w:after="0" w:line="240" w:lineRule="auto"/>
        <w:jc w:val="both"/>
        <w:rPr>
          <w:rFonts w:ascii="Arial" w:hAnsi="Arial" w:cs="Arial"/>
          <w:color w:val="00B050"/>
          <w:sz w:val="24"/>
          <w:szCs w:val="24"/>
          <w:lang w:val="en-US"/>
        </w:rPr>
      </w:pPr>
    </w:p>
    <w:p w:rsidR="00EE1961" w:rsidRPr="0093284E" w:rsidRDefault="00EE1961" w:rsidP="00C625DB">
      <w:pPr>
        <w:spacing w:after="0" w:line="240" w:lineRule="auto"/>
        <w:jc w:val="both"/>
        <w:rPr>
          <w:rFonts w:ascii="Arial" w:hAnsi="Arial" w:cs="Arial"/>
          <w:b/>
          <w:sz w:val="28"/>
          <w:szCs w:val="28"/>
        </w:rPr>
      </w:pPr>
      <w:r w:rsidRPr="0093284E">
        <w:rPr>
          <w:rFonts w:ascii="Arial" w:hAnsi="Arial" w:cs="Arial"/>
          <w:b/>
          <w:color w:val="00B050"/>
          <w:sz w:val="28"/>
          <w:szCs w:val="28"/>
        </w:rPr>
        <w:t xml:space="preserve"> </w:t>
      </w:r>
      <w:r w:rsidRPr="0093284E">
        <w:rPr>
          <w:rFonts w:ascii="Arial" w:hAnsi="Arial" w:cs="Arial"/>
          <w:b/>
          <w:sz w:val="28"/>
          <w:szCs w:val="28"/>
        </w:rPr>
        <w:t>V</w:t>
      </w:r>
      <w:r w:rsidR="00BB0CF9" w:rsidRPr="0093284E">
        <w:rPr>
          <w:rFonts w:ascii="Arial" w:hAnsi="Arial" w:cs="Arial"/>
          <w:b/>
          <w:sz w:val="28"/>
          <w:szCs w:val="28"/>
        </w:rPr>
        <w:t xml:space="preserve">.  </w:t>
      </w:r>
      <w:r w:rsidRPr="0093284E">
        <w:rPr>
          <w:rFonts w:ascii="Arial" w:hAnsi="Arial" w:cs="Arial"/>
          <w:b/>
          <w:sz w:val="28"/>
          <w:szCs w:val="28"/>
        </w:rPr>
        <w:t xml:space="preserve"> PROTECȚIA NATURII ȘI BIODIVERSITATEA</w:t>
      </w:r>
    </w:p>
    <w:p w:rsidR="00202088" w:rsidRDefault="00202088" w:rsidP="00C625DB">
      <w:pPr>
        <w:spacing w:after="0" w:line="240" w:lineRule="auto"/>
        <w:ind w:firstLine="708"/>
        <w:jc w:val="both"/>
        <w:rPr>
          <w:rFonts w:ascii="Arial" w:hAnsi="Arial" w:cs="Arial"/>
          <w:sz w:val="24"/>
          <w:szCs w:val="24"/>
        </w:rPr>
      </w:pP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Noţiunea de biodiversitate este complexă şi se referă atât la varietatea organismelor vii, specii de plante (floră) şi animale (faună), fie ele terestre sau acvatice care populează Pâmântul şi formează biosfera, cât şi la varietatea complexelor ecologice din care fac parte –ecosistemele, la varietatea peisajelor, dar şi la diversitatea culturală umană. Deci, biodiversitatea este compusă din diversitatea ecosistemelor, a speciilor şi cea genetică, dar şi cea etnoculturală. Umanitatea este ea însăşi o parte a biodiversităţii şi existenţa noastră în lume ar fi imposibilă fără aceasta. Calitatea vieţii, competitivitatea economică, forţa de muncă şi securitatea, toate se bazează pe acest capital natural. </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România a ratificat Convenţia privind Diversitatea Biologică (denumită în continuare "Convenţia" sau CBD), semnată la Rio de Janeiro, în 5 iunie 1992, prin Legea nr.58/1994. Conform Convenţiei, prin biodiversitate înţelegem varietatea de expresie a lumii vii, variabilitatea organismelor vii din toate sursele, inclusiv, printre altele, a ecosistemelor terestre, marine şi a altor ecosisteme acvatice şi a complexelor ecologice din care acestea fac parte; aceasta include diversitatea în cadrul speciilor, dintre specii şi a ecosistemelor</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Cele trei obiective ale CBD sunt următoarele: </w:t>
      </w:r>
    </w:p>
    <w:p w:rsidR="00EE1961" w:rsidRPr="005D1973" w:rsidRDefault="00EE1961" w:rsidP="00252ED3">
      <w:pPr>
        <w:numPr>
          <w:ilvl w:val="0"/>
          <w:numId w:val="32"/>
        </w:numPr>
        <w:autoSpaceDE w:val="0"/>
        <w:autoSpaceDN w:val="0"/>
        <w:adjustRightInd w:val="0"/>
        <w:spacing w:after="0" w:line="240" w:lineRule="auto"/>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conservarea diversităţii biologice </w:t>
      </w:r>
    </w:p>
    <w:p w:rsidR="00EE1961" w:rsidRPr="005D1973" w:rsidRDefault="00EE1961" w:rsidP="00252ED3">
      <w:pPr>
        <w:numPr>
          <w:ilvl w:val="0"/>
          <w:numId w:val="32"/>
        </w:numPr>
        <w:autoSpaceDE w:val="0"/>
        <w:autoSpaceDN w:val="0"/>
        <w:adjustRightInd w:val="0"/>
        <w:spacing w:after="0" w:line="240" w:lineRule="auto"/>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utilizarea durabilă a componentelor diversităţii biologice </w:t>
      </w:r>
    </w:p>
    <w:p w:rsidR="00EE1961" w:rsidRPr="005D1973" w:rsidRDefault="00EE1961" w:rsidP="00252ED3">
      <w:pPr>
        <w:numPr>
          <w:ilvl w:val="0"/>
          <w:numId w:val="32"/>
        </w:numPr>
        <w:autoSpaceDE w:val="0"/>
        <w:autoSpaceDN w:val="0"/>
        <w:adjustRightInd w:val="0"/>
        <w:spacing w:after="0" w:line="240" w:lineRule="auto"/>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împărţirea corectă şi echitabilă a beneficiilor rezultate din utilizarea resurselor genetice. </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România a participat continuu la politica internaţională de mediu, semnând şi ratificând cele mai importante convenţii, rezoluţii, declaraţii şi acorduri de mediu. Astfel, a participat la: Conferinţa Naţiunilor Unite pentru Protecţia Mediului Înconjurător, Stockholm 1972, în 1992 la </w:t>
      </w:r>
      <w:r w:rsidRPr="005D1973">
        <w:rPr>
          <w:rFonts w:ascii="Arial" w:hAnsi="Arial" w:cs="Arial"/>
          <w:sz w:val="24"/>
          <w:szCs w:val="24"/>
        </w:rPr>
        <w:lastRenderedPageBreak/>
        <w:t xml:space="preserve">Conferinţa Naţiunilor Unite de la Rio de Janeiro, ratificând, în 1994, Convenţia Diversităţii Biologice, în anul 2002, la Conferinţa Naţiunilor Unite de la Johanesburg. </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Totodată, România a ratificat Convenţia privind Importanţa Internaţională a Zonelor Umede (Ramsar,1991), Convenţia de la Berna privind Conservarea speciilor sălbatice şi habitatelor naturale (1993), Convenţia privind comerţul internaţional cu specii ale faunei şi florei sălbatice pe cale de dispariţie (CITES, 1994), Convenţia de la Bonn privind Conservarea Speciilor Migratoare (1998), Convenţia Carpatică (2003). De asemenea, ţara noastră a aderat la Strategia şi Planul de Acţiune Pan - European privind Conservarea Diversităţii Biologice şi a „landscape-ului”, la Acordul privind Conservarea Cetaceelor Mici din Marea Mediterană şi Marea Neagră. </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Ca o consecinţă a poziţionării sale geografice, România se bucură de existenţa unei biodiversităţi unice, atât la nivelul ecosistemelor şi speciilor, cât şi la nivel genetic. Pe teritoriul ţării noastre se reunesc nu mai puţin de cinci regiuni biogeografice, dintre care două, cea stepică şi cea pontică, reprezintă elemente naturale noi adăugate la zestrea Uniunii Europene, marcând introducerea a numeroase noi tipuri de habitate şi specii. </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Cele cinci regiuni biogeografice sunt (figura nr. V-1.): </w:t>
      </w:r>
    </w:p>
    <w:p w:rsidR="00EE1961" w:rsidRPr="005D1973" w:rsidRDefault="00EE1961" w:rsidP="00252ED3">
      <w:pPr>
        <w:numPr>
          <w:ilvl w:val="0"/>
          <w:numId w:val="32"/>
        </w:numPr>
        <w:autoSpaceDE w:val="0"/>
        <w:autoSpaceDN w:val="0"/>
        <w:adjustRightInd w:val="0"/>
        <w:spacing w:after="0" w:line="240" w:lineRule="auto"/>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continentală (53%); </w:t>
      </w:r>
    </w:p>
    <w:p w:rsidR="00EE1961" w:rsidRPr="005D1973" w:rsidRDefault="00EE1961" w:rsidP="00252ED3">
      <w:pPr>
        <w:numPr>
          <w:ilvl w:val="0"/>
          <w:numId w:val="32"/>
        </w:numPr>
        <w:autoSpaceDE w:val="0"/>
        <w:autoSpaceDN w:val="0"/>
        <w:adjustRightInd w:val="0"/>
        <w:spacing w:after="0" w:line="240" w:lineRule="auto"/>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alpină (23%); </w:t>
      </w:r>
    </w:p>
    <w:p w:rsidR="00EE1961" w:rsidRPr="005D1973" w:rsidRDefault="00EE1961" w:rsidP="00252ED3">
      <w:pPr>
        <w:numPr>
          <w:ilvl w:val="0"/>
          <w:numId w:val="32"/>
        </w:numPr>
        <w:autoSpaceDE w:val="0"/>
        <w:autoSpaceDN w:val="0"/>
        <w:adjustRightInd w:val="0"/>
        <w:spacing w:after="0" w:line="240" w:lineRule="auto"/>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stepică (17%); </w:t>
      </w:r>
    </w:p>
    <w:p w:rsidR="00EE1961" w:rsidRPr="005D1973" w:rsidRDefault="00EE1961" w:rsidP="00252ED3">
      <w:pPr>
        <w:numPr>
          <w:ilvl w:val="0"/>
          <w:numId w:val="32"/>
        </w:numPr>
        <w:autoSpaceDE w:val="0"/>
        <w:autoSpaceDN w:val="0"/>
        <w:adjustRightInd w:val="0"/>
        <w:spacing w:after="0" w:line="240" w:lineRule="auto"/>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panonică (6%); </w:t>
      </w:r>
    </w:p>
    <w:p w:rsidR="00EE1961" w:rsidRPr="005D1973" w:rsidRDefault="00EE1961" w:rsidP="00252ED3">
      <w:pPr>
        <w:numPr>
          <w:ilvl w:val="0"/>
          <w:numId w:val="32"/>
        </w:numPr>
        <w:autoSpaceDE w:val="0"/>
        <w:autoSpaceDN w:val="0"/>
        <w:adjustRightInd w:val="0"/>
        <w:spacing w:after="0" w:line="240" w:lineRule="auto"/>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pontică (1%). </w:t>
      </w:r>
    </w:p>
    <w:p w:rsidR="00EE1961" w:rsidRPr="005D1973" w:rsidRDefault="00EE1961" w:rsidP="00C625DB">
      <w:pPr>
        <w:spacing w:after="0" w:line="240" w:lineRule="auto"/>
        <w:ind w:left="735"/>
        <w:jc w:val="both"/>
        <w:rPr>
          <w:rFonts w:ascii="Arial" w:hAnsi="Arial" w:cs="Arial"/>
          <w:i/>
          <w:iCs/>
          <w:sz w:val="24"/>
          <w:szCs w:val="24"/>
        </w:rPr>
      </w:pPr>
    </w:p>
    <w:p w:rsidR="00EE1961" w:rsidRPr="005D1973" w:rsidRDefault="00EE1961" w:rsidP="00C625DB">
      <w:pPr>
        <w:spacing w:after="0" w:line="240" w:lineRule="auto"/>
        <w:ind w:left="735"/>
        <w:jc w:val="both"/>
        <w:rPr>
          <w:rFonts w:ascii="Arial" w:hAnsi="Arial" w:cs="Arial"/>
          <w:sz w:val="24"/>
          <w:szCs w:val="24"/>
        </w:rPr>
      </w:pPr>
    </w:p>
    <w:p w:rsidR="00EE1961" w:rsidRPr="005D1973" w:rsidRDefault="00EE1961" w:rsidP="00C625DB">
      <w:pPr>
        <w:spacing w:after="0" w:line="240" w:lineRule="auto"/>
        <w:ind w:left="735"/>
        <w:jc w:val="both"/>
        <w:rPr>
          <w:rFonts w:ascii="Arial" w:hAnsi="Arial" w:cs="Arial"/>
          <w:sz w:val="24"/>
          <w:szCs w:val="24"/>
        </w:rPr>
      </w:pPr>
      <w:r w:rsidRPr="005D1973">
        <w:rPr>
          <w:rFonts w:ascii="Arial" w:hAnsi="Arial" w:cs="Arial"/>
          <w:noProof/>
          <w:sz w:val="24"/>
          <w:szCs w:val="24"/>
          <w:lang w:eastAsia="ro-RO"/>
        </w:rPr>
        <w:drawing>
          <wp:inline distT="0" distB="0" distL="0" distR="0">
            <wp:extent cx="5633085" cy="4451350"/>
            <wp:effectExtent l="19050" t="0" r="571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5633085" cy="4451350"/>
                    </a:xfrm>
                    <a:prstGeom prst="rect">
                      <a:avLst/>
                    </a:prstGeom>
                    <a:noFill/>
                    <a:ln w="9525">
                      <a:noFill/>
                      <a:miter lim="800000"/>
                      <a:headEnd/>
                      <a:tailEnd/>
                    </a:ln>
                  </pic:spPr>
                </pic:pic>
              </a:graphicData>
            </a:graphic>
          </wp:inline>
        </w:drawing>
      </w:r>
    </w:p>
    <w:p w:rsidR="00EE1961" w:rsidRPr="005D1973" w:rsidRDefault="00EE1961" w:rsidP="00C625DB">
      <w:pPr>
        <w:spacing w:after="0" w:line="240" w:lineRule="auto"/>
        <w:ind w:left="735"/>
        <w:jc w:val="center"/>
        <w:rPr>
          <w:rFonts w:ascii="Arial" w:hAnsi="Arial" w:cs="Arial"/>
          <w:sz w:val="24"/>
          <w:szCs w:val="24"/>
        </w:rPr>
      </w:pPr>
      <w:r w:rsidRPr="005D1973">
        <w:rPr>
          <w:rFonts w:ascii="Arial" w:hAnsi="Arial" w:cs="Arial"/>
          <w:i/>
          <w:iCs/>
          <w:sz w:val="24"/>
          <w:szCs w:val="24"/>
        </w:rPr>
        <w:t>Figura V-1. Regiunile biogeografice ale României</w:t>
      </w:r>
    </w:p>
    <w:p w:rsidR="00202088" w:rsidRDefault="00202088" w:rsidP="00C625DB">
      <w:pPr>
        <w:autoSpaceDE w:val="0"/>
        <w:autoSpaceDN w:val="0"/>
        <w:adjustRightInd w:val="0"/>
        <w:spacing w:after="0" w:line="240" w:lineRule="auto"/>
        <w:ind w:firstLine="708"/>
        <w:jc w:val="both"/>
        <w:rPr>
          <w:rFonts w:ascii="Arial" w:eastAsia="Times New Roman" w:hAnsi="Arial" w:cs="Arial"/>
          <w:sz w:val="24"/>
          <w:szCs w:val="24"/>
          <w:lang w:eastAsia="ro-RO"/>
        </w:rPr>
      </w:pPr>
    </w:p>
    <w:p w:rsidR="00EE1961" w:rsidRPr="005D1973" w:rsidRDefault="00EE1961" w:rsidP="00C625DB">
      <w:pPr>
        <w:autoSpaceDE w:val="0"/>
        <w:autoSpaceDN w:val="0"/>
        <w:adjustRightInd w:val="0"/>
        <w:spacing w:after="0" w:line="240" w:lineRule="auto"/>
        <w:ind w:firstLine="708"/>
        <w:jc w:val="both"/>
        <w:rPr>
          <w:rStyle w:val="tpt1"/>
          <w:rFonts w:ascii="Arial" w:hAnsi="Arial" w:cs="Arial"/>
          <w:b/>
          <w:sz w:val="24"/>
          <w:szCs w:val="24"/>
        </w:rPr>
      </w:pPr>
      <w:r w:rsidRPr="005D1973">
        <w:rPr>
          <w:rFonts w:ascii="Arial" w:eastAsia="Times New Roman" w:hAnsi="Arial" w:cs="Arial"/>
          <w:sz w:val="24"/>
          <w:szCs w:val="24"/>
          <w:lang w:eastAsia="ro-RO"/>
        </w:rPr>
        <w:t xml:space="preserve">Judeţul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deţine o mare varietate de ecosisteme terestre şi acvatice (păduri specifice de luncă, pajişti, bălţi şi lacuri, canale cu maluri aluviale), caracteristice regiunii </w:t>
      </w:r>
      <w:r w:rsidRPr="005D1973">
        <w:rPr>
          <w:rFonts w:ascii="Arial" w:eastAsia="Times New Roman" w:hAnsi="Arial" w:cs="Arial"/>
          <w:sz w:val="24"/>
          <w:szCs w:val="24"/>
          <w:lang w:eastAsia="ro-RO"/>
        </w:rPr>
        <w:lastRenderedPageBreak/>
        <w:t xml:space="preserve">biogeografice stepice. Vegetaţia naturală de stepă se mai găseşte în prezent pe versanţii depresiunilor de tasare, în spaţiile dintre parcelele agricole, pe marginile drumurilor, în zonele necultivate temporar. În Balta Mică a </w:t>
      </w:r>
      <w:r w:rsidR="007C1699">
        <w:rPr>
          <w:rFonts w:ascii="Arial" w:eastAsia="Times New Roman" w:hAnsi="Arial" w:cs="Arial"/>
          <w:sz w:val="24"/>
          <w:szCs w:val="24"/>
          <w:lang w:eastAsia="ro-RO"/>
        </w:rPr>
        <w:t>BR</w:t>
      </w:r>
      <w:r w:rsidRPr="005D1973">
        <w:rPr>
          <w:rFonts w:ascii="Arial" w:eastAsia="Times New Roman" w:hAnsi="Arial" w:cs="Arial"/>
          <w:sz w:val="24"/>
          <w:szCs w:val="24"/>
          <w:lang w:eastAsia="ro-RO"/>
        </w:rPr>
        <w:t xml:space="preserve">ăilei, zonă cu statut de protecţie, în ciuda modificărilor survenite în structura sistemelor ecologice, ecosistemele naturale sunt conservate în procent de cca 50%. Astfel, peste jumătate din păsările observate în ţară se regăsesc în judeţul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acesta fiind situat pe cel mai important culoar de migraţie al păsărilor din bazinul inferior al Dunării de Jos, la jumătatea rutelor de migraţie între locurile de cuibărit din nordul Europei şi refugiile de iernat din Africa.</w:t>
      </w:r>
    </w:p>
    <w:p w:rsidR="00EE1961" w:rsidRPr="005D1973" w:rsidRDefault="00EE1961" w:rsidP="00C625DB">
      <w:pPr>
        <w:pStyle w:val="BodyTextIndent2"/>
        <w:spacing w:after="0" w:line="240" w:lineRule="auto"/>
        <w:ind w:left="0"/>
        <w:jc w:val="both"/>
        <w:rPr>
          <w:rStyle w:val="tpt1"/>
          <w:rFonts w:ascii="Arial" w:hAnsi="Arial" w:cs="Arial"/>
          <w:b/>
        </w:rPr>
      </w:pPr>
      <w:r w:rsidRPr="005D1973">
        <w:rPr>
          <w:rStyle w:val="tpt1"/>
          <w:rFonts w:ascii="Arial" w:hAnsi="Arial" w:cs="Arial"/>
          <w:b/>
        </w:rPr>
        <w:t>Habitatele naturale</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Conform OUG nr. 57/2007 privind regimul ariilor naturale protejate, conservarea habitatelor naturale, a florei şi faunei salbatice, aprobată cu modificări şi completări prin Legea nr. 49/2011, cu completările ulterioare habitatele naturale sunt zone terestre, acvatice sau subterane, în stare naturală sau seminaturală, ce se diferenţiază prin caracteristici geografice, abiotice şi biotice. Principalele tipuri de habitate din judeţul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sunt caracteristice regiunii biogeografice stepice şi sunt atât acvatice, cât şi terestre (păduri şi pajişti):</w:t>
      </w:r>
    </w:p>
    <w:p w:rsidR="00EE1961" w:rsidRPr="005D1973" w:rsidRDefault="00EE1961" w:rsidP="00252ED3">
      <w:pPr>
        <w:numPr>
          <w:ilvl w:val="0"/>
          <w:numId w:val="34"/>
        </w:numPr>
        <w:spacing w:after="0" w:line="240" w:lineRule="auto"/>
        <w:jc w:val="both"/>
        <w:rPr>
          <w:rFonts w:ascii="Arial" w:hAnsi="Arial" w:cs="Arial"/>
          <w:sz w:val="24"/>
          <w:szCs w:val="24"/>
          <w:lang w:val="fr-FR"/>
        </w:rPr>
      </w:pPr>
      <w:r w:rsidRPr="005D1973">
        <w:rPr>
          <w:rFonts w:ascii="Arial" w:hAnsi="Arial" w:cs="Arial"/>
          <w:sz w:val="24"/>
          <w:szCs w:val="24"/>
          <w:lang w:val="fr-FR"/>
        </w:rPr>
        <w:t>Habitatele de pădure.</w:t>
      </w:r>
    </w:p>
    <w:p w:rsidR="00EE1961" w:rsidRPr="005D1973" w:rsidRDefault="00EE1961" w:rsidP="00C625DB">
      <w:pPr>
        <w:spacing w:after="0" w:line="240" w:lineRule="auto"/>
        <w:ind w:left="66"/>
        <w:jc w:val="both"/>
        <w:rPr>
          <w:rFonts w:ascii="Arial" w:hAnsi="Arial" w:cs="Arial"/>
          <w:sz w:val="24"/>
          <w:szCs w:val="24"/>
          <w:lang w:val="fr-FR"/>
        </w:rPr>
      </w:pPr>
      <w:r w:rsidRPr="005D1973">
        <w:rPr>
          <w:rFonts w:ascii="Arial" w:hAnsi="Arial" w:cs="Arial"/>
          <w:sz w:val="24"/>
          <w:szCs w:val="24"/>
          <w:lang w:val="fr-FR"/>
        </w:rPr>
        <w:t>Habitatele cu vegetaţie forestieră reprezintă circa 5% din suprafaţa judeţului şi sunt situate:</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xml:space="preserve">- 80% în luncile inundabile ale fluviului Dunărea şi ale râurilor Buzău şi Siret (predominant din plop şi salcie); </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- 20% sunt păduri de terasă pe raza judeţului, compuse preponderent din salcâm şi stejar, cele mai importante fiind trupurile: Viişoara, Colţea, Tătaru, Râmnicelu, Romanu, Rubla şi Lacu Sărat.</w:t>
      </w:r>
      <w:r w:rsidRPr="005D1973">
        <w:rPr>
          <w:rFonts w:ascii="Arial" w:hAnsi="Arial" w:cs="Arial"/>
          <w:sz w:val="24"/>
          <w:szCs w:val="24"/>
          <w:lang w:val="fr-FR"/>
        </w:rPr>
        <w:tab/>
      </w:r>
      <w:r w:rsidRPr="005D1973">
        <w:rPr>
          <w:rFonts w:ascii="Arial" w:hAnsi="Arial" w:cs="Arial"/>
          <w:sz w:val="24"/>
          <w:szCs w:val="24"/>
          <w:lang w:val="fr-FR"/>
        </w:rPr>
        <w:tab/>
      </w:r>
      <w:r w:rsidRPr="005D1973">
        <w:rPr>
          <w:rFonts w:ascii="Arial" w:hAnsi="Arial" w:cs="Arial"/>
          <w:sz w:val="24"/>
          <w:szCs w:val="24"/>
          <w:lang w:val="fr-FR"/>
        </w:rPr>
        <w:tab/>
      </w:r>
      <w:r w:rsidRPr="005D1973">
        <w:rPr>
          <w:rFonts w:ascii="Arial" w:hAnsi="Arial" w:cs="Arial"/>
          <w:sz w:val="24"/>
          <w:szCs w:val="24"/>
          <w:lang w:val="fr-FR"/>
        </w:rPr>
        <w:tab/>
      </w:r>
      <w:r w:rsidRPr="005D1973">
        <w:rPr>
          <w:rFonts w:ascii="Arial" w:hAnsi="Arial" w:cs="Arial"/>
          <w:sz w:val="24"/>
          <w:szCs w:val="24"/>
          <w:lang w:val="fr-FR"/>
        </w:rPr>
        <w:tab/>
      </w:r>
      <w:r w:rsidRPr="005D1973">
        <w:rPr>
          <w:rFonts w:ascii="Arial" w:hAnsi="Arial" w:cs="Arial"/>
          <w:sz w:val="24"/>
          <w:szCs w:val="24"/>
          <w:lang w:val="fr-FR"/>
        </w:rPr>
        <w:tab/>
      </w:r>
      <w:r w:rsidRPr="005D1973">
        <w:rPr>
          <w:rFonts w:ascii="Arial" w:hAnsi="Arial" w:cs="Arial"/>
          <w:sz w:val="24"/>
          <w:szCs w:val="24"/>
          <w:lang w:val="fr-FR"/>
        </w:rPr>
        <w:tab/>
      </w:r>
      <w:r w:rsidRPr="005D1973">
        <w:rPr>
          <w:rFonts w:ascii="Arial" w:hAnsi="Arial" w:cs="Arial"/>
          <w:sz w:val="24"/>
          <w:szCs w:val="24"/>
          <w:lang w:val="fr-FR"/>
        </w:rPr>
        <w:tab/>
      </w:r>
      <w:r w:rsidRPr="005D1973">
        <w:rPr>
          <w:rFonts w:ascii="Arial" w:hAnsi="Arial" w:cs="Arial"/>
          <w:sz w:val="24"/>
          <w:szCs w:val="24"/>
          <w:lang w:val="fr-FR"/>
        </w:rPr>
        <w:tab/>
      </w:r>
    </w:p>
    <w:p w:rsidR="00EE1961" w:rsidRPr="005D1973" w:rsidRDefault="00EE1961" w:rsidP="00C625DB">
      <w:pPr>
        <w:spacing w:after="0" w:line="240" w:lineRule="auto"/>
        <w:jc w:val="both"/>
        <w:rPr>
          <w:rFonts w:ascii="Arial" w:hAnsi="Arial" w:cs="Arial"/>
          <w:sz w:val="24"/>
          <w:szCs w:val="24"/>
          <w:lang w:val="fr-FR"/>
        </w:rPr>
      </w:pPr>
      <w:r w:rsidRPr="005D1973">
        <w:rPr>
          <w:rFonts w:ascii="Arial" w:hAnsi="Arial" w:cs="Arial"/>
          <w:sz w:val="24"/>
          <w:szCs w:val="24"/>
          <w:lang w:val="fr-FR"/>
        </w:rPr>
        <w:t>Tipuri de habitate forestiere:</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Stejăret (Quercus pubescens) pe soluri sărăturoase în stepă;</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xml:space="preserve">- Păduri stepice cu stejar </w:t>
      </w:r>
      <w:r w:rsidR="007C1699">
        <w:rPr>
          <w:rFonts w:ascii="Arial" w:hAnsi="Arial" w:cs="Arial"/>
          <w:sz w:val="24"/>
          <w:szCs w:val="24"/>
          <w:lang w:val="fr-FR"/>
        </w:rPr>
        <w:t>BR</w:t>
      </w:r>
      <w:r w:rsidRPr="005D1973">
        <w:rPr>
          <w:rFonts w:ascii="Arial" w:hAnsi="Arial" w:cs="Arial"/>
          <w:sz w:val="24"/>
          <w:szCs w:val="24"/>
          <w:lang w:val="fr-FR"/>
        </w:rPr>
        <w:t>umăriu (Quercus pedunculiflora);</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Amestec de şleau de luncă cu stejar pedunculat (Quercus robur);</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Frăsinet de haşmac (păduri dispuse în fâşii înguste) cu Fraxinus excelsior;</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Ulmet de luncă cu Ulmus campestris;</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Păduri aluviale (zăvoaie) de plopi albi (Populus alba) din luncă;</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Zăvoaie de plop negru (Populus nigra) din luncă;</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Zăvoaie amestecate de Populus alba şi P. nigra din luncă;</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Zăvoaie de salcie (Salix alba) din luncă;</w:t>
      </w:r>
    </w:p>
    <w:p w:rsidR="00EE1961" w:rsidRPr="005D1973" w:rsidRDefault="00EE1961" w:rsidP="00C625DB">
      <w:pPr>
        <w:spacing w:after="0" w:line="240" w:lineRule="auto"/>
        <w:ind w:firstLine="708"/>
        <w:jc w:val="both"/>
        <w:rPr>
          <w:rFonts w:ascii="Arial" w:hAnsi="Arial" w:cs="Arial"/>
          <w:sz w:val="24"/>
          <w:szCs w:val="24"/>
          <w:lang w:val="fr-FR"/>
        </w:rPr>
      </w:pPr>
      <w:r w:rsidRPr="005D1973">
        <w:rPr>
          <w:rFonts w:ascii="Arial" w:hAnsi="Arial" w:cs="Arial"/>
          <w:sz w:val="24"/>
          <w:szCs w:val="24"/>
          <w:lang w:val="fr-FR"/>
        </w:rPr>
        <w:t>- Zăvoaie amestecate de plopi şi salcie din luncă;</w:t>
      </w:r>
    </w:p>
    <w:p w:rsidR="00EE1961" w:rsidRPr="005D1973" w:rsidRDefault="002569BB" w:rsidP="00C625DB">
      <w:pPr>
        <w:spacing w:after="0" w:line="240" w:lineRule="auto"/>
        <w:ind w:firstLine="426"/>
        <w:jc w:val="both"/>
        <w:rPr>
          <w:rFonts w:ascii="Arial" w:hAnsi="Arial" w:cs="Arial"/>
          <w:sz w:val="24"/>
          <w:szCs w:val="24"/>
          <w:lang w:val="fr-FR"/>
        </w:rPr>
      </w:pPr>
      <w:r w:rsidRPr="005D1973">
        <w:rPr>
          <w:rFonts w:ascii="Arial" w:hAnsi="Arial" w:cs="Arial"/>
          <w:sz w:val="24"/>
          <w:szCs w:val="24"/>
          <w:lang w:val="fr-FR"/>
        </w:rPr>
        <w:t xml:space="preserve">    </w:t>
      </w:r>
      <w:r w:rsidR="00EE1961" w:rsidRPr="005D1973">
        <w:rPr>
          <w:rFonts w:ascii="Arial" w:hAnsi="Arial" w:cs="Arial"/>
          <w:sz w:val="24"/>
          <w:szCs w:val="24"/>
          <w:lang w:val="fr-FR"/>
        </w:rPr>
        <w:t>- Zăvoaie de salcie şi cătină (Tamarix ramosissima) din lunci, pe soluri sărăturoase.</w:t>
      </w:r>
    </w:p>
    <w:p w:rsidR="00EE1961" w:rsidRPr="005D1973" w:rsidRDefault="00EE1961" w:rsidP="00C625DB">
      <w:pPr>
        <w:spacing w:after="0" w:line="240" w:lineRule="auto"/>
        <w:jc w:val="both"/>
        <w:rPr>
          <w:rFonts w:ascii="Arial" w:hAnsi="Arial" w:cs="Arial"/>
          <w:sz w:val="24"/>
          <w:szCs w:val="24"/>
          <w:lang w:val="fr-FR"/>
        </w:rPr>
      </w:pPr>
    </w:p>
    <w:p w:rsidR="00EE1961" w:rsidRPr="005D1973" w:rsidRDefault="00EE1961" w:rsidP="00252ED3">
      <w:pPr>
        <w:numPr>
          <w:ilvl w:val="0"/>
          <w:numId w:val="34"/>
        </w:numPr>
        <w:spacing w:after="0" w:line="240" w:lineRule="auto"/>
        <w:ind w:left="0" w:firstLine="0"/>
        <w:jc w:val="both"/>
        <w:rPr>
          <w:rFonts w:ascii="Arial" w:hAnsi="Arial" w:cs="Arial"/>
          <w:sz w:val="24"/>
          <w:szCs w:val="24"/>
          <w:lang w:val="fr-FR"/>
        </w:rPr>
      </w:pPr>
      <w:r w:rsidRPr="005D1973">
        <w:rPr>
          <w:rFonts w:ascii="Arial" w:hAnsi="Arial" w:cs="Arial"/>
          <w:sz w:val="24"/>
          <w:szCs w:val="24"/>
          <w:lang w:val="fr-FR"/>
        </w:rPr>
        <w:t>Habitatele de pajişti (pajişti de stepă, pajişti de luncă şi tufărişuri)</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Pajiştile stepice sunt puternic modificate, cu graminee şi ierburi xerofile, printre care Festuca valesiaca (păiuş), Stipa lessingiana (colilie), Stipa capillata (năgară). Pe pârloagele stepice (terenuri agricole necultivate) sunt  întâlnite specii ca Cynodon dactylon (pir gros), </w:t>
      </w:r>
      <w:r w:rsidR="007C1699">
        <w:rPr>
          <w:rFonts w:ascii="Arial" w:eastAsia="Times New Roman" w:hAnsi="Arial" w:cs="Arial"/>
          <w:sz w:val="24"/>
          <w:szCs w:val="24"/>
          <w:lang w:eastAsia="ro-RO"/>
        </w:rPr>
        <w:t>BR</w:t>
      </w:r>
      <w:r w:rsidRPr="005D1973">
        <w:rPr>
          <w:rFonts w:ascii="Arial" w:eastAsia="Times New Roman" w:hAnsi="Arial" w:cs="Arial"/>
          <w:sz w:val="24"/>
          <w:szCs w:val="24"/>
          <w:lang w:eastAsia="ro-RO"/>
        </w:rPr>
        <w:t xml:space="preserve">omus tectorum, Salsola ruthenica şi Artemisia austriaca (peliniţă) .                                                                                 </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Habitatele de pajişti naturale sunt mai bine reprezentate în perimetrul Parcului Natural Balta Mică a </w:t>
      </w:r>
      <w:r w:rsidR="007C1699">
        <w:rPr>
          <w:rFonts w:ascii="Arial" w:eastAsia="Times New Roman" w:hAnsi="Arial" w:cs="Arial"/>
          <w:sz w:val="24"/>
          <w:szCs w:val="24"/>
          <w:lang w:eastAsia="ro-RO"/>
        </w:rPr>
        <w:t>BR</w:t>
      </w:r>
      <w:r w:rsidRPr="005D1973">
        <w:rPr>
          <w:rFonts w:ascii="Arial" w:eastAsia="Times New Roman" w:hAnsi="Arial" w:cs="Arial"/>
          <w:sz w:val="24"/>
          <w:szCs w:val="24"/>
          <w:lang w:eastAsia="ro-RO"/>
        </w:rPr>
        <w:t>ăilei, afectate în trecut de păşunatul animalelor lăsate în stare semisălbatică (vaci, cai, dar mai ales porci), precum şi de păşunatul ovinelor, prin acumularea şi descompunerea dejecţiilor de ovine, rămânând doar speciile rezistente la acidifierea solului.</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Tufărişurile au cea mai mică dezvoltare, fie aparţinând pajiştilor, fie existând izolat, pe arii restrânse, în zone de luncă cu maluri nisipoase.</w:t>
      </w:r>
    </w:p>
    <w:p w:rsidR="00EE1961" w:rsidRPr="005D1973" w:rsidRDefault="002569BB"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 </w:t>
      </w:r>
      <w:r w:rsidR="00EE1961" w:rsidRPr="005D1973">
        <w:rPr>
          <w:rFonts w:ascii="Arial" w:eastAsia="Times New Roman" w:hAnsi="Arial" w:cs="Arial"/>
          <w:sz w:val="24"/>
          <w:szCs w:val="24"/>
          <w:lang w:eastAsia="ro-RO"/>
        </w:rPr>
        <w:t>Habitatele acvatice sunt reprezentate prin:</w:t>
      </w:r>
    </w:p>
    <w:p w:rsidR="00EE1961" w:rsidRPr="005D1973" w:rsidRDefault="00EE1961" w:rsidP="00252ED3">
      <w:pPr>
        <w:pStyle w:val="ListParagraph"/>
        <w:numPr>
          <w:ilvl w:val="0"/>
          <w:numId w:val="47"/>
        </w:numPr>
        <w:jc w:val="both"/>
        <w:rPr>
          <w:rFonts w:ascii="Arial" w:hAnsi="Arial" w:cs="Arial"/>
          <w:lang w:val="fr-FR"/>
        </w:rPr>
      </w:pPr>
      <w:r w:rsidRPr="005D1973">
        <w:rPr>
          <w:rFonts w:ascii="Arial" w:hAnsi="Arial" w:cs="Arial"/>
          <w:lang w:val="fr-FR"/>
        </w:rPr>
        <w:t>lacuri (sărate şi dulci)</w:t>
      </w:r>
    </w:p>
    <w:p w:rsidR="00EE1961" w:rsidRPr="005D1973" w:rsidRDefault="00EE1961" w:rsidP="00252ED3">
      <w:pPr>
        <w:pStyle w:val="ListParagraph"/>
        <w:numPr>
          <w:ilvl w:val="0"/>
          <w:numId w:val="47"/>
        </w:numPr>
        <w:jc w:val="both"/>
        <w:rPr>
          <w:rFonts w:ascii="Arial" w:hAnsi="Arial" w:cs="Arial"/>
          <w:lang w:val="fr-FR"/>
        </w:rPr>
      </w:pPr>
      <w:r w:rsidRPr="005D1973">
        <w:rPr>
          <w:rFonts w:ascii="Arial" w:hAnsi="Arial" w:cs="Arial"/>
          <w:lang w:val="fr-FR"/>
        </w:rPr>
        <w:t>bălţi (permanente şi temporare)</w:t>
      </w:r>
    </w:p>
    <w:p w:rsidR="00EE1961" w:rsidRPr="005D1973" w:rsidRDefault="00EE1961" w:rsidP="00252ED3">
      <w:pPr>
        <w:pStyle w:val="ListParagraph"/>
        <w:numPr>
          <w:ilvl w:val="0"/>
          <w:numId w:val="47"/>
        </w:numPr>
        <w:jc w:val="both"/>
        <w:rPr>
          <w:rFonts w:ascii="Arial" w:hAnsi="Arial" w:cs="Arial"/>
          <w:lang w:val="fr-FR"/>
        </w:rPr>
      </w:pPr>
      <w:r w:rsidRPr="005D1973">
        <w:rPr>
          <w:rFonts w:ascii="Arial" w:hAnsi="Arial" w:cs="Arial"/>
          <w:lang w:val="fr-FR"/>
        </w:rPr>
        <w:t>mlaştini</w:t>
      </w:r>
    </w:p>
    <w:p w:rsidR="00EE1961" w:rsidRPr="005D1973" w:rsidRDefault="00EE1961" w:rsidP="00252ED3">
      <w:pPr>
        <w:pStyle w:val="ListParagraph"/>
        <w:numPr>
          <w:ilvl w:val="0"/>
          <w:numId w:val="47"/>
        </w:numPr>
        <w:jc w:val="both"/>
        <w:rPr>
          <w:rFonts w:ascii="Arial" w:hAnsi="Arial" w:cs="Arial"/>
          <w:lang w:val="fr-FR"/>
        </w:rPr>
      </w:pPr>
      <w:r w:rsidRPr="005D1973">
        <w:rPr>
          <w:rFonts w:ascii="Arial" w:hAnsi="Arial" w:cs="Arial"/>
          <w:lang w:val="fr-FR"/>
        </w:rPr>
        <w:t>zone mlăştinoase</w:t>
      </w:r>
    </w:p>
    <w:p w:rsidR="00EE1961" w:rsidRPr="005D1973" w:rsidRDefault="00EE1961" w:rsidP="00252ED3">
      <w:pPr>
        <w:pStyle w:val="ListParagraph"/>
        <w:numPr>
          <w:ilvl w:val="0"/>
          <w:numId w:val="47"/>
        </w:numPr>
        <w:jc w:val="both"/>
        <w:rPr>
          <w:rFonts w:ascii="Arial" w:hAnsi="Arial" w:cs="Arial"/>
          <w:lang w:val="fr-FR"/>
        </w:rPr>
      </w:pPr>
      <w:r w:rsidRPr="005D1973">
        <w:rPr>
          <w:rFonts w:ascii="Arial" w:hAnsi="Arial" w:cs="Arial"/>
          <w:lang w:val="fr-FR"/>
        </w:rPr>
        <w:t>canale</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lastRenderedPageBreak/>
        <w:t xml:space="preserve">Habitatele acvatice sunt destul de diverse, mergând ca reprezentare de la </w:t>
      </w:r>
      <w:r w:rsidR="007C1699">
        <w:rPr>
          <w:rFonts w:ascii="Arial" w:eastAsia="Times New Roman" w:hAnsi="Arial" w:cs="Arial"/>
          <w:sz w:val="24"/>
          <w:szCs w:val="24"/>
          <w:lang w:eastAsia="ro-RO"/>
        </w:rPr>
        <w:t>BR</w:t>
      </w:r>
      <w:r w:rsidRPr="005D1973">
        <w:rPr>
          <w:rFonts w:ascii="Arial" w:eastAsia="Times New Roman" w:hAnsi="Arial" w:cs="Arial"/>
          <w:sz w:val="24"/>
          <w:szCs w:val="24"/>
          <w:lang w:eastAsia="ro-RO"/>
        </w:rPr>
        <w:t>aţele Dunării şi luciile de apă din lunca inundabilă până la diverse lacuri dulci sau sărate situate pe teritoriul judeţului, fiind totodată şi cele care, în pofida impactului antropic, au conservat cel mai bine diversitatea biologică naturală caracteristică regiunii.</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Lacurile din judeţul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sunt de trei categorii: clasto-carstice (lacurile cantonate în  depresiuni de tasare în loess sau crovuri), numite şi lacuri de crov, limanuri fluviatile (lacurile de meandru) şi lacuri de luncă. </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Lacurile de meandru şi de </w:t>
      </w:r>
      <w:r w:rsidR="007C1699">
        <w:rPr>
          <w:rFonts w:ascii="Arial" w:eastAsia="Times New Roman" w:hAnsi="Arial" w:cs="Arial"/>
          <w:sz w:val="24"/>
          <w:szCs w:val="24"/>
          <w:lang w:eastAsia="ro-RO"/>
        </w:rPr>
        <w:t>BR</w:t>
      </w:r>
      <w:r w:rsidRPr="005D1973">
        <w:rPr>
          <w:rFonts w:ascii="Arial" w:eastAsia="Times New Roman" w:hAnsi="Arial" w:cs="Arial"/>
          <w:sz w:val="24"/>
          <w:szCs w:val="24"/>
          <w:lang w:eastAsia="ro-RO"/>
        </w:rPr>
        <w:t xml:space="preserve">aţ părăsit se găsesc îndeosebi în lunca Dunării (Blasova), pe terasa Călmăţuiului, precum şi în apropiere de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(Lacul Sărat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O importantă categorie a apelor de suprafaţă o constituie lacurile terapeutice sărate, cu nămol sapropelic. Acestea sunt: Lacul Sărat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Lacurile Câineni Băi şi Movila Miresii.</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Lacul Sărat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este un vechi curs al Dunării, blocat acum, situat în sudul municipiului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Apa are o salinitate mare, iar fundul lacului este acoperit cu nămol terapeutic sapropelic. Morfologic este alcătuit din două compartimente (I şi II) separate de DJ 212, acestea putând comunica la nivele mari printr-o subtraversare a drumului. Lacul Sărat I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este singurul lac terapeutic din judeţ ale cărui resurse (apă sărată și nămol sapropelic) sunt valorificate la ora actuală. Valoarea terapeutică a apei şi a nămolului este cunoscută de multă vreme de către locuitorii acestei regiuni şi din vecinătăţi.</w:t>
      </w:r>
    </w:p>
    <w:p w:rsidR="00EE1961" w:rsidRPr="005D1973" w:rsidRDefault="00EE1961" w:rsidP="00C625DB">
      <w:pPr>
        <w:spacing w:after="0" w:line="240" w:lineRule="auto"/>
        <w:jc w:val="both"/>
        <w:rPr>
          <w:rFonts w:ascii="Arial" w:hAnsi="Arial" w:cs="Arial"/>
          <w:b/>
          <w:bCs/>
          <w:sz w:val="24"/>
          <w:szCs w:val="24"/>
        </w:rPr>
      </w:pPr>
      <w:r w:rsidRPr="005D1973">
        <w:rPr>
          <w:rFonts w:ascii="Arial" w:hAnsi="Arial" w:cs="Arial"/>
          <w:b/>
          <w:bCs/>
          <w:sz w:val="24"/>
          <w:szCs w:val="24"/>
        </w:rPr>
        <w:t>Habitate de interes European</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Habitatele naturale de interes comunitar sunt acele tipuri care:</w:t>
      </w:r>
    </w:p>
    <w:p w:rsidR="00EE1961" w:rsidRPr="005D1973" w:rsidRDefault="00EE1961" w:rsidP="00C625DB">
      <w:pPr>
        <w:spacing w:after="0" w:line="240" w:lineRule="auto"/>
        <w:jc w:val="both"/>
        <w:rPr>
          <w:rFonts w:ascii="Arial" w:hAnsi="Arial" w:cs="Arial"/>
          <w:sz w:val="24"/>
          <w:szCs w:val="24"/>
          <w:lang w:val="it-IT"/>
        </w:rPr>
      </w:pPr>
      <w:r w:rsidRPr="005D1973">
        <w:rPr>
          <w:rStyle w:val="li1"/>
          <w:rFonts w:ascii="Arial" w:hAnsi="Arial" w:cs="Arial"/>
          <w:color w:val="auto"/>
          <w:sz w:val="24"/>
          <w:szCs w:val="24"/>
          <w:lang w:val="it-IT"/>
        </w:rPr>
        <w:t xml:space="preserve">a) </w:t>
      </w:r>
      <w:r w:rsidRPr="005D1973">
        <w:rPr>
          <w:rStyle w:val="tli1"/>
          <w:rFonts w:ascii="Arial" w:hAnsi="Arial" w:cs="Arial"/>
          <w:sz w:val="24"/>
          <w:szCs w:val="24"/>
          <w:lang w:val="it-IT"/>
        </w:rPr>
        <w:t>sunt în pericol de dispariţie în arealul lor natural;</w:t>
      </w:r>
    </w:p>
    <w:p w:rsidR="00EE1961" w:rsidRPr="005D1973" w:rsidRDefault="00EE1961" w:rsidP="00C625DB">
      <w:pPr>
        <w:spacing w:after="0" w:line="240" w:lineRule="auto"/>
        <w:jc w:val="both"/>
        <w:rPr>
          <w:rFonts w:ascii="Arial" w:hAnsi="Arial" w:cs="Arial"/>
          <w:sz w:val="24"/>
          <w:szCs w:val="24"/>
          <w:lang w:val="it-IT"/>
        </w:rPr>
      </w:pPr>
      <w:r w:rsidRPr="005D1973">
        <w:rPr>
          <w:rStyle w:val="li1"/>
          <w:rFonts w:ascii="Arial" w:hAnsi="Arial" w:cs="Arial"/>
          <w:color w:val="auto"/>
          <w:sz w:val="24"/>
          <w:szCs w:val="24"/>
          <w:lang w:val="it-IT"/>
        </w:rPr>
        <w:t xml:space="preserve">b) </w:t>
      </w:r>
      <w:r w:rsidRPr="005D1973">
        <w:rPr>
          <w:rStyle w:val="tli1"/>
          <w:rFonts w:ascii="Arial" w:hAnsi="Arial" w:cs="Arial"/>
          <w:sz w:val="24"/>
          <w:szCs w:val="24"/>
          <w:lang w:val="it-IT"/>
        </w:rPr>
        <w:t>au un areal natural redus ca urmare a restrângerii acestuia sau suprafaţa sa este redusă în mod natural;</w:t>
      </w:r>
    </w:p>
    <w:p w:rsidR="00EE1961" w:rsidRPr="005D1973" w:rsidRDefault="00EE1961" w:rsidP="00C625DB">
      <w:pPr>
        <w:spacing w:after="0" w:line="240" w:lineRule="auto"/>
        <w:jc w:val="both"/>
        <w:rPr>
          <w:rFonts w:ascii="Arial" w:hAnsi="Arial" w:cs="Arial"/>
          <w:sz w:val="24"/>
          <w:szCs w:val="24"/>
          <w:lang w:val="it-IT"/>
        </w:rPr>
      </w:pPr>
      <w:r w:rsidRPr="005D1973">
        <w:rPr>
          <w:rStyle w:val="li1"/>
          <w:rFonts w:ascii="Arial" w:hAnsi="Arial" w:cs="Arial"/>
          <w:color w:val="auto"/>
          <w:sz w:val="24"/>
          <w:szCs w:val="24"/>
          <w:lang w:val="it-IT"/>
        </w:rPr>
        <w:t xml:space="preserve">c) </w:t>
      </w:r>
      <w:r w:rsidRPr="005D1973">
        <w:rPr>
          <w:rStyle w:val="tli1"/>
          <w:rFonts w:ascii="Arial" w:hAnsi="Arial" w:cs="Arial"/>
          <w:sz w:val="24"/>
          <w:szCs w:val="24"/>
          <w:lang w:val="it-IT"/>
        </w:rPr>
        <w:t>sunt eşantioane reprezentative cu caracteristici tipice pentru una sau mai multe dintre cele 5 regiuni biogeografice: alpină, continentală, panonică, stepică şi pontică.</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Unele dintre acestea sunt habitate naturale prioritare deoarece sunt în pericol de dispariţie, iar pentru conservarea lor Uniunea Europeană are o responsabilitate particulară, ţinând cont de proporţia arealului lor natural de răspândire.</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Dintre habitatele protejate pe plan european pentru conservarea unor specii de floră şi faună rare sau pe cale de dispariţie, cele caracteristice zonelor umede sunt cel mai bine reprezentate, diversitatea cea mai mare existând în lunca inundabilă a Dunării.</w:t>
      </w:r>
    </w:p>
    <w:p w:rsidR="00EE1961" w:rsidRPr="005D1973" w:rsidRDefault="00EE1961" w:rsidP="00C625DB">
      <w:pPr>
        <w:spacing w:after="0" w:line="240" w:lineRule="auto"/>
        <w:jc w:val="both"/>
        <w:rPr>
          <w:rFonts w:ascii="Arial" w:hAnsi="Arial" w:cs="Arial"/>
          <w:sz w:val="24"/>
          <w:szCs w:val="24"/>
          <w:lang w:val="pt-BR"/>
        </w:rPr>
      </w:pPr>
    </w:p>
    <w:p w:rsidR="00EE1961" w:rsidRPr="005D1973" w:rsidRDefault="00EE1961" w:rsidP="00C625DB">
      <w:pPr>
        <w:spacing w:after="0" w:line="240" w:lineRule="auto"/>
        <w:jc w:val="both"/>
        <w:rPr>
          <w:rFonts w:ascii="Arial" w:hAnsi="Arial" w:cs="Arial"/>
          <w:sz w:val="24"/>
          <w:szCs w:val="24"/>
        </w:rPr>
      </w:pPr>
      <w:r w:rsidRPr="005D1973">
        <w:rPr>
          <w:rFonts w:ascii="Arial" w:hAnsi="Arial" w:cs="Arial"/>
          <w:sz w:val="24"/>
          <w:szCs w:val="24"/>
          <w:lang w:val="pt-BR"/>
        </w:rPr>
        <w:t> </w:t>
      </w:r>
      <w:r w:rsidRPr="00202088">
        <w:rPr>
          <w:rFonts w:ascii="Arial" w:hAnsi="Arial" w:cs="Arial"/>
          <w:sz w:val="24"/>
          <w:szCs w:val="24"/>
        </w:rPr>
        <w:t>Tabel nr. V-1.</w:t>
      </w:r>
      <w:r w:rsidRPr="005D1973">
        <w:rPr>
          <w:rFonts w:ascii="Arial" w:hAnsi="Arial" w:cs="Arial"/>
          <w:sz w:val="24"/>
          <w:szCs w:val="24"/>
        </w:rPr>
        <w:t xml:space="preserve"> Inventarul tipurilor de habitate de interes comunitar identificate în judeţul </w:t>
      </w:r>
      <w:r w:rsidR="00217620">
        <w:rPr>
          <w:rFonts w:ascii="Arial" w:hAnsi="Arial" w:cs="Arial"/>
          <w:sz w:val="24"/>
          <w:szCs w:val="24"/>
        </w:rPr>
        <w:t>Brăila</w:t>
      </w:r>
    </w:p>
    <w:tbl>
      <w:tblPr>
        <w:tblW w:w="9591" w:type="dxa"/>
        <w:jc w:val="center"/>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528"/>
        <w:gridCol w:w="3534"/>
        <w:gridCol w:w="1111"/>
        <w:gridCol w:w="4418"/>
      </w:tblGrid>
      <w:tr w:rsidR="00EE1961" w:rsidRPr="005D1973" w:rsidTr="00E71D51">
        <w:trPr>
          <w:trHeight w:val="557"/>
          <w:jc w:val="center"/>
        </w:trPr>
        <w:tc>
          <w:tcPr>
            <w:tcW w:w="52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Nr. crt.</w:t>
            </w:r>
          </w:p>
        </w:tc>
        <w:tc>
          <w:tcPr>
            <w:tcW w:w="35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1961" w:rsidRPr="005D1973" w:rsidRDefault="00EE1961" w:rsidP="00C625DB">
            <w:pPr>
              <w:pStyle w:val="Footer"/>
              <w:jc w:val="center"/>
              <w:rPr>
                <w:rFonts w:ascii="Arial" w:hAnsi="Arial" w:cs="Arial"/>
                <w:sz w:val="24"/>
                <w:szCs w:val="24"/>
              </w:rPr>
            </w:pPr>
            <w:r w:rsidRPr="005D1973">
              <w:rPr>
                <w:rFonts w:ascii="Arial" w:hAnsi="Arial" w:cs="Arial"/>
                <w:sz w:val="24"/>
                <w:szCs w:val="24"/>
              </w:rPr>
              <w:t>Tip habitat</w:t>
            </w:r>
          </w:p>
          <w:p w:rsidR="00EE1961" w:rsidRPr="005D1973" w:rsidRDefault="00EE1961" w:rsidP="00C625DB">
            <w:pPr>
              <w:pStyle w:val="Footer"/>
              <w:jc w:val="center"/>
              <w:rPr>
                <w:rFonts w:ascii="Arial" w:hAnsi="Arial" w:cs="Arial"/>
                <w:sz w:val="24"/>
                <w:szCs w:val="24"/>
              </w:rPr>
            </w:pPr>
            <w:r w:rsidRPr="005D1973">
              <w:rPr>
                <w:rFonts w:ascii="Arial" w:hAnsi="Arial" w:cs="Arial"/>
                <w:sz w:val="24"/>
                <w:szCs w:val="24"/>
              </w:rPr>
              <w:t>conform OUG 57/2007</w:t>
            </w:r>
          </w:p>
        </w:tc>
        <w:tc>
          <w:tcPr>
            <w:tcW w:w="11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Cod</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Natura</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2000</w:t>
            </w:r>
          </w:p>
        </w:tc>
        <w:tc>
          <w:tcPr>
            <w:tcW w:w="441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E1961" w:rsidRPr="005D1973" w:rsidRDefault="00EE1961" w:rsidP="00C625DB">
            <w:pPr>
              <w:pStyle w:val="Footer"/>
              <w:jc w:val="center"/>
              <w:rPr>
                <w:rFonts w:ascii="Arial" w:hAnsi="Arial" w:cs="Arial"/>
                <w:sz w:val="24"/>
                <w:szCs w:val="24"/>
              </w:rPr>
            </w:pPr>
            <w:r w:rsidRPr="005D1973">
              <w:rPr>
                <w:rFonts w:ascii="Arial" w:hAnsi="Arial" w:cs="Arial"/>
                <w:sz w:val="24"/>
                <w:szCs w:val="24"/>
              </w:rPr>
              <w:t>Zona în care a fost identificat</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Comunităţi cu Salicornia şi alte specii anuale care colonizează terenurile umede şi nisipoase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1310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 xml:space="preserve">Balta Albă, Lacul Jirlău, Lacul Sărat Câineni, Lacul Movila Miresii, Comăneasca, Lacul Sărat </w:t>
            </w:r>
            <w:r w:rsidR="00217620">
              <w:rPr>
                <w:rFonts w:ascii="Arial" w:hAnsi="Arial" w:cs="Arial"/>
                <w:sz w:val="24"/>
                <w:szCs w:val="24"/>
              </w:rPr>
              <w:t>Brăila</w:t>
            </w:r>
            <w:r w:rsidRPr="005D1973">
              <w:rPr>
                <w:rFonts w:ascii="Arial" w:hAnsi="Arial" w:cs="Arial"/>
                <w:sz w:val="24"/>
                <w:szCs w:val="24"/>
              </w:rPr>
              <w:t xml:space="preserve">, Mihai </w:t>
            </w:r>
            <w:r w:rsidR="007C1699">
              <w:rPr>
                <w:rFonts w:ascii="Arial" w:hAnsi="Arial" w:cs="Arial"/>
                <w:sz w:val="24"/>
                <w:szCs w:val="24"/>
              </w:rPr>
              <w:t>BR</w:t>
            </w:r>
            <w:r w:rsidRPr="005D1973">
              <w:rPr>
                <w:rFonts w:ascii="Arial" w:hAnsi="Arial" w:cs="Arial"/>
                <w:sz w:val="24"/>
                <w:szCs w:val="24"/>
              </w:rPr>
              <w:t>avu</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Stepe şi mlaştini sărăturate panonice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1530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 xml:space="preserve">Balta Albă, Lacul Jirlău, Lacul Sărat Câineni, Valea Călmăţuiului, Lacul Movila Miresii, Comăneasca, Lacul Sărat </w:t>
            </w:r>
            <w:r w:rsidR="00217620">
              <w:rPr>
                <w:rFonts w:ascii="Arial" w:hAnsi="Arial" w:cs="Arial"/>
                <w:sz w:val="24"/>
                <w:szCs w:val="24"/>
              </w:rPr>
              <w:t>Brăila</w:t>
            </w:r>
            <w:r w:rsidRPr="005D1973">
              <w:rPr>
                <w:rFonts w:ascii="Arial" w:hAnsi="Arial" w:cs="Arial"/>
                <w:sz w:val="24"/>
                <w:szCs w:val="24"/>
              </w:rPr>
              <w:t xml:space="preserve">, lunca Buzăului, Mihai </w:t>
            </w:r>
            <w:r w:rsidR="007C1699">
              <w:rPr>
                <w:rFonts w:ascii="Arial" w:hAnsi="Arial" w:cs="Arial"/>
                <w:sz w:val="24"/>
                <w:szCs w:val="24"/>
              </w:rPr>
              <w:t>BR</w:t>
            </w:r>
            <w:r w:rsidRPr="005D1973">
              <w:rPr>
                <w:rFonts w:ascii="Arial" w:hAnsi="Arial" w:cs="Arial"/>
                <w:sz w:val="24"/>
                <w:szCs w:val="24"/>
              </w:rPr>
              <w:t>avu</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Ape stătătoare, oligotrofe până la mezotrofe cu vegetaţie din Litorelletea uniflorae şi/sau Isoeto-Nanojuncetea</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en-US"/>
              </w:rPr>
            </w:pPr>
            <w:r w:rsidRPr="005D1973">
              <w:rPr>
                <w:rFonts w:ascii="Arial" w:hAnsi="Arial" w:cs="Arial"/>
                <w:sz w:val="24"/>
                <w:szCs w:val="24"/>
                <w:lang w:val="en-US"/>
              </w:rPr>
              <w:t>3130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 xml:space="preserve">Parcul Natural Balta Mică a </w:t>
            </w:r>
            <w:r w:rsidR="007C1699">
              <w:rPr>
                <w:rFonts w:ascii="Arial" w:hAnsi="Arial" w:cs="Arial"/>
                <w:sz w:val="24"/>
                <w:szCs w:val="24"/>
                <w:lang w:val="it-IT"/>
              </w:rPr>
              <w:t>BR</w:t>
            </w:r>
            <w:r w:rsidRPr="005D1973">
              <w:rPr>
                <w:rFonts w:ascii="Arial" w:hAnsi="Arial" w:cs="Arial"/>
                <w:sz w:val="24"/>
                <w:szCs w:val="24"/>
                <w:lang w:val="it-IT"/>
              </w:rPr>
              <w:t xml:space="preserve">ăilei (PNBMB), lunca </w:t>
            </w:r>
            <w:r w:rsidR="007C1699">
              <w:rPr>
                <w:rFonts w:ascii="Arial" w:hAnsi="Arial" w:cs="Arial"/>
                <w:sz w:val="24"/>
                <w:szCs w:val="24"/>
                <w:lang w:val="it-IT"/>
              </w:rPr>
              <w:t>BR</w:t>
            </w:r>
            <w:r w:rsidRPr="005D1973">
              <w:rPr>
                <w:rFonts w:ascii="Arial" w:hAnsi="Arial" w:cs="Arial"/>
                <w:sz w:val="24"/>
                <w:szCs w:val="24"/>
                <w:lang w:val="it-IT"/>
              </w:rPr>
              <w:t>aţului Măcin</w:t>
            </w:r>
            <w:r w:rsidRPr="005D1973">
              <w:rPr>
                <w:rFonts w:ascii="Arial" w:hAnsi="Arial" w:cs="Arial"/>
                <w:sz w:val="24"/>
                <w:szCs w:val="24"/>
              </w:rPr>
              <w:t>, lunca Buzăului</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pt-BR"/>
              </w:rPr>
            </w:pPr>
            <w:r w:rsidRPr="005D1973">
              <w:rPr>
                <w:rFonts w:ascii="Arial" w:hAnsi="Arial" w:cs="Arial"/>
                <w:sz w:val="24"/>
                <w:szCs w:val="24"/>
                <w:lang w:val="pt-BR"/>
              </w:rPr>
              <w:t xml:space="preserve">Ape puternic oligo-mezotrofice cu vegetaţie bentonică de </w:t>
            </w:r>
            <w:r w:rsidRPr="005D1973">
              <w:rPr>
                <w:rFonts w:ascii="Arial" w:hAnsi="Arial" w:cs="Arial"/>
                <w:sz w:val="24"/>
                <w:szCs w:val="24"/>
                <w:lang w:val="pt-BR"/>
              </w:rPr>
              <w:lastRenderedPageBreak/>
              <w:t>Chara sp.</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lastRenderedPageBreak/>
              <w:t>3140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Balta Albă, Lacul Jirlău, Lacul Sărat Câineni</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Lacuri eutrofe naturale cu vegetaţie de tip Magnopotamion sau Hydrocarition</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fr-FR"/>
              </w:rPr>
            </w:pPr>
            <w:r w:rsidRPr="005D1973">
              <w:rPr>
                <w:rFonts w:ascii="Arial" w:hAnsi="Arial" w:cs="Arial"/>
                <w:sz w:val="24"/>
                <w:szCs w:val="24"/>
                <w:lang w:val="fr-FR"/>
              </w:rPr>
              <w:t>3150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fr-FR"/>
              </w:rPr>
            </w:pPr>
            <w:r w:rsidRPr="005D1973">
              <w:rPr>
                <w:rFonts w:ascii="Arial" w:hAnsi="Arial" w:cs="Arial"/>
                <w:sz w:val="24"/>
                <w:szCs w:val="24"/>
                <w:lang w:val="fr-FR"/>
              </w:rPr>
              <w:t>PNBMB: lacuri şi bălti,</w:t>
            </w:r>
          </w:p>
          <w:p w:rsidR="00EE1961" w:rsidRPr="005D1973" w:rsidRDefault="00EE1961" w:rsidP="00C625DB">
            <w:pPr>
              <w:spacing w:after="0" w:line="240" w:lineRule="auto"/>
              <w:rPr>
                <w:rFonts w:ascii="Arial" w:hAnsi="Arial" w:cs="Arial"/>
                <w:sz w:val="24"/>
                <w:szCs w:val="24"/>
                <w:lang w:val="fr-FR"/>
              </w:rPr>
            </w:pPr>
            <w:r w:rsidRPr="005D1973">
              <w:rPr>
                <w:rFonts w:ascii="Arial" w:hAnsi="Arial" w:cs="Arial"/>
                <w:sz w:val="24"/>
                <w:szCs w:val="24"/>
                <w:lang w:val="fr-FR"/>
              </w:rPr>
              <w:t>mlaştini împădurite</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fr-FR"/>
              </w:rPr>
            </w:pPr>
            <w:r w:rsidRPr="005D1973">
              <w:rPr>
                <w:rFonts w:ascii="Arial" w:hAnsi="Arial" w:cs="Arial"/>
                <w:sz w:val="24"/>
                <w:szCs w:val="24"/>
                <w:lang w:val="fr-FR"/>
              </w:rPr>
              <w:t>Cursuri  de apă din zona de câmpie până în etajul montan, cu vegetaţie din Ranunculion fluitantis şi Callitricho-Batrachion</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fr-FR"/>
              </w:rPr>
            </w:pPr>
            <w:r w:rsidRPr="005D1973">
              <w:rPr>
                <w:rFonts w:ascii="Arial" w:hAnsi="Arial" w:cs="Arial"/>
                <w:sz w:val="24"/>
                <w:szCs w:val="24"/>
                <w:lang w:val="fr-FR"/>
              </w:rPr>
              <w:t>3260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fr-FR"/>
              </w:rPr>
            </w:pPr>
            <w:r w:rsidRPr="005D1973">
              <w:rPr>
                <w:rFonts w:ascii="Arial" w:hAnsi="Arial" w:cs="Arial"/>
                <w:sz w:val="24"/>
                <w:szCs w:val="24"/>
                <w:lang w:val="fr-FR"/>
              </w:rPr>
              <w:t>Lunca Siretului</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fr-FR"/>
              </w:rPr>
            </w:pPr>
            <w:r w:rsidRPr="005D1973">
              <w:rPr>
                <w:rFonts w:ascii="Arial" w:hAnsi="Arial" w:cs="Arial"/>
                <w:sz w:val="24"/>
                <w:szCs w:val="24"/>
                <w:lang w:val="fr-FR"/>
              </w:rPr>
              <w:t>Râuri cu maluri nămoloase cu vegetaţie de Chenopodion ru</w:t>
            </w:r>
            <w:r w:rsidR="007C1699">
              <w:rPr>
                <w:rFonts w:ascii="Arial" w:hAnsi="Arial" w:cs="Arial"/>
                <w:sz w:val="24"/>
                <w:szCs w:val="24"/>
                <w:lang w:val="fr-FR"/>
              </w:rPr>
              <w:t>BR</w:t>
            </w:r>
            <w:r w:rsidRPr="005D1973">
              <w:rPr>
                <w:rFonts w:ascii="Arial" w:hAnsi="Arial" w:cs="Arial"/>
                <w:sz w:val="24"/>
                <w:szCs w:val="24"/>
                <w:lang w:val="fr-FR"/>
              </w:rPr>
              <w:t>i si Bidention</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fr-FR"/>
              </w:rPr>
            </w:pPr>
            <w:r w:rsidRPr="005D1973">
              <w:rPr>
                <w:rFonts w:ascii="Arial" w:hAnsi="Arial" w:cs="Arial"/>
                <w:sz w:val="24"/>
                <w:szCs w:val="24"/>
                <w:lang w:val="fr-FR"/>
              </w:rPr>
              <w:t>3270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fr-FR"/>
              </w:rPr>
            </w:pPr>
            <w:r w:rsidRPr="005D1973">
              <w:rPr>
                <w:rFonts w:ascii="Arial" w:hAnsi="Arial" w:cs="Arial"/>
                <w:sz w:val="24"/>
                <w:szCs w:val="24"/>
                <w:lang w:val="fr-FR"/>
              </w:rPr>
              <w:t xml:space="preserve">PNBMB-canale cu maluri aluviale, lunca </w:t>
            </w:r>
            <w:r w:rsidR="007C1699">
              <w:rPr>
                <w:rFonts w:ascii="Arial" w:hAnsi="Arial" w:cs="Arial"/>
                <w:sz w:val="24"/>
                <w:szCs w:val="24"/>
                <w:lang w:val="fr-FR"/>
              </w:rPr>
              <w:t>BR</w:t>
            </w:r>
            <w:r w:rsidRPr="005D1973">
              <w:rPr>
                <w:rFonts w:ascii="Arial" w:hAnsi="Arial" w:cs="Arial"/>
                <w:sz w:val="24"/>
                <w:szCs w:val="24"/>
                <w:lang w:val="fr-FR"/>
              </w:rPr>
              <w:t>aţului Măcin, lunca Siretului</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en-US"/>
              </w:rPr>
            </w:pPr>
            <w:r w:rsidRPr="005D1973">
              <w:rPr>
                <w:rFonts w:ascii="Arial" w:hAnsi="Arial" w:cs="Arial"/>
                <w:sz w:val="24"/>
                <w:szCs w:val="24"/>
                <w:lang w:val="en-US"/>
              </w:rPr>
              <w:t>Stepe ponto-sarmatice -</w:t>
            </w:r>
            <w:r w:rsidRPr="005D1973">
              <w:rPr>
                <w:rFonts w:ascii="Arial" w:hAnsi="Arial" w:cs="Arial"/>
                <w:sz w:val="24"/>
                <w:szCs w:val="24"/>
                <w:u w:val="single"/>
                <w:lang w:val="fr-FR"/>
              </w:rPr>
              <w:t xml:space="preserve"> habitat prioritar</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en-US"/>
              </w:rPr>
            </w:pPr>
            <w:r w:rsidRPr="005D1973">
              <w:rPr>
                <w:rFonts w:ascii="Arial" w:hAnsi="Arial" w:cs="Arial"/>
                <w:sz w:val="24"/>
                <w:szCs w:val="24"/>
                <w:lang w:val="en-US"/>
              </w:rPr>
              <w:t>62CO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 xml:space="preserve">lunca </w:t>
            </w:r>
            <w:r w:rsidR="007C1699">
              <w:rPr>
                <w:rFonts w:ascii="Arial" w:hAnsi="Arial" w:cs="Arial"/>
                <w:sz w:val="24"/>
                <w:szCs w:val="24"/>
                <w:lang w:val="it-IT"/>
              </w:rPr>
              <w:t>BR</w:t>
            </w:r>
            <w:r w:rsidRPr="005D1973">
              <w:rPr>
                <w:rFonts w:ascii="Arial" w:hAnsi="Arial" w:cs="Arial"/>
                <w:sz w:val="24"/>
                <w:szCs w:val="24"/>
                <w:lang w:val="it-IT"/>
              </w:rPr>
              <w:t>aţului Măcin</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Pajişti cu Molinia pe soluri calcaroase, turboase sau argiloase (Molinion caeruleae)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it-IT"/>
              </w:rPr>
            </w:pPr>
            <w:r w:rsidRPr="005D1973">
              <w:rPr>
                <w:rFonts w:ascii="Arial" w:hAnsi="Arial" w:cs="Arial"/>
                <w:sz w:val="24"/>
                <w:szCs w:val="24"/>
                <w:lang w:val="it-IT"/>
              </w:rPr>
              <w:t>6410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PNBMB - Mlaştini cu vegetaţie de Molinia pe soluri luto-argiloase</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Asociaţii de lizieră cu ierburi înalte higrofile de la nivelul câmpiilor până la cel montan şi alpin</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it-IT"/>
              </w:rPr>
            </w:pPr>
            <w:r w:rsidRPr="005D1973">
              <w:rPr>
                <w:rFonts w:ascii="Arial" w:hAnsi="Arial" w:cs="Arial"/>
                <w:sz w:val="24"/>
                <w:szCs w:val="24"/>
                <w:lang w:val="it-IT"/>
              </w:rPr>
              <w:t>6430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 xml:space="preserve">PNBMB,  lunca </w:t>
            </w:r>
            <w:r w:rsidR="007C1699">
              <w:rPr>
                <w:rFonts w:ascii="Arial" w:hAnsi="Arial" w:cs="Arial"/>
                <w:sz w:val="24"/>
                <w:szCs w:val="24"/>
                <w:lang w:val="it-IT"/>
              </w:rPr>
              <w:t>BR</w:t>
            </w:r>
            <w:r w:rsidRPr="005D1973">
              <w:rPr>
                <w:rFonts w:ascii="Arial" w:hAnsi="Arial" w:cs="Arial"/>
                <w:sz w:val="24"/>
                <w:szCs w:val="24"/>
                <w:lang w:val="it-IT"/>
              </w:rPr>
              <w:t>aţului Măcin</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Pajişti aluviale din Cnidion dubii</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it-IT"/>
              </w:rPr>
            </w:pPr>
            <w:r w:rsidRPr="005D1973">
              <w:rPr>
                <w:rFonts w:ascii="Arial" w:hAnsi="Arial" w:cs="Arial"/>
                <w:sz w:val="24"/>
                <w:szCs w:val="24"/>
                <w:lang w:val="it-IT"/>
              </w:rPr>
              <w:t>6440</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 xml:space="preserve">PNBMB - mlaştini de-a lungul văii Dunării; lunca </w:t>
            </w:r>
            <w:r w:rsidR="007C1699">
              <w:rPr>
                <w:rFonts w:ascii="Arial" w:hAnsi="Arial" w:cs="Arial"/>
                <w:sz w:val="24"/>
                <w:szCs w:val="24"/>
                <w:lang w:val="it-IT"/>
              </w:rPr>
              <w:t>BR</w:t>
            </w:r>
            <w:r w:rsidRPr="005D1973">
              <w:rPr>
                <w:rFonts w:ascii="Arial" w:hAnsi="Arial" w:cs="Arial"/>
                <w:sz w:val="24"/>
                <w:szCs w:val="24"/>
                <w:lang w:val="it-IT"/>
              </w:rPr>
              <w:t>aţului Măcin, lunca Siretului</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Pajişti de altitudine joasă (Alopecurus pratensis, Sanguisorba officinalis)</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E1961" w:rsidRPr="005D1973" w:rsidRDefault="00EE1961" w:rsidP="00C625DB">
            <w:pPr>
              <w:spacing w:after="0" w:line="240" w:lineRule="auto"/>
              <w:jc w:val="center"/>
              <w:rPr>
                <w:rFonts w:ascii="Arial" w:hAnsi="Arial" w:cs="Arial"/>
                <w:sz w:val="24"/>
                <w:szCs w:val="24"/>
                <w:lang w:val="it-IT"/>
              </w:rPr>
            </w:pPr>
            <w:r w:rsidRPr="005D1973">
              <w:rPr>
                <w:rFonts w:ascii="Arial" w:hAnsi="Arial" w:cs="Arial"/>
                <w:sz w:val="24"/>
                <w:szCs w:val="24"/>
                <w:lang w:val="it-IT"/>
              </w:rPr>
              <w:t>6510</w:t>
            </w:r>
          </w:p>
          <w:p w:rsidR="00EE1961" w:rsidRPr="005D1973" w:rsidRDefault="00EE1961" w:rsidP="00C625DB">
            <w:pPr>
              <w:spacing w:after="0" w:line="240" w:lineRule="auto"/>
              <w:jc w:val="center"/>
              <w:rPr>
                <w:rFonts w:ascii="Arial" w:hAnsi="Arial" w:cs="Arial"/>
                <w:sz w:val="24"/>
                <w:szCs w:val="24"/>
                <w:lang w:val="it-IT"/>
              </w:rPr>
            </w:pP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PNBMB - păşuni umede, depresiuni mlăştinoase;</w:t>
            </w:r>
          </w:p>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 xml:space="preserve"> lunca </w:t>
            </w:r>
            <w:r w:rsidR="007C1699">
              <w:rPr>
                <w:rFonts w:ascii="Arial" w:hAnsi="Arial" w:cs="Arial"/>
                <w:sz w:val="24"/>
                <w:szCs w:val="24"/>
                <w:lang w:val="it-IT"/>
              </w:rPr>
              <w:t>BR</w:t>
            </w:r>
            <w:r w:rsidRPr="005D1973">
              <w:rPr>
                <w:rFonts w:ascii="Arial" w:hAnsi="Arial" w:cs="Arial"/>
                <w:sz w:val="24"/>
                <w:szCs w:val="24"/>
                <w:lang w:val="it-IT"/>
              </w:rPr>
              <w:t>aţului Măcin</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Păduri  aluviale cu Alnus glutinosa şi Fraxinus excelsior (Alno-Padion, Alnion incanae, Salicion albae)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it-IT"/>
              </w:rPr>
            </w:pPr>
            <w:r w:rsidRPr="005D1973">
              <w:rPr>
                <w:rFonts w:ascii="Arial" w:hAnsi="Arial" w:cs="Arial"/>
                <w:sz w:val="24"/>
                <w:szCs w:val="24"/>
                <w:lang w:val="it-IT"/>
              </w:rPr>
              <w:t>91EO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fr-FR"/>
              </w:rPr>
              <w:t>Lunca Siretului</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it-IT"/>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Păduri mixte cu Quercus robur, Ulmus laevis, Fraxinus excelsior sau Fraxinus angustifolia, din lungul marilor râuri (Ulmenion minoris)</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fr-FR"/>
              </w:rPr>
            </w:pPr>
            <w:r w:rsidRPr="005D1973">
              <w:rPr>
                <w:rFonts w:ascii="Arial" w:hAnsi="Arial" w:cs="Arial"/>
                <w:sz w:val="24"/>
                <w:szCs w:val="24"/>
                <w:lang w:val="fr-FR"/>
              </w:rPr>
              <w:t>91FO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fr-FR"/>
              </w:rPr>
            </w:pPr>
            <w:r w:rsidRPr="005D1973">
              <w:rPr>
                <w:rFonts w:ascii="Arial" w:hAnsi="Arial" w:cs="Arial"/>
                <w:sz w:val="24"/>
                <w:szCs w:val="24"/>
                <w:lang w:val="fr-FR"/>
              </w:rPr>
              <w:t>PNBMB</w:t>
            </w:r>
            <w:r w:rsidRPr="005D1973">
              <w:rPr>
                <w:rFonts w:ascii="Arial" w:hAnsi="Arial" w:cs="Arial"/>
                <w:sz w:val="24"/>
                <w:szCs w:val="24"/>
                <w:lang w:val="it-IT"/>
              </w:rPr>
              <w:t>,</w:t>
            </w:r>
            <w:r w:rsidRPr="005D1973">
              <w:rPr>
                <w:rFonts w:ascii="Arial" w:hAnsi="Arial" w:cs="Arial"/>
                <w:sz w:val="24"/>
                <w:szCs w:val="24"/>
                <w:lang w:val="fr-FR"/>
              </w:rPr>
              <w:t xml:space="preserve"> lunca Siretului</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fr-FR"/>
              </w:rPr>
            </w:pPr>
            <w:r w:rsidRPr="005D1973">
              <w:rPr>
                <w:rFonts w:ascii="Arial" w:hAnsi="Arial" w:cs="Arial"/>
                <w:sz w:val="24"/>
                <w:szCs w:val="24"/>
                <w:lang w:val="fr-FR"/>
              </w:rPr>
              <w:t>Galerii cu Salix alba şi Populus alba</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fr-FR"/>
              </w:rPr>
            </w:pPr>
            <w:r w:rsidRPr="005D1973">
              <w:rPr>
                <w:rFonts w:ascii="Arial" w:hAnsi="Arial" w:cs="Arial"/>
                <w:sz w:val="24"/>
                <w:szCs w:val="24"/>
                <w:lang w:val="fr-FR"/>
              </w:rPr>
              <w:t>92AO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fr-FR"/>
              </w:rPr>
            </w:pPr>
            <w:r w:rsidRPr="005D1973">
              <w:rPr>
                <w:rFonts w:ascii="Arial" w:hAnsi="Arial" w:cs="Arial"/>
                <w:sz w:val="24"/>
                <w:szCs w:val="24"/>
                <w:lang w:val="fr-FR"/>
              </w:rPr>
              <w:t xml:space="preserve">PNBMB, lunca </w:t>
            </w:r>
            <w:r w:rsidR="007C1699">
              <w:rPr>
                <w:rFonts w:ascii="Arial" w:hAnsi="Arial" w:cs="Arial"/>
                <w:sz w:val="24"/>
                <w:szCs w:val="24"/>
                <w:lang w:val="fr-FR"/>
              </w:rPr>
              <w:t>BR</w:t>
            </w:r>
            <w:r w:rsidRPr="005D1973">
              <w:rPr>
                <w:rFonts w:ascii="Arial" w:hAnsi="Arial" w:cs="Arial"/>
                <w:sz w:val="24"/>
                <w:szCs w:val="24"/>
                <w:lang w:val="fr-FR"/>
              </w:rPr>
              <w:t>aţului Măcin, lunca Buzăului, lunca Siretului</w:t>
            </w:r>
          </w:p>
        </w:tc>
      </w:tr>
      <w:tr w:rsidR="00EE1961" w:rsidRPr="005D1973" w:rsidTr="00E71D51">
        <w:trPr>
          <w:jc w:val="center"/>
        </w:trPr>
        <w:tc>
          <w:tcPr>
            <w:tcW w:w="52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1961" w:rsidRPr="005D1973" w:rsidRDefault="00EE1961" w:rsidP="00252ED3">
            <w:pPr>
              <w:numPr>
                <w:ilvl w:val="0"/>
                <w:numId w:val="21"/>
              </w:numPr>
              <w:spacing w:after="0" w:line="240" w:lineRule="auto"/>
              <w:jc w:val="both"/>
              <w:rPr>
                <w:rFonts w:ascii="Arial" w:hAnsi="Arial" w:cs="Arial"/>
                <w:sz w:val="24"/>
                <w:szCs w:val="24"/>
                <w:lang w:val="fr-FR"/>
              </w:rPr>
            </w:pPr>
          </w:p>
        </w:tc>
        <w:tc>
          <w:tcPr>
            <w:tcW w:w="35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lang w:val="it-IT"/>
              </w:rPr>
              <w:t>Galerii  ripariene  şi tufărişuri (Nerio-Tamaricetea şi Securinegion tinctoriae)</w:t>
            </w:r>
          </w:p>
        </w:tc>
        <w:tc>
          <w:tcPr>
            <w:tcW w:w="11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jc w:val="center"/>
              <w:rPr>
                <w:rFonts w:ascii="Arial" w:hAnsi="Arial" w:cs="Arial"/>
                <w:sz w:val="24"/>
                <w:szCs w:val="24"/>
                <w:lang w:val="fr-FR"/>
              </w:rPr>
            </w:pPr>
            <w:r w:rsidRPr="005D1973">
              <w:rPr>
                <w:rFonts w:ascii="Arial" w:hAnsi="Arial" w:cs="Arial"/>
                <w:sz w:val="24"/>
                <w:szCs w:val="24"/>
                <w:lang w:val="fr-FR"/>
              </w:rPr>
              <w:t>92DO</w:t>
            </w:r>
          </w:p>
        </w:tc>
        <w:tc>
          <w:tcPr>
            <w:tcW w:w="4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sz w:val="24"/>
                <w:szCs w:val="24"/>
              </w:rPr>
              <w:t>lunca Buzăului</w:t>
            </w:r>
          </w:p>
        </w:tc>
      </w:tr>
    </w:tbl>
    <w:p w:rsidR="00EE1961" w:rsidRPr="005D1973" w:rsidRDefault="00EE1961" w:rsidP="00C625DB">
      <w:pPr>
        <w:spacing w:after="0" w:line="240" w:lineRule="auto"/>
        <w:jc w:val="both"/>
        <w:rPr>
          <w:rFonts w:ascii="Arial" w:hAnsi="Arial" w:cs="Arial"/>
          <w:sz w:val="24"/>
          <w:szCs w:val="24"/>
          <w:lang w:val="it-IT"/>
        </w:rPr>
      </w:pPr>
    </w:p>
    <w:p w:rsidR="00EE1961" w:rsidRPr="005D1973" w:rsidRDefault="00EE1961" w:rsidP="00C625DB">
      <w:pPr>
        <w:spacing w:after="0" w:line="240" w:lineRule="auto"/>
        <w:jc w:val="both"/>
        <w:rPr>
          <w:rFonts w:ascii="Arial" w:hAnsi="Arial" w:cs="Arial"/>
          <w:b/>
          <w:sz w:val="24"/>
          <w:szCs w:val="24"/>
          <w:lang w:val="it-IT"/>
        </w:rPr>
      </w:pPr>
      <w:r w:rsidRPr="005D1973">
        <w:rPr>
          <w:rFonts w:ascii="Arial" w:hAnsi="Arial" w:cs="Arial"/>
          <w:b/>
          <w:sz w:val="24"/>
          <w:szCs w:val="24"/>
          <w:lang w:val="it-IT"/>
        </w:rPr>
        <w:t>Flora sălbatică</w:t>
      </w:r>
    </w:p>
    <w:p w:rsidR="00A055FA" w:rsidRPr="005D1973" w:rsidRDefault="00EE1961" w:rsidP="00C625DB">
      <w:pPr>
        <w:pStyle w:val="BodyText2"/>
        <w:spacing w:after="0" w:line="240" w:lineRule="auto"/>
        <w:ind w:firstLine="708"/>
        <w:jc w:val="both"/>
        <w:rPr>
          <w:rFonts w:ascii="Arial" w:hAnsi="Arial" w:cs="Arial"/>
          <w:lang w:val="ro-RO"/>
        </w:rPr>
      </w:pPr>
      <w:r w:rsidRPr="005D1973">
        <w:rPr>
          <w:rFonts w:ascii="Arial" w:hAnsi="Arial" w:cs="Arial"/>
          <w:lang w:val="ro-RO"/>
        </w:rPr>
        <w:t xml:space="preserve">Într-un trecut mai îndepărtat vegetaţia caracteristică din judeţul </w:t>
      </w:r>
      <w:r w:rsidR="00217620">
        <w:rPr>
          <w:rFonts w:ascii="Arial" w:hAnsi="Arial" w:cs="Arial"/>
          <w:lang w:val="ro-RO"/>
        </w:rPr>
        <w:t>Brăila</w:t>
      </w:r>
      <w:r w:rsidRPr="005D1973">
        <w:rPr>
          <w:rFonts w:ascii="Arial" w:hAnsi="Arial" w:cs="Arial"/>
          <w:lang w:val="ro-RO"/>
        </w:rPr>
        <w:t xml:space="preserve"> era reprezentată prin stepă în zonele de câmpie şi prin vegetaţie de luncă şi baltă în Balta </w:t>
      </w:r>
      <w:r w:rsidR="007C1699">
        <w:rPr>
          <w:rFonts w:ascii="Arial" w:hAnsi="Arial" w:cs="Arial"/>
          <w:lang w:val="ro-RO"/>
        </w:rPr>
        <w:t>BR</w:t>
      </w:r>
      <w:r w:rsidRPr="005D1973">
        <w:rPr>
          <w:rFonts w:ascii="Arial" w:hAnsi="Arial" w:cs="Arial"/>
          <w:lang w:val="ro-RO"/>
        </w:rPr>
        <w:t>ăilei. Stepa a fost desţelenită şi înlocuită cu vegetaţie de cultură (culturi agricole) în proporţie de peste 95%.</w:t>
      </w:r>
    </w:p>
    <w:p w:rsidR="00A055FA" w:rsidRPr="005D1973" w:rsidRDefault="00EE1961" w:rsidP="00C625DB">
      <w:pPr>
        <w:pStyle w:val="BodyText2"/>
        <w:spacing w:after="0" w:line="240" w:lineRule="auto"/>
        <w:ind w:firstLine="708"/>
        <w:jc w:val="both"/>
        <w:rPr>
          <w:rFonts w:ascii="Arial" w:hAnsi="Arial" w:cs="Arial"/>
          <w:lang w:val="ro-RO"/>
        </w:rPr>
      </w:pPr>
      <w:r w:rsidRPr="005D1973">
        <w:rPr>
          <w:rFonts w:ascii="Arial" w:hAnsi="Arial" w:cs="Arial"/>
          <w:lang w:val="ro-RO"/>
        </w:rPr>
        <w:t>Aceasta se mai găseşte astăzi doar insular, pe pajiştile naturale, precum şi pe marginea drumurilor, de-a lungul digurilor şi canalelor de irigaţie. Asociaţiile vegetale caracteristice sunt cele de pajişti xerofile presărate din loc în loc cu tufărişuri constituite din arbuşti de stepă.</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lastRenderedPageBreak/>
        <w:t xml:space="preserve">Datorită umidităţii mari a solului, vegetaţia de lunca este mult mai bogată, aici dezvoltându-se o vegetaţie arborescentă de esenţă moale şi ierboasă dispusă pe benzi longitudinale sau concentrice, în cazul depresiunilor lacustre, în funcţie de gradul de umiditate. </w:t>
      </w:r>
    </w:p>
    <w:p w:rsidR="00A055FA" w:rsidRPr="005D1973" w:rsidRDefault="00EE1961" w:rsidP="00C625DB">
      <w:pPr>
        <w:spacing w:after="0" w:line="240" w:lineRule="auto"/>
        <w:jc w:val="both"/>
        <w:rPr>
          <w:rFonts w:ascii="Arial" w:eastAsia="SimSun" w:hAnsi="Arial" w:cs="Arial"/>
          <w:sz w:val="24"/>
          <w:szCs w:val="24"/>
        </w:rPr>
      </w:pPr>
      <w:r w:rsidRPr="005D1973">
        <w:rPr>
          <w:rFonts w:ascii="Arial" w:eastAsia="SimSun" w:hAnsi="Arial" w:cs="Arial"/>
          <w:sz w:val="24"/>
          <w:szCs w:val="24"/>
        </w:rPr>
        <w:t xml:space="preserve">Din Balta </w:t>
      </w:r>
      <w:r w:rsidR="007C1699">
        <w:rPr>
          <w:rFonts w:ascii="Arial" w:eastAsia="SimSun" w:hAnsi="Arial" w:cs="Arial"/>
          <w:sz w:val="24"/>
          <w:szCs w:val="24"/>
        </w:rPr>
        <w:t>BR</w:t>
      </w:r>
      <w:r w:rsidRPr="005D1973">
        <w:rPr>
          <w:rFonts w:ascii="Arial" w:eastAsia="SimSun" w:hAnsi="Arial" w:cs="Arial"/>
          <w:sz w:val="24"/>
          <w:szCs w:val="24"/>
        </w:rPr>
        <w:t xml:space="preserve">ăilei doar o treime din suprafaţă a rămas în regim liber de inundaţie, restul de peste 60000 de ha constituind actualmente incinta agricolă îndiguită Insula Mare a </w:t>
      </w:r>
      <w:r w:rsidR="007C1699">
        <w:rPr>
          <w:rFonts w:ascii="Arial" w:eastAsia="SimSun" w:hAnsi="Arial" w:cs="Arial"/>
          <w:sz w:val="24"/>
          <w:szCs w:val="24"/>
        </w:rPr>
        <w:t>BR</w:t>
      </w:r>
      <w:r w:rsidRPr="005D1973">
        <w:rPr>
          <w:rFonts w:ascii="Arial" w:eastAsia="SimSun" w:hAnsi="Arial" w:cs="Arial"/>
          <w:sz w:val="24"/>
          <w:szCs w:val="24"/>
        </w:rPr>
        <w:t xml:space="preserve">ăilei. Vestigii ale florei acestui vast teritoriu de zonă umedă se găsesc acum în cele 10 insule din zona inundabilă care constituie Parcul Natural Balta Mică a </w:t>
      </w:r>
      <w:r w:rsidR="007C1699">
        <w:rPr>
          <w:rFonts w:ascii="Arial" w:eastAsia="SimSun" w:hAnsi="Arial" w:cs="Arial"/>
          <w:sz w:val="24"/>
          <w:szCs w:val="24"/>
        </w:rPr>
        <w:t>BR</w:t>
      </w:r>
      <w:r w:rsidRPr="005D1973">
        <w:rPr>
          <w:rFonts w:ascii="Arial" w:eastAsia="SimSun" w:hAnsi="Arial" w:cs="Arial"/>
          <w:sz w:val="24"/>
          <w:szCs w:val="24"/>
        </w:rPr>
        <w:t>ăilei. Vegetaţia palustră a ostroavelor se remarcă prin specii rare, cum sunt nuferii albi şi galbeni, specii care doar în Delta Dunării sunt mai des întâlnite.</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 xml:space="preserve">Din cele 230 de specii de floră sălbatică inventariate în judeţul </w:t>
      </w:r>
      <w:r w:rsidR="00217620">
        <w:rPr>
          <w:rFonts w:ascii="Arial" w:hAnsi="Arial" w:cs="Arial"/>
        </w:rPr>
        <w:t>Brăila</w:t>
      </w:r>
      <w:r w:rsidRPr="005D1973">
        <w:rPr>
          <w:rFonts w:ascii="Arial" w:hAnsi="Arial" w:cs="Arial"/>
        </w:rPr>
        <w:t xml:space="preserve"> nu au fost identificate specii de interes naţional sau comunitar (listate în anexele 3-5 ale OUG 57/2007).</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Există și două specii endemice, și anume Campanula rotundifolia L., ssp. Romanica Savulescu Hayeck (clopoţel) şi Achillea coarctata Poir (coada şoricelului cu flori galbene), care cresc numai pe Popina Blasova-martor de eroziune hercinică (monument al naturii declarat la nivel judeţean), vestigiu al unui lanţ muntos din care s-au păstrat Munţii Măcin.</w:t>
      </w:r>
    </w:p>
    <w:p w:rsidR="001D07E2" w:rsidRPr="005D1973" w:rsidRDefault="001D07E2" w:rsidP="00C625DB">
      <w:pPr>
        <w:spacing w:after="0" w:line="240" w:lineRule="auto"/>
        <w:jc w:val="both"/>
        <w:rPr>
          <w:rFonts w:ascii="Arial" w:hAnsi="Arial" w:cs="Arial"/>
          <w:b/>
          <w:sz w:val="24"/>
          <w:szCs w:val="24"/>
        </w:rPr>
      </w:pPr>
    </w:p>
    <w:p w:rsidR="00EE1961" w:rsidRPr="005D1973" w:rsidRDefault="00EE1961" w:rsidP="00C625DB">
      <w:pPr>
        <w:spacing w:after="0" w:line="240" w:lineRule="auto"/>
        <w:jc w:val="both"/>
        <w:rPr>
          <w:rFonts w:ascii="Arial" w:hAnsi="Arial" w:cs="Arial"/>
          <w:b/>
          <w:sz w:val="24"/>
          <w:szCs w:val="24"/>
        </w:rPr>
      </w:pPr>
      <w:r w:rsidRPr="005D1973">
        <w:rPr>
          <w:rFonts w:ascii="Arial" w:hAnsi="Arial" w:cs="Arial"/>
          <w:b/>
          <w:sz w:val="24"/>
          <w:szCs w:val="24"/>
        </w:rPr>
        <w:t>Fauna sălbatică</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Zoocenozele sunt specifice tipurilor de habitate descrise anterior, cele mai complexe fiind caracteristice pădurilor (de amestec) şi bălţilor permanente. Neverte</w:t>
      </w:r>
      <w:r w:rsidR="007C1699">
        <w:rPr>
          <w:rFonts w:ascii="Arial" w:hAnsi="Arial" w:cs="Arial"/>
        </w:rPr>
        <w:t>BR</w:t>
      </w:r>
      <w:r w:rsidRPr="005D1973">
        <w:rPr>
          <w:rFonts w:ascii="Arial" w:hAnsi="Arial" w:cs="Arial"/>
        </w:rPr>
        <w:t>atele sunt reprezentate prin cel mai mare număr de specii, la nivelul tuturor tipurilor de ecosisteme, având o distribuţie relativ uniformă. Verte</w:t>
      </w:r>
      <w:r w:rsidR="007C1699">
        <w:rPr>
          <w:rFonts w:ascii="Arial" w:hAnsi="Arial" w:cs="Arial"/>
        </w:rPr>
        <w:t>BR</w:t>
      </w:r>
      <w:r w:rsidRPr="005D1973">
        <w:rPr>
          <w:rFonts w:ascii="Arial" w:hAnsi="Arial" w:cs="Arial"/>
        </w:rPr>
        <w:t>atele sunt mai puţin numeroase, atât ca număr de specii, cât şi ca număr de indivizi.</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Păsările sunt cele mai numeroase dintre verte</w:t>
      </w:r>
      <w:r w:rsidR="007C1699">
        <w:rPr>
          <w:rFonts w:ascii="Arial" w:hAnsi="Arial" w:cs="Arial"/>
        </w:rPr>
        <w:t>BR</w:t>
      </w:r>
      <w:r w:rsidRPr="005D1973">
        <w:rPr>
          <w:rFonts w:ascii="Arial" w:hAnsi="Arial" w:cs="Arial"/>
        </w:rPr>
        <w:t xml:space="preserve">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balţi din terasa Dunării. </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 xml:space="preserve">Procentual, avifauna din Parcul Natural Balta Mică a </w:t>
      </w:r>
      <w:r w:rsidR="007C1699">
        <w:rPr>
          <w:rFonts w:ascii="Arial" w:hAnsi="Arial" w:cs="Arial"/>
        </w:rPr>
        <w:t>BR</w:t>
      </w:r>
      <w:r w:rsidRPr="005D1973">
        <w:rPr>
          <w:rFonts w:ascii="Arial" w:hAnsi="Arial" w:cs="Arial"/>
        </w:rPr>
        <w:t xml:space="preserve">ăilei reprezintă peste jumătate din cea a României, respectiv 53%. Dintre acestea, 169 de specii sunt protejate pe plan european (prin Convenţia de la Berna), 58 de specii sunt păsări migratoare protejate prin Convenţia de la Bonn şi 6 specii protejate prin Convenţia CITES. De asemenea, 68 de  specii figurează în anexa I din Directiva Păsări. Faptul că zona inundabilă </w:t>
      </w:r>
      <w:r w:rsidR="007C1699">
        <w:rPr>
          <w:rFonts w:ascii="Arial" w:hAnsi="Arial" w:cs="Arial"/>
        </w:rPr>
        <w:t>BR</w:t>
      </w:r>
      <w:r w:rsidRPr="005D1973">
        <w:rPr>
          <w:rFonts w:ascii="Arial" w:hAnsi="Arial" w:cs="Arial"/>
        </w:rPr>
        <w:t>ăileană face parte din reţeaua internaţională de locuri de cuibărire şi pasaj, situată pe culoarul estic de migraţie dunărean, a fost unul dintre cele mai importante motive pentru care această zonă a fost  declarată arie protejată şi ulterior recunoscută ca sit Ramsar -zonă umedă de importanţă internaţională.</w:t>
      </w:r>
    </w:p>
    <w:p w:rsidR="00EE1961" w:rsidRPr="005D1973" w:rsidRDefault="00EE1961" w:rsidP="00C625DB">
      <w:pPr>
        <w:pStyle w:val="BodyText21"/>
        <w:widowControl/>
        <w:ind w:firstLine="737"/>
        <w:rPr>
          <w:rFonts w:ascii="Arial" w:hAnsi="Arial" w:cs="Arial"/>
          <w:u w:val="single"/>
          <w:lang w:val="ro-RO"/>
        </w:rPr>
      </w:pPr>
    </w:p>
    <w:p w:rsidR="00EE1961" w:rsidRPr="005D1973" w:rsidRDefault="00EE1961" w:rsidP="00C625DB">
      <w:pPr>
        <w:pStyle w:val="BodyText21"/>
        <w:widowControl/>
        <w:rPr>
          <w:rFonts w:ascii="Arial" w:hAnsi="Arial" w:cs="Arial"/>
          <w:b/>
          <w:lang w:val="ro-RO"/>
        </w:rPr>
      </w:pPr>
      <w:r w:rsidRPr="005D1973">
        <w:rPr>
          <w:rFonts w:ascii="Arial" w:hAnsi="Arial" w:cs="Arial"/>
          <w:b/>
          <w:lang w:val="ro-RO"/>
        </w:rPr>
        <w:t>Specii de interes comunitar</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 xml:space="preserve">În judeţul </w:t>
      </w:r>
      <w:r w:rsidR="00217620">
        <w:rPr>
          <w:rFonts w:ascii="Arial" w:hAnsi="Arial" w:cs="Arial"/>
        </w:rPr>
        <w:t>Brăila</w:t>
      </w:r>
      <w:r w:rsidRPr="005D1973">
        <w:rPr>
          <w:rFonts w:ascii="Arial" w:hAnsi="Arial" w:cs="Arial"/>
        </w:rPr>
        <w:t xml:space="preserve"> au fost inventariate un număr de 90 de specii, considerate de interes comunitar în conformitate cu OUG 57/2007, Anexa 3, pentru care se desemnează arii speciale de conservare şi arii speciale de protecţie avifaunistică (Tabelul nr. V-2), din care o specie este prioritară (nurca-Mustela lutreola),  iar 49 de specii sunt cu regim de protecţie strictă. </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Din totalul de 305 specii de verte</w:t>
      </w:r>
      <w:r w:rsidR="007C1699">
        <w:rPr>
          <w:rFonts w:ascii="Arial" w:hAnsi="Arial" w:cs="Arial"/>
        </w:rPr>
        <w:t>BR</w:t>
      </w:r>
      <w:r w:rsidRPr="005D1973">
        <w:rPr>
          <w:rFonts w:ascii="Arial" w:hAnsi="Arial" w:cs="Arial"/>
        </w:rPr>
        <w:t xml:space="preserve">ate inventariate la nivelul judeţului, 160 de specii necesită o protecţie strictă, din care 121 de specii sunt de interes comunitar, iar 39 de interes naţional. </w:t>
      </w:r>
    </w:p>
    <w:p w:rsidR="00EE1961" w:rsidRDefault="00EE1961" w:rsidP="00C625DB">
      <w:pPr>
        <w:pStyle w:val="BodyText21"/>
        <w:widowControl/>
        <w:ind w:firstLine="737"/>
        <w:rPr>
          <w:rFonts w:ascii="Arial" w:hAnsi="Arial" w:cs="Arial"/>
          <w:lang w:val="ro-RO"/>
        </w:rPr>
      </w:pPr>
    </w:p>
    <w:p w:rsidR="00202088" w:rsidRDefault="00202088" w:rsidP="00C625DB">
      <w:pPr>
        <w:pStyle w:val="BodyText21"/>
        <w:widowControl/>
        <w:ind w:firstLine="737"/>
        <w:rPr>
          <w:rFonts w:ascii="Arial" w:hAnsi="Arial" w:cs="Arial"/>
          <w:lang w:val="ro-RO"/>
        </w:rPr>
      </w:pPr>
    </w:p>
    <w:p w:rsidR="00202088" w:rsidRDefault="00202088" w:rsidP="00C625DB">
      <w:pPr>
        <w:pStyle w:val="BodyText21"/>
        <w:widowControl/>
        <w:ind w:firstLine="737"/>
        <w:rPr>
          <w:rFonts w:ascii="Arial" w:hAnsi="Arial" w:cs="Arial"/>
          <w:lang w:val="ro-RO"/>
        </w:rPr>
      </w:pPr>
    </w:p>
    <w:p w:rsidR="00202088" w:rsidRDefault="00202088" w:rsidP="00C625DB">
      <w:pPr>
        <w:pStyle w:val="BodyText21"/>
        <w:widowControl/>
        <w:ind w:firstLine="737"/>
        <w:rPr>
          <w:rFonts w:ascii="Arial" w:hAnsi="Arial" w:cs="Arial"/>
          <w:lang w:val="ro-RO"/>
        </w:rPr>
      </w:pPr>
    </w:p>
    <w:p w:rsidR="00202088" w:rsidRDefault="00202088" w:rsidP="00C625DB">
      <w:pPr>
        <w:pStyle w:val="BodyText21"/>
        <w:widowControl/>
        <w:ind w:firstLine="737"/>
        <w:rPr>
          <w:rFonts w:ascii="Arial" w:hAnsi="Arial" w:cs="Arial"/>
          <w:lang w:val="ro-RO"/>
        </w:rPr>
      </w:pPr>
    </w:p>
    <w:p w:rsidR="00202088" w:rsidRDefault="00202088" w:rsidP="00C625DB">
      <w:pPr>
        <w:pStyle w:val="BodyText21"/>
        <w:widowControl/>
        <w:ind w:firstLine="737"/>
        <w:rPr>
          <w:rFonts w:ascii="Arial" w:hAnsi="Arial" w:cs="Arial"/>
          <w:lang w:val="ro-RO"/>
        </w:rPr>
      </w:pPr>
    </w:p>
    <w:p w:rsidR="00202088" w:rsidRPr="005D1973" w:rsidRDefault="00202088" w:rsidP="00C625DB">
      <w:pPr>
        <w:pStyle w:val="BodyText21"/>
        <w:widowControl/>
        <w:ind w:firstLine="737"/>
        <w:rPr>
          <w:rFonts w:ascii="Arial" w:hAnsi="Arial" w:cs="Arial"/>
          <w:lang w:val="ro-RO"/>
        </w:rPr>
      </w:pPr>
    </w:p>
    <w:p w:rsidR="00EE1961" w:rsidRPr="00202088" w:rsidRDefault="00EE1961" w:rsidP="00C625DB">
      <w:pPr>
        <w:pStyle w:val="BodyTextIndent"/>
        <w:spacing w:after="0" w:line="240" w:lineRule="auto"/>
        <w:rPr>
          <w:rFonts w:ascii="Arial" w:hAnsi="Arial" w:cs="Arial"/>
          <w:sz w:val="24"/>
          <w:szCs w:val="24"/>
        </w:rPr>
      </w:pPr>
      <w:r w:rsidRPr="00202088">
        <w:rPr>
          <w:rFonts w:ascii="Arial" w:hAnsi="Arial" w:cs="Arial"/>
          <w:sz w:val="24"/>
          <w:szCs w:val="24"/>
          <w:lang w:val="ro-RO"/>
        </w:rPr>
        <w:t>Tabelul nr. V- 2.</w:t>
      </w:r>
    </w:p>
    <w:tbl>
      <w:tblPr>
        <w:tblW w:w="97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115" w:type="dxa"/>
          <w:right w:w="115" w:type="dxa"/>
        </w:tblCellMar>
        <w:tblLook w:val="0000"/>
      </w:tblPr>
      <w:tblGrid>
        <w:gridCol w:w="644"/>
        <w:gridCol w:w="1274"/>
        <w:gridCol w:w="714"/>
        <w:gridCol w:w="1344"/>
        <w:gridCol w:w="1498"/>
        <w:gridCol w:w="1330"/>
        <w:gridCol w:w="1418"/>
        <w:gridCol w:w="1563"/>
      </w:tblGrid>
      <w:tr w:rsidR="00EE1961" w:rsidRPr="005D1973" w:rsidTr="00E71D51">
        <w:trPr>
          <w:cantSplit/>
          <w:trHeight w:val="190"/>
        </w:trPr>
        <w:tc>
          <w:tcPr>
            <w:tcW w:w="644" w:type="dxa"/>
            <w:vMerge w:val="restart"/>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Nr.</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crt.</w:t>
            </w:r>
          </w:p>
        </w:tc>
        <w:tc>
          <w:tcPr>
            <w:tcW w:w="1274" w:type="dxa"/>
            <w:vMerge w:val="restart"/>
            <w:shd w:val="clear" w:color="auto" w:fill="FDE9D9" w:themeFill="accent6" w:themeFillTint="33"/>
          </w:tcPr>
          <w:p w:rsidR="00EE1961" w:rsidRPr="005D1973" w:rsidRDefault="00EE1961" w:rsidP="00C625DB">
            <w:pPr>
              <w:pStyle w:val="BodyText21"/>
              <w:jc w:val="center"/>
              <w:rPr>
                <w:rFonts w:ascii="Arial" w:hAnsi="Arial" w:cs="Arial"/>
                <w:lang w:val="ro-RO"/>
              </w:rPr>
            </w:pPr>
            <w:r w:rsidRPr="005D1973">
              <w:rPr>
                <w:rFonts w:ascii="Arial" w:hAnsi="Arial" w:cs="Arial"/>
                <w:lang w:val="ro-RO"/>
              </w:rPr>
              <w:t>Grupa</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de specii</w:t>
            </w:r>
          </w:p>
        </w:tc>
        <w:tc>
          <w:tcPr>
            <w:tcW w:w="714" w:type="dxa"/>
            <w:vMerge w:val="restart"/>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Nr.</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spe</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cii</w:t>
            </w:r>
          </w:p>
        </w:tc>
        <w:tc>
          <w:tcPr>
            <w:tcW w:w="7153" w:type="dxa"/>
            <w:gridSpan w:val="5"/>
            <w:shd w:val="clear" w:color="auto" w:fill="FDE9D9" w:themeFill="accent6" w:themeFillTint="33"/>
          </w:tcPr>
          <w:p w:rsidR="00EE1961" w:rsidRPr="005D1973" w:rsidRDefault="00EE1961" w:rsidP="00C625DB">
            <w:pPr>
              <w:pStyle w:val="Heading5"/>
              <w:spacing w:before="0" w:after="0"/>
              <w:jc w:val="center"/>
              <w:rPr>
                <w:rFonts w:ascii="Arial" w:hAnsi="Arial" w:cs="Arial"/>
                <w:sz w:val="24"/>
                <w:szCs w:val="24"/>
              </w:rPr>
            </w:pPr>
            <w:r w:rsidRPr="005D1973">
              <w:rPr>
                <w:rFonts w:ascii="Arial" w:hAnsi="Arial" w:cs="Arial"/>
                <w:sz w:val="24"/>
                <w:szCs w:val="24"/>
              </w:rPr>
              <w:t>OUG 57/2007</w:t>
            </w:r>
          </w:p>
        </w:tc>
      </w:tr>
      <w:tr w:rsidR="00EE1961" w:rsidRPr="005D1973" w:rsidTr="00E71D51">
        <w:trPr>
          <w:cantSplit/>
          <w:trHeight w:val="269"/>
        </w:trPr>
        <w:tc>
          <w:tcPr>
            <w:tcW w:w="644" w:type="dxa"/>
            <w:vMerge/>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p>
        </w:tc>
        <w:tc>
          <w:tcPr>
            <w:tcW w:w="1274" w:type="dxa"/>
            <w:vMerge/>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p>
        </w:tc>
        <w:tc>
          <w:tcPr>
            <w:tcW w:w="714" w:type="dxa"/>
            <w:vMerge/>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p>
        </w:tc>
        <w:tc>
          <w:tcPr>
            <w:tcW w:w="1344"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Anexa 3-</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Specii a căror conservare necesită desemnarea ariilor speciale de conservare şi a ariilor de protecţie specială avifaunistică</w:t>
            </w:r>
          </w:p>
        </w:tc>
        <w:tc>
          <w:tcPr>
            <w:tcW w:w="1498"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Anexa 4</w:t>
            </w:r>
            <w:r w:rsidRPr="005D1973">
              <w:rPr>
                <w:rFonts w:ascii="Arial" w:hAnsi="Arial" w:cs="Arial"/>
                <w:sz w:val="24"/>
                <w:szCs w:val="24"/>
                <w:vertAlign w:val="superscript"/>
              </w:rPr>
              <w:t>A</w:t>
            </w:r>
            <w:r w:rsidRPr="005D1973">
              <w:rPr>
                <w:rFonts w:ascii="Arial" w:hAnsi="Arial" w:cs="Arial"/>
                <w:sz w:val="24"/>
                <w:szCs w:val="24"/>
              </w:rPr>
              <w:t>-</w:t>
            </w:r>
          </w:p>
          <w:p w:rsidR="00EE1961" w:rsidRPr="005D1973" w:rsidRDefault="00EE1961" w:rsidP="00C625DB">
            <w:pPr>
              <w:pStyle w:val="Footer"/>
              <w:jc w:val="center"/>
              <w:rPr>
                <w:rFonts w:ascii="Arial" w:hAnsi="Arial" w:cs="Arial"/>
                <w:sz w:val="24"/>
                <w:szCs w:val="24"/>
              </w:rPr>
            </w:pPr>
            <w:r w:rsidRPr="005D1973">
              <w:rPr>
                <w:rFonts w:ascii="Arial" w:hAnsi="Arial" w:cs="Arial"/>
                <w:sz w:val="24"/>
                <w:szCs w:val="24"/>
              </w:rPr>
              <w:t>Specii de interes comunitar care necesită o protecţie strictă</w:t>
            </w:r>
          </w:p>
        </w:tc>
        <w:tc>
          <w:tcPr>
            <w:tcW w:w="1330"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Anexa 4</w:t>
            </w:r>
            <w:r w:rsidRPr="005D1973">
              <w:rPr>
                <w:rFonts w:ascii="Arial" w:hAnsi="Arial" w:cs="Arial"/>
                <w:sz w:val="24"/>
                <w:szCs w:val="24"/>
                <w:vertAlign w:val="superscript"/>
              </w:rPr>
              <w:t xml:space="preserve">B </w:t>
            </w:r>
            <w:r w:rsidRPr="005D1973">
              <w:rPr>
                <w:rFonts w:ascii="Arial" w:hAnsi="Arial" w:cs="Arial"/>
                <w:sz w:val="24"/>
                <w:szCs w:val="24"/>
              </w:rPr>
              <w:t>-</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Specii de interes naţional care necesită o protecţie strictă</w:t>
            </w:r>
          </w:p>
        </w:tc>
        <w:tc>
          <w:tcPr>
            <w:tcW w:w="1418"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Anexa 5</w:t>
            </w:r>
            <w:r w:rsidRPr="005D1973">
              <w:rPr>
                <w:rFonts w:ascii="Arial" w:hAnsi="Arial" w:cs="Arial"/>
                <w:sz w:val="24"/>
                <w:szCs w:val="24"/>
                <w:vertAlign w:val="superscript"/>
              </w:rPr>
              <w:t>A</w:t>
            </w:r>
            <w:r w:rsidRPr="005D1973">
              <w:rPr>
                <w:rFonts w:ascii="Arial" w:hAnsi="Arial" w:cs="Arial"/>
                <w:sz w:val="24"/>
                <w:szCs w:val="24"/>
              </w:rPr>
              <w:t>-</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Specii de interes comunitar a căror prelevare din natură şi exploatare fac obiectul măsurilor de management</w:t>
            </w:r>
          </w:p>
        </w:tc>
        <w:tc>
          <w:tcPr>
            <w:tcW w:w="1563"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Anexa 5</w:t>
            </w:r>
            <w:r w:rsidRPr="005D1973">
              <w:rPr>
                <w:rFonts w:ascii="Arial" w:hAnsi="Arial" w:cs="Arial"/>
                <w:sz w:val="24"/>
                <w:szCs w:val="24"/>
                <w:vertAlign w:val="superscript"/>
              </w:rPr>
              <w:t>B</w:t>
            </w:r>
            <w:r w:rsidRPr="005D1973">
              <w:rPr>
                <w:rFonts w:ascii="Arial" w:hAnsi="Arial" w:cs="Arial"/>
                <w:sz w:val="24"/>
                <w:szCs w:val="24"/>
              </w:rPr>
              <w:t>-</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Specii de animale de interes naţional a căror prelevare din natură şi exploatare fac obiectul măsurilor de management</w:t>
            </w:r>
          </w:p>
        </w:tc>
      </w:tr>
      <w:tr w:rsidR="00EE1961" w:rsidRPr="005D1973" w:rsidTr="00E71D51">
        <w:tc>
          <w:tcPr>
            <w:tcW w:w="644" w:type="dxa"/>
            <w:shd w:val="clear" w:color="auto" w:fill="FDE9D9" w:themeFill="accent6" w:themeFillTint="33"/>
            <w:vAlign w:val="center"/>
          </w:tcPr>
          <w:p w:rsidR="00EE1961" w:rsidRPr="005D1973" w:rsidRDefault="00EE1961" w:rsidP="00252ED3">
            <w:pPr>
              <w:numPr>
                <w:ilvl w:val="0"/>
                <w:numId w:val="33"/>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iCs/>
                <w:sz w:val="24"/>
                <w:szCs w:val="24"/>
              </w:rPr>
            </w:pPr>
            <w:r w:rsidRPr="005D1973">
              <w:rPr>
                <w:rFonts w:ascii="Arial" w:hAnsi="Arial" w:cs="Arial"/>
                <w:iCs/>
                <w:sz w:val="24"/>
                <w:szCs w:val="24"/>
              </w:rPr>
              <w:t>Peşti</w:t>
            </w:r>
          </w:p>
        </w:tc>
        <w:tc>
          <w:tcPr>
            <w:tcW w:w="71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67</w:t>
            </w:r>
          </w:p>
        </w:tc>
        <w:tc>
          <w:tcPr>
            <w:tcW w:w="134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16</w:t>
            </w:r>
          </w:p>
        </w:tc>
        <w:tc>
          <w:tcPr>
            <w:tcW w:w="149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w:t>
            </w:r>
          </w:p>
        </w:tc>
        <w:tc>
          <w:tcPr>
            <w:tcW w:w="1330"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w:t>
            </w:r>
          </w:p>
        </w:tc>
        <w:tc>
          <w:tcPr>
            <w:tcW w:w="141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7</w:t>
            </w:r>
          </w:p>
        </w:tc>
        <w:tc>
          <w:tcPr>
            <w:tcW w:w="1563"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r>
      <w:tr w:rsidR="00EE1961" w:rsidRPr="005D1973" w:rsidTr="00E71D51">
        <w:tc>
          <w:tcPr>
            <w:tcW w:w="644" w:type="dxa"/>
            <w:shd w:val="clear" w:color="auto" w:fill="FDE9D9" w:themeFill="accent6" w:themeFillTint="33"/>
            <w:vAlign w:val="center"/>
          </w:tcPr>
          <w:p w:rsidR="00EE1961" w:rsidRPr="005D1973" w:rsidRDefault="00EE1961" w:rsidP="00252ED3">
            <w:pPr>
              <w:numPr>
                <w:ilvl w:val="0"/>
                <w:numId w:val="33"/>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D1973" w:rsidRDefault="00EE1961" w:rsidP="00C625DB">
            <w:pPr>
              <w:pStyle w:val="Heading1"/>
              <w:spacing w:before="0" w:after="0"/>
              <w:jc w:val="center"/>
              <w:rPr>
                <w:b w:val="0"/>
                <w:sz w:val="24"/>
                <w:szCs w:val="24"/>
              </w:rPr>
            </w:pPr>
            <w:r w:rsidRPr="005D1973">
              <w:rPr>
                <w:b w:val="0"/>
                <w:sz w:val="24"/>
                <w:szCs w:val="24"/>
              </w:rPr>
              <w:t>Amfibieni</w:t>
            </w:r>
          </w:p>
        </w:tc>
        <w:tc>
          <w:tcPr>
            <w:tcW w:w="71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7</w:t>
            </w:r>
          </w:p>
        </w:tc>
        <w:tc>
          <w:tcPr>
            <w:tcW w:w="134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3</w:t>
            </w:r>
          </w:p>
        </w:tc>
        <w:tc>
          <w:tcPr>
            <w:tcW w:w="149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3</w:t>
            </w:r>
          </w:p>
        </w:tc>
        <w:tc>
          <w:tcPr>
            <w:tcW w:w="1330"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c>
          <w:tcPr>
            <w:tcW w:w="141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w:t>
            </w:r>
          </w:p>
        </w:tc>
        <w:tc>
          <w:tcPr>
            <w:tcW w:w="1563"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r>
      <w:tr w:rsidR="00EE1961" w:rsidRPr="005D1973" w:rsidTr="00E71D51">
        <w:tc>
          <w:tcPr>
            <w:tcW w:w="644" w:type="dxa"/>
            <w:shd w:val="clear" w:color="auto" w:fill="FDE9D9" w:themeFill="accent6" w:themeFillTint="33"/>
            <w:vAlign w:val="center"/>
          </w:tcPr>
          <w:p w:rsidR="00EE1961" w:rsidRPr="005D1973" w:rsidRDefault="00EE1961" w:rsidP="00252ED3">
            <w:pPr>
              <w:numPr>
                <w:ilvl w:val="0"/>
                <w:numId w:val="33"/>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D1973" w:rsidRDefault="00EE1961" w:rsidP="00C625DB">
            <w:pPr>
              <w:pStyle w:val="Heading1"/>
              <w:spacing w:before="0" w:after="0"/>
              <w:jc w:val="center"/>
              <w:rPr>
                <w:b w:val="0"/>
                <w:sz w:val="24"/>
                <w:szCs w:val="24"/>
              </w:rPr>
            </w:pPr>
            <w:r w:rsidRPr="005D1973">
              <w:rPr>
                <w:b w:val="0"/>
                <w:sz w:val="24"/>
                <w:szCs w:val="24"/>
              </w:rPr>
              <w:t>Reptile</w:t>
            </w:r>
          </w:p>
        </w:tc>
        <w:tc>
          <w:tcPr>
            <w:tcW w:w="71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w:t>
            </w:r>
          </w:p>
        </w:tc>
        <w:tc>
          <w:tcPr>
            <w:tcW w:w="134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1</w:t>
            </w:r>
          </w:p>
        </w:tc>
        <w:tc>
          <w:tcPr>
            <w:tcW w:w="149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w:t>
            </w:r>
          </w:p>
        </w:tc>
        <w:tc>
          <w:tcPr>
            <w:tcW w:w="1330"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c>
          <w:tcPr>
            <w:tcW w:w="141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c>
          <w:tcPr>
            <w:tcW w:w="1563"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r>
      <w:tr w:rsidR="00EE1961" w:rsidRPr="005D1973" w:rsidTr="00E71D51">
        <w:tc>
          <w:tcPr>
            <w:tcW w:w="644" w:type="dxa"/>
            <w:shd w:val="clear" w:color="auto" w:fill="FDE9D9" w:themeFill="accent6" w:themeFillTint="33"/>
            <w:vAlign w:val="center"/>
          </w:tcPr>
          <w:p w:rsidR="00EE1961" w:rsidRPr="005D1973" w:rsidRDefault="00EE1961" w:rsidP="00252ED3">
            <w:pPr>
              <w:numPr>
                <w:ilvl w:val="0"/>
                <w:numId w:val="33"/>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D1973" w:rsidRDefault="00EE1961" w:rsidP="00C625DB">
            <w:pPr>
              <w:pStyle w:val="Heading1"/>
              <w:spacing w:before="0" w:after="0"/>
              <w:jc w:val="center"/>
              <w:rPr>
                <w:b w:val="0"/>
                <w:sz w:val="24"/>
                <w:szCs w:val="24"/>
              </w:rPr>
            </w:pPr>
            <w:r w:rsidRPr="005D1973">
              <w:rPr>
                <w:b w:val="0"/>
                <w:sz w:val="24"/>
                <w:szCs w:val="24"/>
              </w:rPr>
              <w:t>Păsări</w:t>
            </w:r>
          </w:p>
        </w:tc>
        <w:tc>
          <w:tcPr>
            <w:tcW w:w="71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208</w:t>
            </w:r>
          </w:p>
        </w:tc>
        <w:tc>
          <w:tcPr>
            <w:tcW w:w="134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64</w:t>
            </w:r>
          </w:p>
        </w:tc>
        <w:tc>
          <w:tcPr>
            <w:tcW w:w="149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c>
          <w:tcPr>
            <w:tcW w:w="1330"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25</w:t>
            </w:r>
          </w:p>
        </w:tc>
        <w:tc>
          <w:tcPr>
            <w:tcW w:w="141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c>
          <w:tcPr>
            <w:tcW w:w="1563"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r>
      <w:tr w:rsidR="00EE1961" w:rsidRPr="005D1973" w:rsidTr="00E71D51">
        <w:tc>
          <w:tcPr>
            <w:tcW w:w="644" w:type="dxa"/>
            <w:shd w:val="clear" w:color="auto" w:fill="FDE9D9" w:themeFill="accent6" w:themeFillTint="33"/>
            <w:vAlign w:val="center"/>
          </w:tcPr>
          <w:p w:rsidR="00EE1961" w:rsidRPr="005D1973" w:rsidRDefault="00EE1961" w:rsidP="00252ED3">
            <w:pPr>
              <w:numPr>
                <w:ilvl w:val="0"/>
                <w:numId w:val="33"/>
              </w:numPr>
              <w:spacing w:after="0" w:line="240" w:lineRule="auto"/>
              <w:jc w:val="center"/>
              <w:rPr>
                <w:rFonts w:ascii="Arial" w:hAnsi="Arial" w:cs="Arial"/>
                <w:sz w:val="24"/>
                <w:szCs w:val="24"/>
              </w:rPr>
            </w:pPr>
          </w:p>
        </w:tc>
        <w:tc>
          <w:tcPr>
            <w:tcW w:w="1274" w:type="dxa"/>
            <w:shd w:val="clear" w:color="auto" w:fill="FDE9D9" w:themeFill="accent6" w:themeFillTint="33"/>
            <w:vAlign w:val="center"/>
          </w:tcPr>
          <w:p w:rsidR="00EE1961" w:rsidRPr="005D1973" w:rsidRDefault="00EE1961" w:rsidP="00C625DB">
            <w:pPr>
              <w:pStyle w:val="Heading1"/>
              <w:spacing w:before="0" w:after="0"/>
              <w:jc w:val="center"/>
              <w:rPr>
                <w:b w:val="0"/>
                <w:sz w:val="24"/>
                <w:szCs w:val="24"/>
              </w:rPr>
            </w:pPr>
            <w:r w:rsidRPr="005D1973">
              <w:rPr>
                <w:b w:val="0"/>
                <w:sz w:val="24"/>
                <w:szCs w:val="24"/>
              </w:rPr>
              <w:t>Mamifere</w:t>
            </w:r>
          </w:p>
        </w:tc>
        <w:tc>
          <w:tcPr>
            <w:tcW w:w="71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18</w:t>
            </w:r>
          </w:p>
        </w:tc>
        <w:tc>
          <w:tcPr>
            <w:tcW w:w="134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6</w:t>
            </w:r>
          </w:p>
        </w:tc>
        <w:tc>
          <w:tcPr>
            <w:tcW w:w="149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6</w:t>
            </w:r>
          </w:p>
        </w:tc>
        <w:tc>
          <w:tcPr>
            <w:tcW w:w="1330"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c>
          <w:tcPr>
            <w:tcW w:w="141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3</w:t>
            </w:r>
          </w:p>
        </w:tc>
        <w:tc>
          <w:tcPr>
            <w:tcW w:w="1563"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9</w:t>
            </w:r>
          </w:p>
        </w:tc>
      </w:tr>
      <w:tr w:rsidR="00EE1961" w:rsidRPr="005D1973" w:rsidTr="00E71D51">
        <w:tc>
          <w:tcPr>
            <w:tcW w:w="1918" w:type="dxa"/>
            <w:gridSpan w:val="2"/>
            <w:shd w:val="clear" w:color="auto" w:fill="FDE9D9" w:themeFill="accent6" w:themeFillTint="33"/>
            <w:vAlign w:val="center"/>
          </w:tcPr>
          <w:p w:rsidR="00EE1961" w:rsidRPr="005D1973" w:rsidRDefault="00EE1961" w:rsidP="00C625DB">
            <w:pPr>
              <w:pStyle w:val="Heading1"/>
              <w:spacing w:before="0" w:after="0"/>
              <w:jc w:val="center"/>
              <w:rPr>
                <w:b w:val="0"/>
                <w:iCs/>
                <w:sz w:val="24"/>
                <w:szCs w:val="24"/>
              </w:rPr>
            </w:pPr>
            <w:r w:rsidRPr="005D1973">
              <w:rPr>
                <w:b w:val="0"/>
                <w:iCs/>
                <w:sz w:val="24"/>
                <w:szCs w:val="24"/>
              </w:rPr>
              <w:t>Total</w:t>
            </w:r>
          </w:p>
        </w:tc>
        <w:tc>
          <w:tcPr>
            <w:tcW w:w="71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305</w:t>
            </w:r>
          </w:p>
        </w:tc>
        <w:tc>
          <w:tcPr>
            <w:tcW w:w="1344"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90</w:t>
            </w:r>
          </w:p>
        </w:tc>
        <w:tc>
          <w:tcPr>
            <w:tcW w:w="149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19</w:t>
            </w:r>
          </w:p>
        </w:tc>
        <w:tc>
          <w:tcPr>
            <w:tcW w:w="1330"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30</w:t>
            </w:r>
          </w:p>
        </w:tc>
        <w:tc>
          <w:tcPr>
            <w:tcW w:w="1418"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12</w:t>
            </w:r>
          </w:p>
        </w:tc>
        <w:tc>
          <w:tcPr>
            <w:tcW w:w="1563" w:type="dxa"/>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9</w:t>
            </w:r>
          </w:p>
        </w:tc>
      </w:tr>
    </w:tbl>
    <w:p w:rsidR="00EE1961" w:rsidRPr="005D1973" w:rsidRDefault="00EE1961" w:rsidP="00C625DB">
      <w:pPr>
        <w:pStyle w:val="BodyTextIndent"/>
        <w:spacing w:after="0" w:line="240" w:lineRule="auto"/>
        <w:rPr>
          <w:rFonts w:ascii="Arial" w:hAnsi="Arial" w:cs="Arial"/>
          <w:sz w:val="24"/>
          <w:szCs w:val="24"/>
        </w:rPr>
      </w:pP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 xml:space="preserve">Prezenţa în anumite zone din judeţul </w:t>
      </w:r>
      <w:r w:rsidR="00217620">
        <w:rPr>
          <w:rFonts w:ascii="Arial" w:hAnsi="Arial" w:cs="Arial"/>
        </w:rPr>
        <w:t>Brăila</w:t>
      </w:r>
      <w:r w:rsidRPr="005D1973">
        <w:rPr>
          <w:rFonts w:ascii="Arial" w:hAnsi="Arial" w:cs="Arial"/>
        </w:rPr>
        <w:t xml:space="preserve"> a speciilor listate pe anexele 3-5 ale OUG nr. 57/2007 a stat la baza declarării siturilor Natura 2000.</w:t>
      </w:r>
      <w:r w:rsidRPr="005D1973">
        <w:rPr>
          <w:rFonts w:ascii="Arial" w:hAnsi="Arial" w:cs="Arial"/>
        </w:rPr>
        <w:tab/>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Dintre cele 67 de specii de peşti inventariate, 4 specii sunt vulnerabile şi 4 sunt periclitate, o specie - păstrăvul de mare (Salmo trutta la</w:t>
      </w:r>
      <w:r w:rsidR="007C1699">
        <w:rPr>
          <w:rFonts w:ascii="Arial" w:hAnsi="Arial" w:cs="Arial"/>
        </w:rPr>
        <w:t>BR</w:t>
      </w:r>
      <w:r w:rsidRPr="005D1973">
        <w:rPr>
          <w:rFonts w:ascii="Arial" w:hAnsi="Arial" w:cs="Arial"/>
        </w:rPr>
        <w:t>ax)- fiind critic periclitată. 2 specii de amfibieni din cele 7 inventariate la nivelul judeţului sunt vulnerabile, 3 sunt aproape ameninţate, iar tritonul cu creastă do</w:t>
      </w:r>
      <w:r w:rsidR="007C1699">
        <w:rPr>
          <w:rFonts w:ascii="Arial" w:hAnsi="Arial" w:cs="Arial"/>
        </w:rPr>
        <w:t>BR</w:t>
      </w:r>
      <w:r w:rsidRPr="005D1973">
        <w:rPr>
          <w:rFonts w:ascii="Arial" w:hAnsi="Arial" w:cs="Arial"/>
        </w:rPr>
        <w:t>ogean (Triturus do</w:t>
      </w:r>
      <w:r w:rsidR="007C1699">
        <w:rPr>
          <w:rFonts w:ascii="Arial" w:hAnsi="Arial" w:cs="Arial"/>
        </w:rPr>
        <w:t>BR</w:t>
      </w:r>
      <w:r w:rsidRPr="005D1973">
        <w:rPr>
          <w:rFonts w:ascii="Arial" w:hAnsi="Arial" w:cs="Arial"/>
        </w:rPr>
        <w:t xml:space="preserve">ogicus) este periclitat fiind observat în lunca Dunării, în zone ce fac parte din siturile de importanţă comunitară ROSCI0006 Balta Mică a </w:t>
      </w:r>
      <w:r w:rsidR="007C1699">
        <w:rPr>
          <w:rFonts w:ascii="Arial" w:hAnsi="Arial" w:cs="Arial"/>
        </w:rPr>
        <w:t>BR</w:t>
      </w:r>
      <w:r w:rsidRPr="005D1973">
        <w:rPr>
          <w:rFonts w:ascii="Arial" w:hAnsi="Arial" w:cs="Arial"/>
        </w:rPr>
        <w:t xml:space="preserve">ăilei şi ROSCI0012 </w:t>
      </w:r>
      <w:r w:rsidR="007C1699">
        <w:rPr>
          <w:rFonts w:ascii="Arial" w:hAnsi="Arial" w:cs="Arial"/>
        </w:rPr>
        <w:t>BR</w:t>
      </w:r>
      <w:r w:rsidRPr="005D1973">
        <w:rPr>
          <w:rFonts w:ascii="Arial" w:hAnsi="Arial" w:cs="Arial"/>
        </w:rPr>
        <w:t xml:space="preserve">aţul Măcin. </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 xml:space="preserve">Dintre speciile de păsări, 22 sunt vulnerabile, 13 specii sunt periclitate şi 3 critic periclitate (gârliţă mică, codalb şi acvilă ţipătoare mare). </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Din totalul speciilor de mamifere inventariate, 6 specii sunt vulnerabile.</w:t>
      </w: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t>Situaţia privind starea de conservare a verte</w:t>
      </w:r>
      <w:r w:rsidR="007C1699">
        <w:rPr>
          <w:rFonts w:ascii="Arial" w:hAnsi="Arial" w:cs="Arial"/>
        </w:rPr>
        <w:t>BR</w:t>
      </w:r>
      <w:r w:rsidRPr="005D1973">
        <w:rPr>
          <w:rFonts w:ascii="Arial" w:hAnsi="Arial" w:cs="Arial"/>
        </w:rPr>
        <w:t xml:space="preserve">atelor inventariate pentru judeţul </w:t>
      </w:r>
      <w:r w:rsidR="00217620">
        <w:rPr>
          <w:rFonts w:ascii="Arial" w:hAnsi="Arial" w:cs="Arial"/>
        </w:rPr>
        <w:t>Brăila</w:t>
      </w:r>
      <w:r w:rsidRPr="005D1973">
        <w:rPr>
          <w:rFonts w:ascii="Arial" w:hAnsi="Arial" w:cs="Arial"/>
        </w:rPr>
        <w:t xml:space="preserve"> poate fi sintetizată conform tabelului nr. V - 3 :</w:t>
      </w:r>
    </w:p>
    <w:p w:rsidR="00EE1961" w:rsidRPr="005D1973" w:rsidRDefault="00EE1961" w:rsidP="00C625DB">
      <w:pPr>
        <w:pStyle w:val="BodyTextIndent"/>
        <w:spacing w:after="0" w:line="240" w:lineRule="auto"/>
        <w:rPr>
          <w:rFonts w:ascii="Arial" w:hAnsi="Arial" w:cs="Arial"/>
          <w:sz w:val="24"/>
          <w:szCs w:val="24"/>
        </w:rPr>
      </w:pPr>
    </w:p>
    <w:p w:rsidR="00EE1961" w:rsidRPr="005D1973" w:rsidRDefault="00EE1961" w:rsidP="00C625DB">
      <w:pPr>
        <w:pStyle w:val="BodyTextIndent"/>
        <w:spacing w:after="0" w:line="240" w:lineRule="auto"/>
        <w:rPr>
          <w:rFonts w:ascii="Arial" w:hAnsi="Arial" w:cs="Arial"/>
          <w:b/>
          <w:sz w:val="24"/>
          <w:szCs w:val="24"/>
        </w:rPr>
      </w:pPr>
      <w:r w:rsidRPr="00202088">
        <w:rPr>
          <w:rFonts w:ascii="Arial" w:hAnsi="Arial" w:cs="Arial"/>
          <w:sz w:val="24"/>
          <w:szCs w:val="24"/>
        </w:rPr>
        <w:t>Tabel nr. V- 3.</w:t>
      </w:r>
      <w:r w:rsidRPr="005D1973">
        <w:rPr>
          <w:rFonts w:ascii="Arial" w:hAnsi="Arial" w:cs="Arial"/>
          <w:sz w:val="24"/>
          <w:szCs w:val="24"/>
          <w:lang w:val="ro-RO"/>
        </w:rPr>
        <w:t xml:space="preserve"> Situaţia privind starea de conservare a verte</w:t>
      </w:r>
      <w:r w:rsidR="007C1699">
        <w:rPr>
          <w:rFonts w:ascii="Arial" w:hAnsi="Arial" w:cs="Arial"/>
          <w:sz w:val="24"/>
          <w:szCs w:val="24"/>
          <w:lang w:val="ro-RO"/>
        </w:rPr>
        <w:t>BR</w:t>
      </w:r>
      <w:r w:rsidRPr="005D1973">
        <w:rPr>
          <w:rFonts w:ascii="Arial" w:hAnsi="Arial" w:cs="Arial"/>
          <w:sz w:val="24"/>
          <w:szCs w:val="24"/>
          <w:lang w:val="ro-RO"/>
        </w:rPr>
        <w:t xml:space="preserve">atelor inventariate pentru judeţul </w:t>
      </w:r>
      <w:r w:rsidR="00217620">
        <w:rPr>
          <w:rFonts w:ascii="Arial" w:hAnsi="Arial" w:cs="Arial"/>
          <w:sz w:val="24"/>
          <w:szCs w:val="24"/>
          <w:lang w:val="ro-RO"/>
        </w:rPr>
        <w:t>Brăila</w:t>
      </w:r>
    </w:p>
    <w:tbl>
      <w:tblPr>
        <w:tblStyle w:val="TableGrid"/>
        <w:tblW w:w="9589" w:type="dxa"/>
        <w:tblInd w:w="304" w:type="dxa"/>
        <w:shd w:val="clear" w:color="auto" w:fill="FDE9D9" w:themeFill="accent6" w:themeFillTint="33"/>
        <w:tblLayout w:type="fixed"/>
        <w:tblLook w:val="01E0"/>
      </w:tblPr>
      <w:tblGrid>
        <w:gridCol w:w="630"/>
        <w:gridCol w:w="1582"/>
        <w:gridCol w:w="1400"/>
        <w:gridCol w:w="1498"/>
        <w:gridCol w:w="1539"/>
        <w:gridCol w:w="1372"/>
        <w:gridCol w:w="1568"/>
      </w:tblGrid>
      <w:tr w:rsidR="00EE1961" w:rsidRPr="005D1973" w:rsidTr="00E71D51">
        <w:tc>
          <w:tcPr>
            <w:tcW w:w="630" w:type="dxa"/>
            <w:vMerge w:val="restart"/>
            <w:shd w:val="clear" w:color="auto" w:fill="FDE9D9" w:themeFill="accent6" w:themeFillTint="33"/>
            <w:vAlign w:val="center"/>
          </w:tcPr>
          <w:p w:rsidR="00EE1961" w:rsidRPr="005D1973" w:rsidRDefault="00EE1961" w:rsidP="00C625DB">
            <w:pPr>
              <w:pStyle w:val="BodyTextIndent"/>
              <w:spacing w:after="0"/>
              <w:ind w:left="0"/>
              <w:jc w:val="center"/>
              <w:rPr>
                <w:rFonts w:ascii="Arial" w:hAnsi="Arial" w:cs="Arial"/>
                <w:sz w:val="24"/>
                <w:szCs w:val="24"/>
              </w:rPr>
            </w:pPr>
            <w:r w:rsidRPr="005D1973">
              <w:rPr>
                <w:rFonts w:ascii="Arial" w:hAnsi="Arial" w:cs="Arial"/>
                <w:sz w:val="24"/>
                <w:szCs w:val="24"/>
              </w:rPr>
              <w:t>Nr. crt.</w:t>
            </w:r>
          </w:p>
        </w:tc>
        <w:tc>
          <w:tcPr>
            <w:tcW w:w="1582" w:type="dxa"/>
            <w:vMerge w:val="restart"/>
            <w:shd w:val="clear" w:color="auto" w:fill="FDE9D9" w:themeFill="accent6" w:themeFillTint="33"/>
            <w:vAlign w:val="center"/>
          </w:tcPr>
          <w:p w:rsidR="00EE1961" w:rsidRPr="005D1973" w:rsidRDefault="00EE1961" w:rsidP="00C625DB">
            <w:pPr>
              <w:pStyle w:val="BodyTextIndent"/>
              <w:spacing w:after="0"/>
              <w:ind w:left="0"/>
              <w:jc w:val="center"/>
              <w:rPr>
                <w:rFonts w:ascii="Arial" w:hAnsi="Arial" w:cs="Arial"/>
                <w:sz w:val="24"/>
                <w:szCs w:val="24"/>
              </w:rPr>
            </w:pPr>
            <w:r w:rsidRPr="005D1973">
              <w:rPr>
                <w:rFonts w:ascii="Arial" w:hAnsi="Arial" w:cs="Arial"/>
                <w:sz w:val="24"/>
                <w:szCs w:val="24"/>
              </w:rPr>
              <w:t>Grupa de verte</w:t>
            </w:r>
            <w:r w:rsidR="007C1699">
              <w:rPr>
                <w:rFonts w:ascii="Arial" w:hAnsi="Arial" w:cs="Arial"/>
                <w:sz w:val="24"/>
                <w:szCs w:val="24"/>
              </w:rPr>
              <w:t>BR</w:t>
            </w:r>
            <w:r w:rsidRPr="005D1973">
              <w:rPr>
                <w:rFonts w:ascii="Arial" w:hAnsi="Arial" w:cs="Arial"/>
                <w:sz w:val="24"/>
                <w:szCs w:val="24"/>
              </w:rPr>
              <w:t>ate</w:t>
            </w:r>
          </w:p>
        </w:tc>
        <w:tc>
          <w:tcPr>
            <w:tcW w:w="1400" w:type="dxa"/>
            <w:vMerge w:val="restart"/>
            <w:shd w:val="clear" w:color="auto" w:fill="FDE9D9" w:themeFill="accent6" w:themeFillTint="33"/>
            <w:vAlign w:val="center"/>
          </w:tcPr>
          <w:p w:rsidR="00EE1961" w:rsidRPr="005D1973" w:rsidRDefault="00EE1961" w:rsidP="00C625DB">
            <w:pPr>
              <w:pStyle w:val="BodyTextIndent"/>
              <w:spacing w:after="0"/>
              <w:ind w:left="0"/>
              <w:jc w:val="center"/>
              <w:rPr>
                <w:rFonts w:ascii="Arial" w:hAnsi="Arial" w:cs="Arial"/>
                <w:sz w:val="24"/>
                <w:szCs w:val="24"/>
              </w:rPr>
            </w:pPr>
            <w:r w:rsidRPr="005D1973">
              <w:rPr>
                <w:rFonts w:ascii="Arial" w:hAnsi="Arial" w:cs="Arial"/>
                <w:sz w:val="24"/>
                <w:szCs w:val="24"/>
              </w:rPr>
              <w:t>Nr. specii</w:t>
            </w:r>
          </w:p>
        </w:tc>
        <w:tc>
          <w:tcPr>
            <w:tcW w:w="5977" w:type="dxa"/>
            <w:gridSpan w:val="4"/>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Statut</w:t>
            </w:r>
          </w:p>
        </w:tc>
      </w:tr>
      <w:tr w:rsidR="00EE1961" w:rsidRPr="005D1973" w:rsidTr="00E71D51">
        <w:tc>
          <w:tcPr>
            <w:tcW w:w="630" w:type="dxa"/>
            <w:vMerge/>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p>
        </w:tc>
        <w:tc>
          <w:tcPr>
            <w:tcW w:w="1582" w:type="dxa"/>
            <w:vMerge/>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p>
        </w:tc>
        <w:tc>
          <w:tcPr>
            <w:tcW w:w="1400" w:type="dxa"/>
            <w:vMerge/>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p>
        </w:tc>
        <w:tc>
          <w:tcPr>
            <w:tcW w:w="1498" w:type="dxa"/>
            <w:shd w:val="clear" w:color="auto" w:fill="FDE9D9" w:themeFill="accent6" w:themeFillTint="33"/>
            <w:vAlign w:val="center"/>
          </w:tcPr>
          <w:p w:rsidR="00EE1961" w:rsidRPr="005D1973" w:rsidRDefault="00EE1961" w:rsidP="00C625DB">
            <w:pPr>
              <w:pStyle w:val="BodyTextIndent"/>
              <w:spacing w:after="0"/>
              <w:ind w:left="0"/>
              <w:jc w:val="center"/>
              <w:rPr>
                <w:rFonts w:ascii="Arial" w:hAnsi="Arial" w:cs="Arial"/>
                <w:sz w:val="24"/>
                <w:szCs w:val="24"/>
              </w:rPr>
            </w:pPr>
            <w:r w:rsidRPr="005D1973">
              <w:rPr>
                <w:rFonts w:ascii="Arial" w:hAnsi="Arial" w:cs="Arial"/>
                <w:sz w:val="24"/>
                <w:szCs w:val="24"/>
              </w:rPr>
              <w:t>Vulnerabile</w:t>
            </w:r>
          </w:p>
        </w:tc>
        <w:tc>
          <w:tcPr>
            <w:tcW w:w="1539" w:type="dxa"/>
            <w:shd w:val="clear" w:color="auto" w:fill="FDE9D9" w:themeFill="accent6" w:themeFillTint="33"/>
            <w:vAlign w:val="center"/>
          </w:tcPr>
          <w:p w:rsidR="00EE1961" w:rsidRPr="005D1973" w:rsidRDefault="00EE1961" w:rsidP="00C625DB">
            <w:pPr>
              <w:pStyle w:val="BodyTextIndent"/>
              <w:spacing w:after="0"/>
              <w:ind w:left="0"/>
              <w:jc w:val="center"/>
              <w:rPr>
                <w:rFonts w:ascii="Arial" w:hAnsi="Arial" w:cs="Arial"/>
                <w:sz w:val="24"/>
                <w:szCs w:val="24"/>
              </w:rPr>
            </w:pPr>
            <w:r w:rsidRPr="005D1973">
              <w:rPr>
                <w:rFonts w:ascii="Arial" w:hAnsi="Arial" w:cs="Arial"/>
                <w:sz w:val="24"/>
                <w:szCs w:val="24"/>
              </w:rPr>
              <w:t>Periclitate</w:t>
            </w:r>
          </w:p>
        </w:tc>
        <w:tc>
          <w:tcPr>
            <w:tcW w:w="1372" w:type="dxa"/>
            <w:shd w:val="clear" w:color="auto" w:fill="FDE9D9" w:themeFill="accent6" w:themeFillTint="33"/>
            <w:vAlign w:val="center"/>
          </w:tcPr>
          <w:p w:rsidR="00EE1961" w:rsidRPr="005D1973" w:rsidRDefault="00EE1961" w:rsidP="00C625DB">
            <w:pPr>
              <w:pStyle w:val="BodyTextIndent"/>
              <w:spacing w:after="0"/>
              <w:ind w:left="0"/>
              <w:jc w:val="center"/>
              <w:rPr>
                <w:rFonts w:ascii="Arial" w:hAnsi="Arial" w:cs="Arial"/>
                <w:sz w:val="24"/>
                <w:szCs w:val="24"/>
              </w:rPr>
            </w:pPr>
            <w:r w:rsidRPr="005D1973">
              <w:rPr>
                <w:rFonts w:ascii="Arial" w:hAnsi="Arial" w:cs="Arial"/>
                <w:sz w:val="24"/>
                <w:szCs w:val="24"/>
              </w:rPr>
              <w:t>Critic periclitate</w:t>
            </w:r>
          </w:p>
        </w:tc>
        <w:tc>
          <w:tcPr>
            <w:tcW w:w="1568" w:type="dxa"/>
            <w:shd w:val="clear" w:color="auto" w:fill="FDE9D9" w:themeFill="accent6" w:themeFillTint="33"/>
            <w:vAlign w:val="center"/>
          </w:tcPr>
          <w:p w:rsidR="00EE1961" w:rsidRPr="005D1973" w:rsidRDefault="00EE1961" w:rsidP="00C625DB">
            <w:pPr>
              <w:pStyle w:val="BodyTextIndent"/>
              <w:spacing w:after="0"/>
              <w:ind w:left="0"/>
              <w:jc w:val="center"/>
              <w:rPr>
                <w:rFonts w:ascii="Arial" w:hAnsi="Arial" w:cs="Arial"/>
                <w:sz w:val="24"/>
                <w:szCs w:val="24"/>
              </w:rPr>
            </w:pPr>
            <w:r w:rsidRPr="005D1973">
              <w:rPr>
                <w:rFonts w:ascii="Arial" w:hAnsi="Arial" w:cs="Arial"/>
                <w:sz w:val="24"/>
                <w:szCs w:val="24"/>
              </w:rPr>
              <w:t>Aproape ameninţate</w:t>
            </w:r>
          </w:p>
        </w:tc>
      </w:tr>
      <w:tr w:rsidR="00EE1961" w:rsidRPr="005D1973" w:rsidTr="00E71D51">
        <w:tc>
          <w:tcPr>
            <w:tcW w:w="630"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1</w:t>
            </w:r>
          </w:p>
        </w:tc>
        <w:tc>
          <w:tcPr>
            <w:tcW w:w="1582" w:type="dxa"/>
            <w:shd w:val="clear" w:color="auto" w:fill="FDE9D9" w:themeFill="accent6" w:themeFillTint="33"/>
            <w:vAlign w:val="center"/>
          </w:tcPr>
          <w:p w:rsidR="00EE1961" w:rsidRPr="005D1973" w:rsidRDefault="00EE1961" w:rsidP="00C625DB">
            <w:pPr>
              <w:jc w:val="center"/>
              <w:rPr>
                <w:rFonts w:ascii="Arial" w:hAnsi="Arial" w:cs="Arial"/>
                <w:iCs/>
                <w:sz w:val="24"/>
                <w:szCs w:val="24"/>
              </w:rPr>
            </w:pPr>
            <w:r w:rsidRPr="005D1973">
              <w:rPr>
                <w:rFonts w:ascii="Arial" w:hAnsi="Arial" w:cs="Arial"/>
                <w:iCs/>
                <w:sz w:val="24"/>
                <w:szCs w:val="24"/>
              </w:rPr>
              <w:t>Peşti</w:t>
            </w:r>
          </w:p>
        </w:tc>
        <w:tc>
          <w:tcPr>
            <w:tcW w:w="1400" w:type="dxa"/>
            <w:shd w:val="clear" w:color="auto" w:fill="FDE9D9" w:themeFill="accent6" w:themeFillTint="33"/>
            <w:vAlign w:val="center"/>
          </w:tcPr>
          <w:p w:rsidR="00EE1961" w:rsidRPr="005D1973" w:rsidRDefault="00EE1961" w:rsidP="00C625DB">
            <w:pPr>
              <w:jc w:val="center"/>
              <w:rPr>
                <w:rFonts w:ascii="Arial" w:hAnsi="Arial" w:cs="Arial"/>
                <w:sz w:val="24"/>
                <w:szCs w:val="24"/>
              </w:rPr>
            </w:pPr>
            <w:r w:rsidRPr="005D1973">
              <w:rPr>
                <w:rFonts w:ascii="Arial" w:hAnsi="Arial" w:cs="Arial"/>
                <w:sz w:val="24"/>
                <w:szCs w:val="24"/>
              </w:rPr>
              <w:t>67</w:t>
            </w:r>
          </w:p>
        </w:tc>
        <w:tc>
          <w:tcPr>
            <w:tcW w:w="149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4</w:t>
            </w:r>
          </w:p>
        </w:tc>
        <w:tc>
          <w:tcPr>
            <w:tcW w:w="1539"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4</w:t>
            </w:r>
          </w:p>
        </w:tc>
        <w:tc>
          <w:tcPr>
            <w:tcW w:w="1372"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1</w:t>
            </w:r>
          </w:p>
        </w:tc>
        <w:tc>
          <w:tcPr>
            <w:tcW w:w="156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w:t>
            </w:r>
          </w:p>
        </w:tc>
      </w:tr>
      <w:tr w:rsidR="00EE1961" w:rsidRPr="005D1973" w:rsidTr="00E71D51">
        <w:tc>
          <w:tcPr>
            <w:tcW w:w="630"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2</w:t>
            </w:r>
          </w:p>
        </w:tc>
        <w:tc>
          <w:tcPr>
            <w:tcW w:w="1582" w:type="dxa"/>
            <w:shd w:val="clear" w:color="auto" w:fill="FDE9D9" w:themeFill="accent6" w:themeFillTint="33"/>
            <w:vAlign w:val="center"/>
          </w:tcPr>
          <w:p w:rsidR="00EE1961" w:rsidRPr="005D1973" w:rsidRDefault="00EE1961" w:rsidP="00C625DB">
            <w:pPr>
              <w:pStyle w:val="Heading1"/>
              <w:spacing w:before="0" w:after="0"/>
              <w:jc w:val="center"/>
              <w:outlineLvl w:val="0"/>
              <w:rPr>
                <w:b w:val="0"/>
                <w:sz w:val="24"/>
                <w:szCs w:val="24"/>
              </w:rPr>
            </w:pPr>
            <w:r w:rsidRPr="005D1973">
              <w:rPr>
                <w:b w:val="0"/>
                <w:sz w:val="24"/>
                <w:szCs w:val="24"/>
              </w:rPr>
              <w:t>Amfibieni</w:t>
            </w:r>
          </w:p>
        </w:tc>
        <w:tc>
          <w:tcPr>
            <w:tcW w:w="1400" w:type="dxa"/>
            <w:shd w:val="clear" w:color="auto" w:fill="FDE9D9" w:themeFill="accent6" w:themeFillTint="33"/>
            <w:vAlign w:val="center"/>
          </w:tcPr>
          <w:p w:rsidR="00EE1961" w:rsidRPr="005D1973" w:rsidRDefault="00EE1961" w:rsidP="00C625DB">
            <w:pPr>
              <w:jc w:val="center"/>
              <w:rPr>
                <w:rFonts w:ascii="Arial" w:hAnsi="Arial" w:cs="Arial"/>
                <w:sz w:val="24"/>
                <w:szCs w:val="24"/>
              </w:rPr>
            </w:pPr>
            <w:r w:rsidRPr="005D1973">
              <w:rPr>
                <w:rFonts w:ascii="Arial" w:hAnsi="Arial" w:cs="Arial"/>
                <w:sz w:val="24"/>
                <w:szCs w:val="24"/>
              </w:rPr>
              <w:t>7</w:t>
            </w:r>
          </w:p>
        </w:tc>
        <w:tc>
          <w:tcPr>
            <w:tcW w:w="149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2</w:t>
            </w:r>
          </w:p>
        </w:tc>
        <w:tc>
          <w:tcPr>
            <w:tcW w:w="1539"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1</w:t>
            </w:r>
          </w:p>
        </w:tc>
        <w:tc>
          <w:tcPr>
            <w:tcW w:w="1372"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w:t>
            </w:r>
          </w:p>
        </w:tc>
        <w:tc>
          <w:tcPr>
            <w:tcW w:w="156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3</w:t>
            </w:r>
          </w:p>
        </w:tc>
      </w:tr>
      <w:tr w:rsidR="00EE1961" w:rsidRPr="005D1973" w:rsidTr="00E71D51">
        <w:tc>
          <w:tcPr>
            <w:tcW w:w="630"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3</w:t>
            </w:r>
          </w:p>
        </w:tc>
        <w:tc>
          <w:tcPr>
            <w:tcW w:w="1582" w:type="dxa"/>
            <w:shd w:val="clear" w:color="auto" w:fill="FDE9D9" w:themeFill="accent6" w:themeFillTint="33"/>
            <w:vAlign w:val="center"/>
          </w:tcPr>
          <w:p w:rsidR="00EE1961" w:rsidRPr="005D1973" w:rsidRDefault="00EE1961" w:rsidP="00C625DB">
            <w:pPr>
              <w:pStyle w:val="Heading1"/>
              <w:spacing w:before="0" w:after="0"/>
              <w:jc w:val="center"/>
              <w:outlineLvl w:val="0"/>
              <w:rPr>
                <w:b w:val="0"/>
                <w:sz w:val="24"/>
                <w:szCs w:val="24"/>
              </w:rPr>
            </w:pPr>
            <w:r w:rsidRPr="005D1973">
              <w:rPr>
                <w:b w:val="0"/>
                <w:sz w:val="24"/>
                <w:szCs w:val="24"/>
              </w:rPr>
              <w:t>Reptile</w:t>
            </w:r>
          </w:p>
        </w:tc>
        <w:tc>
          <w:tcPr>
            <w:tcW w:w="1400" w:type="dxa"/>
            <w:shd w:val="clear" w:color="auto" w:fill="FDE9D9" w:themeFill="accent6" w:themeFillTint="33"/>
            <w:vAlign w:val="center"/>
          </w:tcPr>
          <w:p w:rsidR="00EE1961" w:rsidRPr="005D1973" w:rsidRDefault="00EE1961" w:rsidP="00C625DB">
            <w:pPr>
              <w:jc w:val="center"/>
              <w:rPr>
                <w:rFonts w:ascii="Arial" w:hAnsi="Arial" w:cs="Arial"/>
                <w:sz w:val="24"/>
                <w:szCs w:val="24"/>
              </w:rPr>
            </w:pPr>
            <w:r w:rsidRPr="005D1973">
              <w:rPr>
                <w:rFonts w:ascii="Arial" w:hAnsi="Arial" w:cs="Arial"/>
                <w:sz w:val="24"/>
                <w:szCs w:val="24"/>
              </w:rPr>
              <w:t>5</w:t>
            </w:r>
          </w:p>
        </w:tc>
        <w:tc>
          <w:tcPr>
            <w:tcW w:w="149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1</w:t>
            </w:r>
          </w:p>
        </w:tc>
        <w:tc>
          <w:tcPr>
            <w:tcW w:w="1539"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w:t>
            </w:r>
          </w:p>
        </w:tc>
        <w:tc>
          <w:tcPr>
            <w:tcW w:w="1372"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w:t>
            </w:r>
          </w:p>
        </w:tc>
        <w:tc>
          <w:tcPr>
            <w:tcW w:w="156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w:t>
            </w:r>
          </w:p>
        </w:tc>
      </w:tr>
      <w:tr w:rsidR="00EE1961" w:rsidRPr="005D1973" w:rsidTr="00E71D51">
        <w:tc>
          <w:tcPr>
            <w:tcW w:w="630"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4</w:t>
            </w:r>
          </w:p>
        </w:tc>
        <w:tc>
          <w:tcPr>
            <w:tcW w:w="1582" w:type="dxa"/>
            <w:shd w:val="clear" w:color="auto" w:fill="FDE9D9" w:themeFill="accent6" w:themeFillTint="33"/>
            <w:vAlign w:val="center"/>
          </w:tcPr>
          <w:p w:rsidR="00EE1961" w:rsidRPr="005D1973" w:rsidRDefault="00EE1961" w:rsidP="00C625DB">
            <w:pPr>
              <w:pStyle w:val="Heading1"/>
              <w:spacing w:before="0" w:after="0"/>
              <w:jc w:val="center"/>
              <w:outlineLvl w:val="0"/>
              <w:rPr>
                <w:b w:val="0"/>
                <w:sz w:val="24"/>
                <w:szCs w:val="24"/>
              </w:rPr>
            </w:pPr>
            <w:r w:rsidRPr="005D1973">
              <w:rPr>
                <w:b w:val="0"/>
                <w:sz w:val="24"/>
                <w:szCs w:val="24"/>
              </w:rPr>
              <w:t>Păsări</w:t>
            </w:r>
          </w:p>
        </w:tc>
        <w:tc>
          <w:tcPr>
            <w:tcW w:w="1400" w:type="dxa"/>
            <w:shd w:val="clear" w:color="auto" w:fill="FDE9D9" w:themeFill="accent6" w:themeFillTint="33"/>
            <w:vAlign w:val="center"/>
          </w:tcPr>
          <w:p w:rsidR="00EE1961" w:rsidRPr="005D1973" w:rsidRDefault="00EE1961" w:rsidP="00C625DB">
            <w:pPr>
              <w:jc w:val="center"/>
              <w:rPr>
                <w:rFonts w:ascii="Arial" w:hAnsi="Arial" w:cs="Arial"/>
                <w:sz w:val="24"/>
                <w:szCs w:val="24"/>
              </w:rPr>
            </w:pPr>
            <w:r w:rsidRPr="005D1973">
              <w:rPr>
                <w:rFonts w:ascii="Arial" w:hAnsi="Arial" w:cs="Arial"/>
                <w:sz w:val="24"/>
                <w:szCs w:val="24"/>
              </w:rPr>
              <w:t>208</w:t>
            </w:r>
          </w:p>
        </w:tc>
        <w:tc>
          <w:tcPr>
            <w:tcW w:w="149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22</w:t>
            </w:r>
          </w:p>
        </w:tc>
        <w:tc>
          <w:tcPr>
            <w:tcW w:w="1539"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13</w:t>
            </w:r>
          </w:p>
        </w:tc>
        <w:tc>
          <w:tcPr>
            <w:tcW w:w="1372"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3</w:t>
            </w:r>
          </w:p>
        </w:tc>
        <w:tc>
          <w:tcPr>
            <w:tcW w:w="156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w:t>
            </w:r>
          </w:p>
        </w:tc>
      </w:tr>
      <w:tr w:rsidR="00EE1961" w:rsidRPr="005D1973" w:rsidTr="00E71D51">
        <w:tc>
          <w:tcPr>
            <w:tcW w:w="630"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5</w:t>
            </w:r>
          </w:p>
        </w:tc>
        <w:tc>
          <w:tcPr>
            <w:tcW w:w="1582" w:type="dxa"/>
            <w:shd w:val="clear" w:color="auto" w:fill="FDE9D9" w:themeFill="accent6" w:themeFillTint="33"/>
            <w:vAlign w:val="center"/>
          </w:tcPr>
          <w:p w:rsidR="00EE1961" w:rsidRPr="005D1973" w:rsidRDefault="00EE1961" w:rsidP="00C625DB">
            <w:pPr>
              <w:pStyle w:val="Heading1"/>
              <w:spacing w:before="0" w:after="0"/>
              <w:jc w:val="center"/>
              <w:outlineLvl w:val="0"/>
              <w:rPr>
                <w:b w:val="0"/>
                <w:sz w:val="24"/>
                <w:szCs w:val="24"/>
              </w:rPr>
            </w:pPr>
            <w:r w:rsidRPr="005D1973">
              <w:rPr>
                <w:b w:val="0"/>
                <w:sz w:val="24"/>
                <w:szCs w:val="24"/>
              </w:rPr>
              <w:t>Mamifere</w:t>
            </w:r>
          </w:p>
        </w:tc>
        <w:tc>
          <w:tcPr>
            <w:tcW w:w="1400" w:type="dxa"/>
            <w:shd w:val="clear" w:color="auto" w:fill="FDE9D9" w:themeFill="accent6" w:themeFillTint="33"/>
            <w:vAlign w:val="center"/>
          </w:tcPr>
          <w:p w:rsidR="00EE1961" w:rsidRPr="005D1973" w:rsidRDefault="00EE1961" w:rsidP="00C625DB">
            <w:pPr>
              <w:jc w:val="center"/>
              <w:rPr>
                <w:rFonts w:ascii="Arial" w:hAnsi="Arial" w:cs="Arial"/>
                <w:sz w:val="24"/>
                <w:szCs w:val="24"/>
              </w:rPr>
            </w:pPr>
            <w:r w:rsidRPr="005D1973">
              <w:rPr>
                <w:rFonts w:ascii="Arial" w:hAnsi="Arial" w:cs="Arial"/>
                <w:sz w:val="24"/>
                <w:szCs w:val="24"/>
              </w:rPr>
              <w:t>18</w:t>
            </w:r>
          </w:p>
        </w:tc>
        <w:tc>
          <w:tcPr>
            <w:tcW w:w="149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6</w:t>
            </w:r>
          </w:p>
        </w:tc>
        <w:tc>
          <w:tcPr>
            <w:tcW w:w="1539"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w:t>
            </w:r>
          </w:p>
        </w:tc>
        <w:tc>
          <w:tcPr>
            <w:tcW w:w="1372"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w:t>
            </w:r>
          </w:p>
        </w:tc>
        <w:tc>
          <w:tcPr>
            <w:tcW w:w="156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w:t>
            </w:r>
          </w:p>
        </w:tc>
      </w:tr>
      <w:tr w:rsidR="00EE1961" w:rsidRPr="005D1973" w:rsidTr="00E71D51">
        <w:tc>
          <w:tcPr>
            <w:tcW w:w="2212" w:type="dxa"/>
            <w:gridSpan w:val="2"/>
            <w:shd w:val="clear" w:color="auto" w:fill="FDE9D9" w:themeFill="accent6" w:themeFillTint="33"/>
            <w:vAlign w:val="center"/>
          </w:tcPr>
          <w:p w:rsidR="00EE1961" w:rsidRPr="005D1973" w:rsidRDefault="00EE1961" w:rsidP="00C625DB">
            <w:pPr>
              <w:pStyle w:val="Heading1"/>
              <w:spacing w:before="0" w:after="0"/>
              <w:jc w:val="center"/>
              <w:outlineLvl w:val="0"/>
              <w:rPr>
                <w:b w:val="0"/>
                <w:sz w:val="24"/>
                <w:szCs w:val="24"/>
              </w:rPr>
            </w:pPr>
            <w:r w:rsidRPr="005D1973">
              <w:rPr>
                <w:b w:val="0"/>
                <w:sz w:val="24"/>
                <w:szCs w:val="24"/>
              </w:rPr>
              <w:t>Total</w:t>
            </w:r>
          </w:p>
        </w:tc>
        <w:tc>
          <w:tcPr>
            <w:tcW w:w="1400" w:type="dxa"/>
            <w:shd w:val="clear" w:color="auto" w:fill="FDE9D9" w:themeFill="accent6" w:themeFillTint="33"/>
            <w:vAlign w:val="center"/>
          </w:tcPr>
          <w:p w:rsidR="00EE1961" w:rsidRPr="005D1973" w:rsidRDefault="00EE1961" w:rsidP="00C625DB">
            <w:pPr>
              <w:jc w:val="center"/>
              <w:rPr>
                <w:rFonts w:ascii="Arial" w:hAnsi="Arial" w:cs="Arial"/>
                <w:sz w:val="24"/>
                <w:szCs w:val="24"/>
              </w:rPr>
            </w:pPr>
            <w:r w:rsidRPr="005D1973">
              <w:rPr>
                <w:rFonts w:ascii="Arial" w:hAnsi="Arial" w:cs="Arial"/>
                <w:sz w:val="24"/>
                <w:szCs w:val="24"/>
              </w:rPr>
              <w:t>305</w:t>
            </w:r>
          </w:p>
        </w:tc>
        <w:tc>
          <w:tcPr>
            <w:tcW w:w="149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35</w:t>
            </w:r>
          </w:p>
        </w:tc>
        <w:tc>
          <w:tcPr>
            <w:tcW w:w="1539"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18</w:t>
            </w:r>
          </w:p>
        </w:tc>
        <w:tc>
          <w:tcPr>
            <w:tcW w:w="1372"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4</w:t>
            </w:r>
          </w:p>
        </w:tc>
        <w:tc>
          <w:tcPr>
            <w:tcW w:w="1568" w:type="dxa"/>
            <w:shd w:val="clear" w:color="auto" w:fill="FDE9D9" w:themeFill="accent6" w:themeFillTint="33"/>
            <w:vAlign w:val="center"/>
          </w:tcPr>
          <w:p w:rsidR="00EE1961" w:rsidRPr="005D1973" w:rsidRDefault="00EE1961" w:rsidP="00C625DB">
            <w:pPr>
              <w:pStyle w:val="BodyTextIndent"/>
              <w:spacing w:after="0"/>
              <w:jc w:val="center"/>
              <w:rPr>
                <w:rFonts w:ascii="Arial" w:hAnsi="Arial" w:cs="Arial"/>
                <w:sz w:val="24"/>
                <w:szCs w:val="24"/>
              </w:rPr>
            </w:pPr>
            <w:r w:rsidRPr="005D1973">
              <w:rPr>
                <w:rFonts w:ascii="Arial" w:hAnsi="Arial" w:cs="Arial"/>
                <w:sz w:val="24"/>
                <w:szCs w:val="24"/>
              </w:rPr>
              <w:t>3</w:t>
            </w:r>
          </w:p>
        </w:tc>
      </w:tr>
    </w:tbl>
    <w:p w:rsidR="00EE1961" w:rsidRPr="005D1973" w:rsidRDefault="00EE1961" w:rsidP="00C625DB">
      <w:pPr>
        <w:pStyle w:val="BodyTextIndent"/>
        <w:spacing w:after="0" w:line="240" w:lineRule="auto"/>
        <w:rPr>
          <w:rFonts w:ascii="Arial" w:hAnsi="Arial" w:cs="Arial"/>
          <w:sz w:val="24"/>
          <w:szCs w:val="24"/>
        </w:rPr>
      </w:pPr>
    </w:p>
    <w:p w:rsidR="00EE1961" w:rsidRPr="005D1973" w:rsidRDefault="00EE1961" w:rsidP="00C625DB">
      <w:pPr>
        <w:pStyle w:val="BodyText2"/>
        <w:spacing w:after="0" w:line="240" w:lineRule="auto"/>
        <w:ind w:firstLine="708"/>
        <w:jc w:val="both"/>
        <w:rPr>
          <w:rFonts w:ascii="Arial" w:hAnsi="Arial" w:cs="Arial"/>
        </w:rPr>
      </w:pPr>
      <w:r w:rsidRPr="005D1973">
        <w:rPr>
          <w:rFonts w:ascii="Arial" w:hAnsi="Arial" w:cs="Arial"/>
        </w:rPr>
        <w:lastRenderedPageBreak/>
        <w:t>Păsările sunt cele mai numeroase dintre verte</w:t>
      </w:r>
      <w:r w:rsidR="007C1699">
        <w:rPr>
          <w:rFonts w:ascii="Arial" w:hAnsi="Arial" w:cs="Arial"/>
        </w:rPr>
        <w:t>BR</w:t>
      </w:r>
      <w:r w:rsidRPr="005D1973">
        <w:rPr>
          <w:rFonts w:ascii="Arial" w:hAnsi="Arial" w:cs="Arial"/>
        </w:rPr>
        <w:t xml:space="preserve">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bălţi din terasa Dunării. </w:t>
      </w:r>
    </w:p>
    <w:p w:rsidR="00202088" w:rsidRDefault="00202088" w:rsidP="00202088">
      <w:pPr>
        <w:spacing w:after="0" w:line="240" w:lineRule="auto"/>
        <w:jc w:val="both"/>
        <w:rPr>
          <w:rFonts w:ascii="Arial" w:eastAsia="Times New Roman" w:hAnsi="Arial" w:cs="Arial"/>
          <w:b/>
          <w:snapToGrid w:val="0"/>
          <w:sz w:val="24"/>
          <w:szCs w:val="24"/>
        </w:rPr>
      </w:pPr>
    </w:p>
    <w:p w:rsidR="00202088" w:rsidRDefault="00EE1961" w:rsidP="00202088">
      <w:pPr>
        <w:spacing w:after="0" w:line="240" w:lineRule="auto"/>
        <w:jc w:val="both"/>
        <w:rPr>
          <w:rFonts w:ascii="Arial" w:eastAsia="Times New Roman" w:hAnsi="Arial" w:cs="Arial"/>
          <w:b/>
          <w:i/>
          <w:snapToGrid w:val="0"/>
          <w:sz w:val="24"/>
          <w:szCs w:val="24"/>
        </w:rPr>
      </w:pPr>
      <w:r w:rsidRPr="005D1973">
        <w:rPr>
          <w:rFonts w:ascii="Arial" w:eastAsia="Times New Roman" w:hAnsi="Arial" w:cs="Arial"/>
          <w:b/>
          <w:snapToGrid w:val="0"/>
          <w:sz w:val="24"/>
          <w:szCs w:val="24"/>
        </w:rPr>
        <w:t xml:space="preserve">V.1. </w:t>
      </w:r>
      <w:r w:rsidRPr="005D1973">
        <w:rPr>
          <w:rFonts w:ascii="Arial" w:eastAsia="Times New Roman" w:hAnsi="Arial" w:cs="Arial"/>
          <w:b/>
          <w:i/>
          <w:snapToGrid w:val="0"/>
          <w:sz w:val="24"/>
          <w:szCs w:val="24"/>
        </w:rPr>
        <w:t>Amenințări pentru biodiversitate și presiuni exercitate asupra biodiversității</w:t>
      </w:r>
    </w:p>
    <w:p w:rsidR="00EE1961" w:rsidRPr="00202088" w:rsidRDefault="00202088" w:rsidP="00202088">
      <w:pPr>
        <w:spacing w:after="0" w:line="240" w:lineRule="auto"/>
        <w:jc w:val="both"/>
        <w:rPr>
          <w:rFonts w:ascii="Arial" w:eastAsia="Times New Roman" w:hAnsi="Arial" w:cs="Arial"/>
          <w:b/>
          <w:i/>
          <w:snapToGrid w:val="0"/>
          <w:sz w:val="24"/>
          <w:szCs w:val="24"/>
        </w:rPr>
      </w:pPr>
      <w:r>
        <w:rPr>
          <w:rFonts w:ascii="Arial" w:eastAsia="Times New Roman" w:hAnsi="Arial" w:cs="Arial"/>
          <w:b/>
          <w:i/>
          <w:snapToGrid w:val="0"/>
          <w:sz w:val="24"/>
          <w:szCs w:val="24"/>
        </w:rPr>
        <w:t xml:space="preserve">      </w:t>
      </w:r>
      <w:r w:rsidR="00EE1961" w:rsidRPr="005D1973">
        <w:rPr>
          <w:rFonts w:ascii="Arial" w:eastAsia="Times New Roman" w:hAnsi="Arial" w:cs="Arial"/>
          <w:b/>
          <w:snapToGrid w:val="0"/>
          <w:sz w:val="24"/>
          <w:szCs w:val="24"/>
        </w:rPr>
        <w:t>V.1.1. Speciile invazive</w:t>
      </w:r>
    </w:p>
    <w:p w:rsidR="00202088" w:rsidRDefault="00202088" w:rsidP="00C625DB">
      <w:pPr>
        <w:spacing w:after="0" w:line="240" w:lineRule="auto"/>
        <w:ind w:firstLine="708"/>
        <w:jc w:val="both"/>
        <w:rPr>
          <w:rFonts w:ascii="Arial" w:eastAsia="Times New Roman" w:hAnsi="Arial" w:cs="Arial"/>
          <w:snapToGrid w:val="0"/>
          <w:sz w:val="24"/>
          <w:szCs w:val="24"/>
        </w:rPr>
      </w:pPr>
    </w:p>
    <w:p w:rsidR="00EE1961" w:rsidRPr="005D1973" w:rsidRDefault="00EE1961" w:rsidP="00C625DB">
      <w:pPr>
        <w:spacing w:after="0" w:line="240" w:lineRule="auto"/>
        <w:ind w:firstLine="708"/>
        <w:jc w:val="both"/>
        <w:rPr>
          <w:rFonts w:ascii="Arial" w:eastAsia="Times New Roman" w:hAnsi="Arial" w:cs="Arial"/>
          <w:snapToGrid w:val="0"/>
          <w:sz w:val="24"/>
          <w:szCs w:val="24"/>
        </w:rPr>
      </w:pPr>
      <w:r w:rsidRPr="005D1973">
        <w:rPr>
          <w:rFonts w:ascii="Arial" w:eastAsia="Times New Roman" w:hAnsi="Arial" w:cs="Arial"/>
          <w:snapToGrid w:val="0"/>
          <w:sz w:val="24"/>
          <w:szCs w:val="24"/>
        </w:rPr>
        <w:t>Conform OUG 57/2007 cu modificările și completările ulterioare specii invazive sunt speciile indigene sau alohtone (străine), care şi-au extins arealul de distribuţie sau au fost introduse accidental ori intenţionat într-o arie şi/sau s-au reprodus într-o asemenea măsură şi atât de agresiv încât influenţează negativ/domină/înlocuiesc unele dintre speciile indigene, determinând modificarea structurii cantitative şi/sau calitative a biocenozei naturale, caracteristică unui anumit tip de biotop.</w:t>
      </w:r>
    </w:p>
    <w:p w:rsidR="00EE1961" w:rsidRPr="005D1973" w:rsidRDefault="00EE1961" w:rsidP="00C625DB">
      <w:pPr>
        <w:spacing w:after="0" w:line="240" w:lineRule="auto"/>
        <w:ind w:firstLine="708"/>
        <w:jc w:val="both"/>
        <w:rPr>
          <w:rFonts w:ascii="Arial" w:eastAsia="Times New Roman" w:hAnsi="Arial" w:cs="Arial"/>
          <w:snapToGrid w:val="0"/>
          <w:sz w:val="24"/>
          <w:szCs w:val="24"/>
        </w:rPr>
      </w:pPr>
      <w:r w:rsidRPr="005D1973">
        <w:rPr>
          <w:rFonts w:ascii="Arial" w:eastAsia="Times New Roman" w:hAnsi="Arial" w:cs="Arial"/>
          <w:snapToGrid w:val="0"/>
          <w:sz w:val="24"/>
          <w:szCs w:val="24"/>
        </w:rPr>
        <w:t xml:space="preserve">Convenţia privind Diversitatea Biologică defineşte o specie alogenă ca fiind "o specie, subspecie sau un taxon inferior, introdus în afara răspândirii sale naturale din trecut sau prezent, incluzând orice parte, gameţi, seminţe, ouă sau mijloace de răspândire a acestor specii, care pot supravieţui şi se pot reproduce ulterior", în timp ce o specie alogenă invazivă este "o specie alogenă a cărei introducere şi/sau răspândire ameninţă diversitatea biologică". </w:t>
      </w:r>
    </w:p>
    <w:p w:rsidR="00EE1961" w:rsidRPr="005D1973" w:rsidRDefault="00EE1961" w:rsidP="00C625DB">
      <w:pPr>
        <w:pStyle w:val="BodyText21"/>
        <w:widowControl/>
        <w:ind w:firstLine="708"/>
        <w:rPr>
          <w:rFonts w:ascii="Arial" w:hAnsi="Arial" w:cs="Arial"/>
          <w:lang w:val="ro-RO"/>
        </w:rPr>
      </w:pPr>
      <w:r w:rsidRPr="005D1973">
        <w:rPr>
          <w:rFonts w:ascii="Arial" w:hAnsi="Arial" w:cs="Arial"/>
          <w:lang w:val="ro-RO"/>
        </w:rPr>
        <w:t>Aceste specii sunt raspandite la scara geografica larga si pot fi intalnite in toate tipurile de ecosisteme. Cele mai multe astfel de specii care afecteaza ecosistemele terestre apartin unor grupuri de organisme vii cum sunt plantele, mamiferele și insectele.  Amenințarea pe care aceste specii o reprezintă pentru biodiversitate la nivel global este considerată ca ocupând locul secund, după pericolul reprezentat de pierderea sau degradarea habitatului.</w:t>
      </w:r>
    </w:p>
    <w:p w:rsidR="00EE1961" w:rsidRPr="005D1973" w:rsidRDefault="00EE1961" w:rsidP="00C625DB">
      <w:pPr>
        <w:pStyle w:val="BodyText21"/>
        <w:widowControl/>
        <w:rPr>
          <w:rFonts w:ascii="Arial" w:hAnsi="Arial" w:cs="Arial"/>
          <w:lang w:val="ro-RO"/>
        </w:rPr>
      </w:pPr>
      <w:r w:rsidRPr="005D1973">
        <w:rPr>
          <w:rFonts w:ascii="Arial" w:hAnsi="Arial" w:cs="Arial"/>
          <w:lang w:val="ro-RO"/>
        </w:rPr>
        <w:t xml:space="preserve">O specie invazivă este considerată aceea care are o creștere și o distribuție spațială rapidă și care în unele cazuri ocupă spații foarte mari. Datorita faptului că factorii biotopului sau caracteristici locale ale structurii biocenozei în care erau integrate nu mai actioneaza similar in noile conditii de viata, speciile introduse pot deveni invazive ca urmare a unei cresteri numerice rapide si necontrolate in noul mediu. Acest fapt se repercuteaza negativ asupra unor specii de plante si animale autohtone care nu au timp sa-si dezvolte masuri de aparare adecvate.  </w:t>
      </w:r>
    </w:p>
    <w:p w:rsidR="00EE1961" w:rsidRPr="005D1973" w:rsidRDefault="00EE1961" w:rsidP="00C625DB">
      <w:pPr>
        <w:pStyle w:val="BodyText21"/>
        <w:widowControl/>
        <w:rPr>
          <w:rFonts w:ascii="Arial" w:hAnsi="Arial" w:cs="Arial"/>
          <w:lang w:val="ro-RO"/>
        </w:rPr>
      </w:pPr>
      <w:r w:rsidRPr="005D1973">
        <w:rPr>
          <w:rFonts w:ascii="Arial" w:hAnsi="Arial" w:cs="Arial"/>
          <w:lang w:val="ro-RO"/>
        </w:rPr>
        <w:t>Invazia speciilor străine este recunoscută, în prezent, ca una dintre principalele ameninţări la adresa biodiversităţii , structurii şi funcţiilor ecosistemelor, conservării arealelor protejate şi determină costuri mari în agricultură, silvicultură, piscicultură şi alte ramuri economice, precum şi în sănătatea umană.</w:t>
      </w:r>
    </w:p>
    <w:p w:rsidR="00EE1961" w:rsidRPr="005D1973" w:rsidRDefault="00EE1961" w:rsidP="00C625DB">
      <w:pPr>
        <w:pStyle w:val="BodyText21"/>
        <w:widowControl/>
        <w:ind w:firstLine="708"/>
        <w:rPr>
          <w:rFonts w:ascii="Arial" w:hAnsi="Arial" w:cs="Arial"/>
          <w:lang w:val="ro-RO"/>
        </w:rPr>
      </w:pPr>
      <w:r w:rsidRPr="005D1973">
        <w:rPr>
          <w:rFonts w:ascii="Arial" w:hAnsi="Arial" w:cs="Arial"/>
          <w:lang w:val="ro-RO"/>
        </w:rPr>
        <w:t xml:space="preserve">În vederea protejarii habitatelor naturale si a speciilor indigene, introducerea de specii alohtone, interventiile asupra speciilor invazive, precum si reintroducerea speciilor indigene prevazute în anexele nr. </w:t>
      </w:r>
      <w:smartTag w:uri="urn:schemas-microsoft-com:office:smarttags" w:element="metricconverter">
        <w:smartTagPr>
          <w:attr w:name="ProductID" w:val="4 A"/>
        </w:smartTagPr>
        <w:r w:rsidRPr="005D1973">
          <w:rPr>
            <w:rFonts w:ascii="Arial" w:hAnsi="Arial" w:cs="Arial"/>
            <w:lang w:val="ro-RO"/>
          </w:rPr>
          <w:t>4 A</w:t>
        </w:r>
      </w:smartTag>
      <w:r w:rsidRPr="005D1973">
        <w:rPr>
          <w:rFonts w:ascii="Arial" w:hAnsi="Arial" w:cs="Arial"/>
          <w:lang w:val="ro-RO"/>
        </w:rPr>
        <w:t xml:space="preserve"> si 4 B se reglementeaza prin ordin al conducatorului autoritatii publice centrale pentru protectia mediului si padurilor</w:t>
      </w:r>
      <w:r w:rsidR="002569BB" w:rsidRPr="005D1973">
        <w:rPr>
          <w:rFonts w:ascii="Arial" w:hAnsi="Arial" w:cs="Arial"/>
          <w:lang w:val="ro-RO"/>
        </w:rPr>
        <w:t>.</w:t>
      </w:r>
      <w:r w:rsidRPr="005D1973">
        <w:rPr>
          <w:rFonts w:ascii="Arial" w:hAnsi="Arial" w:cs="Arial"/>
          <w:lang w:val="ro-RO"/>
        </w:rPr>
        <w:t xml:space="preserve">   </w:t>
      </w:r>
    </w:p>
    <w:p w:rsidR="00EE1961" w:rsidRPr="005D1973" w:rsidRDefault="00EE1961" w:rsidP="00C625DB">
      <w:pPr>
        <w:pStyle w:val="BodyText21"/>
        <w:widowControl/>
        <w:rPr>
          <w:rFonts w:ascii="Arial" w:hAnsi="Arial" w:cs="Arial"/>
          <w:lang w:val="ro-RO"/>
        </w:rPr>
      </w:pPr>
      <w:r w:rsidRPr="005D1973">
        <w:rPr>
          <w:rFonts w:ascii="Arial" w:hAnsi="Arial" w:cs="Arial"/>
          <w:lang w:val="ro-RO"/>
        </w:rPr>
        <w:t>Comisia Europeană a publicat in 09.09.2013 o propunere de regulament pentru prevenire şi management privind introducerea şi răspândirea speciilor alogene invazive. Propunerea urmăreşte să abordeze problema speciilor alogene invazive într-o manieră cuprinzătoare, astfel încât să protejeze biodiversitatea nativă şi a serviciilor de ecosistem (servicii de mediu), precum şi pentru a reduce şi a atenua impactul economic şi asupra sănătăţii umane pe care aceste specii le pot avea</w:t>
      </w:r>
    </w:p>
    <w:p w:rsidR="00EE1961" w:rsidRPr="005D1973" w:rsidRDefault="00EE1961" w:rsidP="00C625DB">
      <w:pPr>
        <w:pStyle w:val="BodyText21"/>
        <w:widowControl/>
        <w:ind w:firstLine="708"/>
        <w:rPr>
          <w:rFonts w:ascii="Arial" w:hAnsi="Arial" w:cs="Arial"/>
          <w:lang w:val="ro-RO"/>
        </w:rPr>
      </w:pPr>
      <w:r w:rsidRPr="005D1973">
        <w:rPr>
          <w:rFonts w:ascii="Arial" w:hAnsi="Arial" w:cs="Arial"/>
          <w:lang w:val="ro-RO"/>
        </w:rPr>
        <w:t>Conform Strategiei Europene pentru Biodiversitate, se prevede ca până în 2020 să fie identificate şi prioritizate speciile alogene invazive şi căile lor de răspândire, să fie controlate sau eradicate speciile prioritare şi să se prevenină introducerea de noi specii invasive. Odată cu intrarea în vigoare a Regulamentului se vor întocmi baze de date şi se va putea monitoriza progresul acţiunilor întreprinse pentru limitarea efectelor negative generate de speciile invazive</w:t>
      </w:r>
    </w:p>
    <w:p w:rsidR="00EE1961" w:rsidRPr="005D1973" w:rsidRDefault="00EE1961" w:rsidP="00C625DB">
      <w:pPr>
        <w:pStyle w:val="BodyText21"/>
        <w:widowControl/>
        <w:rPr>
          <w:rFonts w:ascii="Arial" w:hAnsi="Arial" w:cs="Arial"/>
          <w:lang w:val="ro-RO"/>
        </w:rPr>
      </w:pPr>
      <w:r w:rsidRPr="005D1973">
        <w:rPr>
          <w:rFonts w:ascii="Arial" w:hAnsi="Arial" w:cs="Arial"/>
          <w:lang w:val="ro-RO"/>
        </w:rPr>
        <w:lastRenderedPageBreak/>
        <w:t>În prezent la nivel național nu există o bază de date care să conţină speciile invazive. Baza de date europeană DAISIE (</w:t>
      </w:r>
      <w:hyperlink r:id="rId98" w:history="1">
        <w:r w:rsidRPr="005D1973">
          <w:rPr>
            <w:rFonts w:ascii="Arial" w:hAnsi="Arial" w:cs="Arial"/>
            <w:lang w:val="ro-RO"/>
          </w:rPr>
          <w:t>http://www.europe-aliens.org/</w:t>
        </w:r>
      </w:hyperlink>
      <w:r w:rsidRPr="005D1973">
        <w:rPr>
          <w:rFonts w:ascii="Arial" w:hAnsi="Arial" w:cs="Arial"/>
          <w:lang w:val="ro-RO"/>
        </w:rPr>
        <w:t xml:space="preserve">) este completată în mod benevol de către specialiştii din domeniu. </w:t>
      </w:r>
    </w:p>
    <w:p w:rsidR="00EE1961" w:rsidRPr="005D1973" w:rsidRDefault="00EE1961" w:rsidP="00C625DB">
      <w:pPr>
        <w:pStyle w:val="BodyText21"/>
        <w:widowControl/>
        <w:ind w:firstLine="708"/>
        <w:rPr>
          <w:rFonts w:ascii="Arial" w:hAnsi="Arial" w:cs="Arial"/>
          <w:lang w:val="ro-RO"/>
        </w:rPr>
      </w:pPr>
      <w:r w:rsidRPr="005D1973">
        <w:rPr>
          <w:rFonts w:ascii="Arial" w:hAnsi="Arial" w:cs="Arial"/>
          <w:lang w:val="ro-RO"/>
        </w:rPr>
        <w:t xml:space="preserve">Pentru județul </w:t>
      </w:r>
      <w:r w:rsidR="00217620">
        <w:rPr>
          <w:rFonts w:ascii="Arial" w:hAnsi="Arial" w:cs="Arial"/>
          <w:lang w:val="ro-RO"/>
        </w:rPr>
        <w:t>Brăila</w:t>
      </w:r>
      <w:r w:rsidRPr="005D1973">
        <w:rPr>
          <w:rFonts w:ascii="Arial" w:hAnsi="Arial" w:cs="Arial"/>
          <w:lang w:val="ro-RO"/>
        </w:rPr>
        <w:t xml:space="preserve"> nu există informații relevante cu privire la aceste specii. Pe traseul Dunării de Jos cea mai expansivă specie alohtonă invazivă este Amorpha fruticosa, un arbust originar din America de Nord, asemănător salcâmului care a fost introdus în România ca arbust ornamental și pentru stabilizarea solurilor degradate și erodate. În timp s-au constatat efecte negative asupra mediului, prin concurența făcută speciilor autohtone, ceea ce a condus chiar la eliminarea unora dintre acestea pe arealele afectate. Prezentă în habitate seminaturale ea a coborât acum până în sălcete unde tinde să înlocuiască salcia autohtonă. Îndepărtarea tufărișului de amorfă din habitatele naturale invadate, în scopul regenerării acestora, este deosebit de dificilă, din cauza prolificității deosebite a speciei, presupunând, de asemenea, resurse financiare foarte mari.</w:t>
      </w:r>
    </w:p>
    <w:p w:rsidR="00EE1961" w:rsidRPr="005D1973" w:rsidRDefault="00EE1961" w:rsidP="00C625DB">
      <w:pPr>
        <w:pStyle w:val="Default"/>
        <w:ind w:firstLine="708"/>
        <w:jc w:val="both"/>
        <w:rPr>
          <w:rFonts w:ascii="Arial" w:hAnsi="Arial" w:cs="Arial"/>
          <w:color w:val="auto"/>
        </w:rPr>
      </w:pPr>
      <w:r w:rsidRPr="005D1973">
        <w:rPr>
          <w:rFonts w:ascii="Arial" w:hAnsi="Arial" w:cs="Arial"/>
          <w:color w:val="auto"/>
          <w:lang w:val="ro-RO"/>
        </w:rPr>
        <w:t xml:space="preserve">În ariile protejate situate în Lunca Siretului Inferior a fost observată apariția și extinderea invazivă a speciei Trachemys scripta -țestoasa de apă cu tâmple galbene însă cu semnalări punctuale, izolat și cu caracter ocazional. Specia intră în competiție cu </w:t>
      </w:r>
      <w:r w:rsidR="007C1699">
        <w:rPr>
          <w:rFonts w:ascii="Arial" w:hAnsi="Arial" w:cs="Arial"/>
          <w:color w:val="auto"/>
          <w:lang w:val="ro-RO"/>
        </w:rPr>
        <w:t>BR</w:t>
      </w:r>
      <w:r w:rsidRPr="005D1973">
        <w:rPr>
          <w:rFonts w:ascii="Arial" w:hAnsi="Arial" w:cs="Arial"/>
          <w:color w:val="auto"/>
          <w:lang w:val="ro-RO"/>
        </w:rPr>
        <w:t>oasca țestoasă europeană, Emys orbicularis, înlocuind-o treptat din habitatele respective.</w:t>
      </w:r>
      <w:r w:rsidRPr="005D1973">
        <w:rPr>
          <w:rFonts w:ascii="Arial" w:hAnsi="Arial" w:cs="Arial"/>
          <w:color w:val="auto"/>
        </w:rPr>
        <w:t xml:space="preserve"> De asemenea, în același areal este semnalată extinderea invazivă a speciilor introduse prin practicile silvice, salcâm, glădiță, oțetar, specii care înlocuiesc treptat vegetația nativă, intrând în competiție cu speciile corespunzătoare tipului de stațiune existent, alterând habitatele și capacitatea acestora de susținere a speciilor de interes conservativ precum și alterarea habitatelor .</w:t>
      </w:r>
    </w:p>
    <w:p w:rsidR="00EE1961" w:rsidRPr="005D1973" w:rsidRDefault="00EE1961" w:rsidP="00C625DB">
      <w:pPr>
        <w:pStyle w:val="BodyText21"/>
        <w:widowControl/>
        <w:ind w:firstLine="737"/>
        <w:rPr>
          <w:rFonts w:ascii="Arial" w:hAnsi="Arial" w:cs="Arial"/>
          <w:lang w:val="ro-RO"/>
        </w:rPr>
      </w:pPr>
      <w:r w:rsidRPr="005D1973">
        <w:rPr>
          <w:rFonts w:ascii="Arial" w:hAnsi="Arial" w:cs="Arial"/>
          <w:lang w:val="ro-RO"/>
        </w:rPr>
        <w:t xml:space="preserve"> </w:t>
      </w:r>
    </w:p>
    <w:p w:rsidR="00EE1961" w:rsidRPr="005D1973" w:rsidRDefault="00EE1961" w:rsidP="00C625DB">
      <w:pPr>
        <w:pStyle w:val="BodyText21"/>
        <w:widowControl/>
        <w:ind w:left="170"/>
        <w:rPr>
          <w:rFonts w:ascii="Arial" w:hAnsi="Arial" w:cs="Arial"/>
        </w:rPr>
      </w:pPr>
      <w:r w:rsidRPr="005D1973">
        <w:rPr>
          <w:rFonts w:ascii="Arial" w:hAnsi="Arial" w:cs="Arial"/>
          <w:b/>
        </w:rPr>
        <w:t xml:space="preserve">V.1.2 </w:t>
      </w:r>
      <w:r w:rsidRPr="005D1973">
        <w:rPr>
          <w:rFonts w:ascii="Arial" w:hAnsi="Arial" w:cs="Arial"/>
          <w:b/>
          <w:i/>
        </w:rPr>
        <w:t>Poluarea și încărcarea cu nutrienți</w:t>
      </w:r>
    </w:p>
    <w:p w:rsidR="00202088" w:rsidRDefault="00202088" w:rsidP="00C625DB">
      <w:pPr>
        <w:pStyle w:val="Default"/>
        <w:ind w:firstLine="708"/>
        <w:jc w:val="both"/>
        <w:rPr>
          <w:rFonts w:ascii="Arial" w:hAnsi="Arial" w:cs="Arial"/>
          <w:color w:val="auto"/>
          <w:lang w:val="ro-RO"/>
        </w:rPr>
      </w:pP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 xml:space="preserve">Toate formele de poluare ameninţă biodiversitatea, dar mai ales încărcarea cu nutrienţi (azot şi fosfor), care reprezintă o cauză majoră şi în continuă creştere a pierderii de biodiversitate şi a degradării ecosistemelor. Emisiile de azot în atmosferă au crescut substanţial în ultimii 100 de ani, mai ales sub formă de amoniu din agricultură şi de oxizi de azot din industrie. Ca urmare a depunerilor din atmosferă, aceste forme de azot sunt depozitate, afectând habitatele sensibile. </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În plus, compuşii cu azot pot produce şi eutrofizarea ecosistemelor, manifestată prin scăderea bogăţiei de specii și creșterea numerică a populațiilor speciilor rezistente. Astfel, eutrofizarea apelor (lacuri, ape marine) constă în dezvoltarea excesivă a algelor plantonice, ceea ce conduce la creşterea acumulării de materie organică. Această acumulare poate fi asociată cu modificări în compoziţia speciilor, alterând astfel funcţionarea lanţurilor trofice.</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Se consideră că biodiversitatea este ameninţată de poluare acolo unde sunt depășite anumite încărcări considerate critice pentru anumiți indicatori care reflectă cantitatea de nutrienți ( azot și fosfor) , sulf sau expunerea la ozon.</w:t>
      </w:r>
    </w:p>
    <w:p w:rsidR="00EE1961" w:rsidRPr="005D1973" w:rsidRDefault="00EE1961" w:rsidP="00C625DB">
      <w:pPr>
        <w:autoSpaceDE w:val="0"/>
        <w:autoSpaceDN w:val="0"/>
        <w:adjustRightInd w:val="0"/>
        <w:spacing w:after="0" w:line="240" w:lineRule="auto"/>
        <w:jc w:val="both"/>
        <w:rPr>
          <w:rFonts w:ascii="Arial" w:eastAsia="Times New Roman" w:hAnsi="Arial" w:cs="Arial"/>
          <w:sz w:val="24"/>
          <w:szCs w:val="24"/>
          <w:lang w:eastAsia="ro-RO"/>
        </w:rPr>
      </w:pP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V.I.3 Schimbările climatice</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Schimbări climatice sunt schimbări de climat care sunt atribuite direct sau indirect unei activităţi omeneşti care alterează compoziţia atmosferei la nivel global şi care se adaugă variabilităţii naturale a climatului observat în cursul unor perioade comparabile.</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Studiile ştiinţifice de impact au pus în evidenţă modificările produse de schimbarea climei asupra sistemelor naturale şi au analizat măsurile de adaptare pentru ca aceste modificări să fie minime, astfel încât să se asigure resursele de hrană şi dezvoltarea pe termen lung a societăţii  şi economiei.</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 xml:space="preserve">Biodiversitatea este afectată de schimbările climatice, cu consecinţe negative pentru umanitate. În acelaşi timp, biodiversitatea, prin serviciile de ecosistem pe care le susţine, are o contribuţie importantă atât la atenuarea, cât şi la adaptarea la schimbările climatice. Cu alte cuvinte, conservarea şi gestiunea adecvată a biodiversităţii este o chestiune critică în privinţa schimbărilor climatice. </w:t>
      </w:r>
    </w:p>
    <w:p w:rsidR="00EE1961" w:rsidRPr="005D1973" w:rsidRDefault="00EE1961" w:rsidP="00C625DB">
      <w:pPr>
        <w:pStyle w:val="Default"/>
        <w:ind w:firstLine="708"/>
        <w:jc w:val="both"/>
        <w:rPr>
          <w:rFonts w:ascii="Arial" w:hAnsi="Arial" w:cs="Arial"/>
          <w:color w:val="auto"/>
          <w:lang w:val="ro-RO"/>
        </w:rPr>
      </w:pPr>
    </w:p>
    <w:p w:rsidR="00EE1961" w:rsidRPr="005D1973" w:rsidRDefault="00EE1961" w:rsidP="00C625DB">
      <w:pPr>
        <w:tabs>
          <w:tab w:val="left" w:pos="1176"/>
          <w:tab w:val="left" w:leader="dot" w:pos="9356"/>
        </w:tabs>
        <w:spacing w:after="0" w:line="240" w:lineRule="auto"/>
        <w:jc w:val="both"/>
        <w:rPr>
          <w:rFonts w:ascii="Arial" w:hAnsi="Arial" w:cs="Arial"/>
          <w:b/>
          <w:sz w:val="24"/>
          <w:szCs w:val="24"/>
        </w:rPr>
      </w:pPr>
      <w:r w:rsidRPr="005D1973">
        <w:rPr>
          <w:rFonts w:ascii="Arial" w:hAnsi="Arial" w:cs="Arial"/>
          <w:b/>
          <w:sz w:val="24"/>
          <w:szCs w:val="24"/>
        </w:rPr>
        <w:t xml:space="preserve">V.1.4 </w:t>
      </w:r>
      <w:r w:rsidRPr="005D1973">
        <w:rPr>
          <w:rFonts w:ascii="Arial" w:hAnsi="Arial" w:cs="Arial"/>
          <w:b/>
          <w:i/>
          <w:sz w:val="24"/>
          <w:szCs w:val="24"/>
        </w:rPr>
        <w:t>Modificarea habitatelor</w:t>
      </w:r>
      <w:r w:rsidRPr="005D1973">
        <w:rPr>
          <w:rFonts w:ascii="Arial" w:hAnsi="Arial" w:cs="Arial"/>
          <w:b/>
          <w:sz w:val="24"/>
          <w:szCs w:val="24"/>
        </w:rPr>
        <w:t xml:space="preserve"> </w:t>
      </w:r>
    </w:p>
    <w:p w:rsidR="00EE1961" w:rsidRPr="005D1973" w:rsidRDefault="00EE1961" w:rsidP="00C625DB">
      <w:pPr>
        <w:tabs>
          <w:tab w:val="left" w:leader="dot" w:pos="9356"/>
        </w:tabs>
        <w:spacing w:after="0" w:line="240" w:lineRule="auto"/>
        <w:jc w:val="both"/>
        <w:rPr>
          <w:rFonts w:ascii="Arial" w:hAnsi="Arial" w:cs="Arial"/>
          <w:sz w:val="24"/>
          <w:szCs w:val="24"/>
        </w:rPr>
      </w:pPr>
      <w:r w:rsidRPr="005D1973">
        <w:rPr>
          <w:rFonts w:ascii="Arial" w:hAnsi="Arial" w:cs="Arial"/>
          <w:b/>
          <w:sz w:val="24"/>
          <w:szCs w:val="24"/>
        </w:rPr>
        <w:t xml:space="preserve">              V.1.4.1. Fragmentarea ecosistemelor</w:t>
      </w:r>
      <w:r w:rsidRPr="005D1973">
        <w:rPr>
          <w:rFonts w:ascii="Arial" w:hAnsi="Arial" w:cs="Arial"/>
          <w:sz w:val="24"/>
          <w:szCs w:val="24"/>
        </w:rPr>
        <w:t xml:space="preserve"> </w:t>
      </w:r>
    </w:p>
    <w:p w:rsidR="00EE1961" w:rsidRPr="005D1973" w:rsidRDefault="00EE1961" w:rsidP="00C625DB">
      <w:pPr>
        <w:tabs>
          <w:tab w:val="left" w:leader="dot" w:pos="9356"/>
        </w:tabs>
        <w:spacing w:after="0" w:line="240" w:lineRule="auto"/>
        <w:jc w:val="both"/>
        <w:rPr>
          <w:rFonts w:ascii="Arial" w:hAnsi="Arial" w:cs="Arial"/>
          <w:sz w:val="24"/>
          <w:szCs w:val="24"/>
        </w:rPr>
      </w:pP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 xml:space="preserve">Extinderea în spaţiu a sistemului socio-economic uman, creşterea complexităţii subsistemelor componente precum şi sporirea conexiunilor dintre acestea duc la distrugerea, degradarea şi fragmentarea sistemelor ecologice naturale şi seminaturale. Fragmentarea habitatelor este procesul prin care o suprafaţă mare şi continuă a unui habitat este divizată în două sau mai multe fragmente. Alterarea sistemelor ecologice naturale terestre şi a apelor curgătoare este considerată una din cele mai grave ameninţări asupra biodiversităţii la nivel global. </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 xml:space="preserve">Cea mai vizibilă şi cu un impact major este distrugerea directă a sistemelor ecologice (ex. tăierea unei păduri, drenarea unui zone umede, construirea unui baraj, transformarea zonelor de stepă/preerie/savană în agroecosisteme). Deseori impactul distrugerii directe este mult amplificat de fragmentarea sistemelor ecologice rămase. </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Fragmentarea poate duce la întreruperea continuităţii structurale sau funcţionale a sistemelor ecologice, datorită distribuirii habitatului rămas în parcele mici, izolate. Rezultatul final al dezvoltării componentelor sistemului socio-economic uman într-o regiune sunt un ansamblu de zone naturale şi seminaturale, cu suprafaţă redusă, izolate, adevărate insule într-o “mare” de agroecosisteme, ecosisteme urbane şi rurale. Conversia terenurilor în scopul dezvoltării urbane, industriale, agricole, turistice sau pentru transport, poate determina degradarea, distrugerea şi fragmentarea habitatelor. Se reduce astfel spaţiul pentru habitate şi ecosisteme care furnizează servicii importante, cum ar fi reglarea echili</w:t>
      </w:r>
      <w:r w:rsidR="007C1699">
        <w:rPr>
          <w:rFonts w:ascii="Arial" w:hAnsi="Arial" w:cs="Arial"/>
          <w:color w:val="auto"/>
          <w:lang w:val="ro-RO"/>
        </w:rPr>
        <w:t>BR</w:t>
      </w:r>
      <w:r w:rsidRPr="005D1973">
        <w:rPr>
          <w:rFonts w:ascii="Arial" w:hAnsi="Arial" w:cs="Arial"/>
          <w:color w:val="auto"/>
          <w:lang w:val="ro-RO"/>
        </w:rPr>
        <w:t xml:space="preserve">ului apei şi protecţia împotriva inundaţiilor. </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 xml:space="preserve">Fragmentarea antropică a habitatelor are loc mai ales prin conversia terenurilor agricole, urbanizare, poluare, despăduriri şi introducerea de specii alogene. </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Fragmentarea ecosistemelor este cauza cea mai importantă a distrugerii biodiversităţii, prin reducerea bogăţiei de specii şi a diversităţii taxonomice, respectiv prin reducerea funcţiilor ecosistemelor. Fragmentarea poate produce izolarea unor specii până la reducerea la minim a mărimii viabile a unei populaţii, aceasta fiind în pericol de extincţie. În alte cazuri, populaţia unei specii poate să crească într-un habitat complex fragmentat, pentru că este specie dominantă sau pentru că au fost eliminate alte specii prin fragmentare.</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 xml:space="preserve">În judeţul </w:t>
      </w:r>
      <w:r w:rsidR="00217620">
        <w:rPr>
          <w:rFonts w:ascii="Arial" w:hAnsi="Arial" w:cs="Arial"/>
          <w:color w:val="auto"/>
          <w:lang w:val="ro-RO"/>
        </w:rPr>
        <w:t>Brăila</w:t>
      </w:r>
      <w:r w:rsidRPr="005D1973">
        <w:rPr>
          <w:rFonts w:ascii="Arial" w:hAnsi="Arial" w:cs="Arial"/>
          <w:color w:val="auto"/>
          <w:lang w:val="ro-RO"/>
        </w:rPr>
        <w:t xml:space="preserve">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ca şi o mare parte din păşunile cu vegetaţie de stepă pe terenuri cu exces de umiditate, care au fost asanate. </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 xml:space="preserve">Consecinţele îndiguirii sunt: </w:t>
      </w:r>
    </w:p>
    <w:p w:rsidR="00EE1961" w:rsidRPr="005D1973" w:rsidRDefault="00EE1961" w:rsidP="00252ED3">
      <w:pPr>
        <w:pStyle w:val="Default"/>
        <w:numPr>
          <w:ilvl w:val="0"/>
          <w:numId w:val="70"/>
        </w:numPr>
        <w:tabs>
          <w:tab w:val="clear" w:pos="1776"/>
        </w:tabs>
        <w:ind w:left="1134"/>
        <w:jc w:val="both"/>
        <w:rPr>
          <w:rFonts w:ascii="Arial" w:hAnsi="Arial" w:cs="Arial"/>
          <w:color w:val="auto"/>
          <w:lang w:val="ro-RO"/>
        </w:rPr>
      </w:pPr>
      <w:r w:rsidRPr="005D1973">
        <w:rPr>
          <w:rFonts w:ascii="Arial" w:hAnsi="Arial" w:cs="Arial"/>
          <w:color w:val="auto"/>
          <w:lang w:val="ro-RO"/>
        </w:rPr>
        <w:t>modificarea regimului hidrologic al Dunării prin creşterea amplitudinii viiturilor;</w:t>
      </w:r>
    </w:p>
    <w:p w:rsidR="00EE1961" w:rsidRPr="005D1973" w:rsidRDefault="00EE1961" w:rsidP="00252ED3">
      <w:pPr>
        <w:pStyle w:val="Default"/>
        <w:numPr>
          <w:ilvl w:val="0"/>
          <w:numId w:val="70"/>
        </w:numPr>
        <w:tabs>
          <w:tab w:val="clear" w:pos="1776"/>
        </w:tabs>
        <w:ind w:left="1134"/>
        <w:jc w:val="both"/>
        <w:rPr>
          <w:rFonts w:ascii="Arial" w:hAnsi="Arial" w:cs="Arial"/>
          <w:color w:val="auto"/>
          <w:lang w:val="ro-RO"/>
        </w:rPr>
      </w:pPr>
      <w:r w:rsidRPr="005D1973">
        <w:rPr>
          <w:rFonts w:ascii="Arial" w:hAnsi="Arial" w:cs="Arial"/>
          <w:color w:val="auto"/>
          <w:lang w:val="ro-RO"/>
        </w:rPr>
        <w:t>reducerea capacităţii de retenţie a nutrienţilor de către zonele inundabile;</w:t>
      </w:r>
    </w:p>
    <w:p w:rsidR="00EE1961" w:rsidRPr="005D1973" w:rsidRDefault="00EE1961" w:rsidP="00252ED3">
      <w:pPr>
        <w:pStyle w:val="Default"/>
        <w:numPr>
          <w:ilvl w:val="0"/>
          <w:numId w:val="70"/>
        </w:numPr>
        <w:tabs>
          <w:tab w:val="clear" w:pos="1776"/>
        </w:tabs>
        <w:ind w:left="1134"/>
        <w:jc w:val="both"/>
        <w:rPr>
          <w:rFonts w:ascii="Arial" w:hAnsi="Arial" w:cs="Arial"/>
          <w:color w:val="auto"/>
          <w:lang w:val="ro-RO"/>
        </w:rPr>
      </w:pPr>
      <w:r w:rsidRPr="005D1973">
        <w:rPr>
          <w:rFonts w:ascii="Arial" w:hAnsi="Arial" w:cs="Arial"/>
          <w:color w:val="auto"/>
          <w:lang w:val="ro-RO"/>
        </w:rPr>
        <w:t>sărăturarea terenurilor desecate din cauza fluctuaţiilor nivelului pânzei freatice din sol;</w:t>
      </w:r>
    </w:p>
    <w:p w:rsidR="00EE1961" w:rsidRPr="005D1973" w:rsidRDefault="00EE1961" w:rsidP="00252ED3">
      <w:pPr>
        <w:pStyle w:val="Default"/>
        <w:numPr>
          <w:ilvl w:val="0"/>
          <w:numId w:val="70"/>
        </w:numPr>
        <w:tabs>
          <w:tab w:val="clear" w:pos="1776"/>
        </w:tabs>
        <w:ind w:left="1134"/>
        <w:jc w:val="both"/>
        <w:rPr>
          <w:rFonts w:ascii="Arial" w:hAnsi="Arial" w:cs="Arial"/>
          <w:color w:val="auto"/>
          <w:lang w:val="ro-RO"/>
        </w:rPr>
      </w:pPr>
      <w:r w:rsidRPr="005D1973">
        <w:rPr>
          <w:rFonts w:ascii="Arial" w:hAnsi="Arial" w:cs="Arial"/>
          <w:color w:val="auto"/>
          <w:lang w:val="ro-RO"/>
        </w:rPr>
        <w:t>reducerea zonelor de reproducere a speciilor de peşti semimigratori;</w:t>
      </w:r>
    </w:p>
    <w:p w:rsidR="00EE1961" w:rsidRPr="005D1973" w:rsidRDefault="00EE1961" w:rsidP="00252ED3">
      <w:pPr>
        <w:pStyle w:val="Default"/>
        <w:numPr>
          <w:ilvl w:val="0"/>
          <w:numId w:val="70"/>
        </w:numPr>
        <w:tabs>
          <w:tab w:val="clear" w:pos="1776"/>
        </w:tabs>
        <w:ind w:left="1134"/>
        <w:jc w:val="both"/>
        <w:rPr>
          <w:rFonts w:ascii="Arial" w:hAnsi="Arial" w:cs="Arial"/>
          <w:color w:val="auto"/>
          <w:lang w:val="ro-RO"/>
        </w:rPr>
      </w:pPr>
      <w:r w:rsidRPr="005D1973">
        <w:rPr>
          <w:rFonts w:ascii="Arial" w:hAnsi="Arial" w:cs="Arial"/>
          <w:color w:val="auto"/>
          <w:lang w:val="ro-RO"/>
        </w:rPr>
        <w:t>reducerea capturilor de peşte.</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 xml:space="preserve">Secarea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Realizarea canalelor în scop piscicol determină în prezent scurgerea prematură a apei către Dunăre, fenomen favorizat şi de faptul că, în timp, fundul bălţilor s-a ridicat prin depunerea aluviunilor aduse de fluviu. </w:t>
      </w:r>
    </w:p>
    <w:p w:rsidR="00EE1961" w:rsidRPr="005D1973"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lastRenderedPageBreak/>
        <w:t xml:space="preserve">Modificarea ecosistemelor a fost cauzată şi de utilizarea unor metode şi tehnici agricole inadecvate precum folosirea pesticidelor, păşunatul intensiv sau neorganizat, arderea miriştilor, ş.a.. </w:t>
      </w:r>
    </w:p>
    <w:p w:rsidR="00EE1961" w:rsidRDefault="00EE1961" w:rsidP="00C625DB">
      <w:pPr>
        <w:pStyle w:val="Default"/>
        <w:ind w:firstLine="708"/>
        <w:jc w:val="both"/>
        <w:rPr>
          <w:rFonts w:ascii="Arial" w:hAnsi="Arial" w:cs="Arial"/>
          <w:color w:val="auto"/>
          <w:lang w:val="ro-RO"/>
        </w:rPr>
      </w:pPr>
      <w:r w:rsidRPr="005D1973">
        <w:rPr>
          <w:rFonts w:ascii="Arial" w:hAnsi="Arial" w:cs="Arial"/>
          <w:color w:val="auto"/>
          <w:lang w:val="ro-RO"/>
        </w:rPr>
        <w:t xml:space="preserve">Substituirea pădurilor aluviale naturale din Balta </w:t>
      </w:r>
      <w:r w:rsidR="007C1699">
        <w:rPr>
          <w:rFonts w:ascii="Arial" w:hAnsi="Arial" w:cs="Arial"/>
          <w:color w:val="auto"/>
          <w:lang w:val="ro-RO"/>
        </w:rPr>
        <w:t>BR</w:t>
      </w:r>
      <w:r w:rsidRPr="005D1973">
        <w:rPr>
          <w:rFonts w:ascii="Arial" w:hAnsi="Arial" w:cs="Arial"/>
          <w:color w:val="auto"/>
          <w:lang w:val="ro-RO"/>
        </w:rPr>
        <w:t xml:space="preserve">ăilei prin culturi uniclonale plopicole şi salicicole, îndiguirile, desecările şi întinsele monoculturi agricole practicate în ultimlele decenii au dus la profunde modificări calitative şi cantitative asupra biodiversităţii judeţului. </w:t>
      </w:r>
    </w:p>
    <w:p w:rsidR="00202088" w:rsidRPr="005D1973" w:rsidRDefault="00202088" w:rsidP="00C625DB">
      <w:pPr>
        <w:pStyle w:val="Default"/>
        <w:ind w:firstLine="708"/>
        <w:jc w:val="both"/>
        <w:rPr>
          <w:rFonts w:ascii="Arial" w:hAnsi="Arial" w:cs="Arial"/>
          <w:color w:val="auto"/>
          <w:lang w:val="ro-RO"/>
        </w:rPr>
      </w:pPr>
    </w:p>
    <w:p w:rsidR="00EE1961" w:rsidRDefault="00202088" w:rsidP="00202088">
      <w:pPr>
        <w:tabs>
          <w:tab w:val="left" w:leader="dot" w:pos="9356"/>
        </w:tabs>
        <w:spacing w:after="0" w:line="240" w:lineRule="auto"/>
        <w:jc w:val="both"/>
        <w:rPr>
          <w:rFonts w:ascii="Arial" w:hAnsi="Arial" w:cs="Arial"/>
          <w:b/>
          <w:sz w:val="24"/>
          <w:szCs w:val="24"/>
        </w:rPr>
      </w:pPr>
      <w:r>
        <w:rPr>
          <w:rFonts w:ascii="Arial" w:hAnsi="Arial" w:cs="Arial"/>
          <w:b/>
          <w:sz w:val="24"/>
          <w:szCs w:val="24"/>
        </w:rPr>
        <w:t xml:space="preserve">          </w:t>
      </w:r>
      <w:r w:rsidR="00EE1961" w:rsidRPr="005D1973">
        <w:rPr>
          <w:rFonts w:ascii="Arial" w:hAnsi="Arial" w:cs="Arial"/>
          <w:b/>
          <w:sz w:val="24"/>
          <w:szCs w:val="24"/>
        </w:rPr>
        <w:t xml:space="preserve">V.1.4.2. Reducerea habitatelor naturale şi semi-naturale </w:t>
      </w:r>
    </w:p>
    <w:p w:rsidR="00202088" w:rsidRPr="005D1973" w:rsidRDefault="00202088" w:rsidP="00202088">
      <w:pPr>
        <w:tabs>
          <w:tab w:val="left" w:leader="dot" w:pos="9356"/>
        </w:tabs>
        <w:spacing w:after="0" w:line="240" w:lineRule="auto"/>
        <w:jc w:val="both"/>
        <w:rPr>
          <w:rFonts w:ascii="Arial" w:hAnsi="Arial" w:cs="Arial"/>
          <w:b/>
          <w:sz w:val="24"/>
          <w:szCs w:val="24"/>
        </w:rPr>
      </w:pPr>
    </w:p>
    <w:p w:rsidR="00EE1961" w:rsidRPr="005D1973" w:rsidRDefault="00EE1961" w:rsidP="00C625DB">
      <w:pPr>
        <w:pStyle w:val="Default"/>
        <w:ind w:firstLine="708"/>
        <w:jc w:val="both"/>
        <w:rPr>
          <w:rFonts w:ascii="Arial" w:hAnsi="Arial" w:cs="Arial"/>
          <w:color w:val="auto"/>
          <w:lang w:val="ro-RO" w:eastAsia="ro-RO"/>
        </w:rPr>
      </w:pPr>
      <w:r w:rsidRPr="005D1973">
        <w:rPr>
          <w:rFonts w:ascii="Arial" w:hAnsi="Arial" w:cs="Arial"/>
          <w:color w:val="auto"/>
          <w:lang w:val="ro-RO" w:eastAsia="ro-RO"/>
        </w:rPr>
        <w:t>Terenurile ocupate de suprafeţele construite şi infrastructura densă conectează aşezările umane şi fragmentează peisajele. Acest lucru fiind, de asemenea, o sursă importantă de poluare a apei, solului şi a aerului.</w:t>
      </w:r>
    </w:p>
    <w:p w:rsidR="00EE1961" w:rsidRPr="005D1973" w:rsidRDefault="00EE1961" w:rsidP="00C625DB">
      <w:pPr>
        <w:pStyle w:val="Default"/>
        <w:jc w:val="both"/>
        <w:rPr>
          <w:rFonts w:ascii="Arial" w:hAnsi="Arial" w:cs="Arial"/>
          <w:color w:val="auto"/>
          <w:lang w:val="ro-RO" w:eastAsia="ro-RO"/>
        </w:rPr>
      </w:pPr>
      <w:r w:rsidRPr="005D1973">
        <w:rPr>
          <w:rFonts w:ascii="Arial" w:hAnsi="Arial" w:cs="Arial"/>
          <w:color w:val="auto"/>
          <w:lang w:val="ro-RO" w:eastAsia="ro-RO"/>
        </w:rPr>
        <w:t>Gradul de conversie a terenurilor se poate exprima prin schimbarea cantitativă a ocupării terenurilor agricole, împădurite, semi-naturale şi naturale, prin expansiunea terenurilor urbane şi artificiale.</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În privinţa suprafeţelor scoase din circuitul agricol, acestea au primit alte folosinţe, în special pentru construirea canalizării pentru apa menajeră şi a staţiilor de epurare a apelor uzate, amplasarea de parcuri eoliene, staţii telefonie mobilă, precum şi pentru alte construcţii. În general, zonele ocupate de construcţii s-au extins în detrimentul celorlalte categorii de acoperiri de terenuri, cu excepţia pădurilor şi a corpurilor de apă. </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Toate investiţiile mari, dar şi cele mici, amplasate în zone naturale, trebuie să ţină cont, în primul rând, de impactul negativ asupra florei şi a faunei sălbatice. În acest sens, se impun studii de impact bine documentate, elaborate de către specialişti în domeniu, punându-se accent pe efectele pe termen mediu şi lung. </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Extinderea intravilanului în zonele din imediata vecinătate a ariilor naturale protejate sau chiar în interiorul acestora cu scopul de realizare ulterioara a unor zone rezidenţiale sau chiar staţiuni turistice generează o presiune puternică asupra ariilor naturale protejate. </w:t>
      </w:r>
    </w:p>
    <w:p w:rsidR="00EE1961" w:rsidRPr="005D1973" w:rsidRDefault="00EE1961" w:rsidP="00C625DB">
      <w:pPr>
        <w:pStyle w:val="BodyText21"/>
        <w:widowControl/>
        <w:rPr>
          <w:rFonts w:ascii="Arial" w:eastAsia="SimSun" w:hAnsi="Arial" w:cs="Arial"/>
          <w:lang w:val="fr-FR"/>
        </w:rPr>
      </w:pPr>
      <w:r w:rsidRPr="005D1973">
        <w:rPr>
          <w:rFonts w:ascii="Arial" w:eastAsia="SimSun" w:hAnsi="Arial" w:cs="Arial"/>
          <w:lang w:val="fr-FR"/>
        </w:rPr>
        <w:t>De multe ori efectele acţiunilor antropice sunt greu sesizabile, însă în unele împrejurări, când afectează biocenoze întregi, pot fi de-a dreptul catastrofale pentru existenţa populaţiilor umane, din zonele respective. Dispariţia sau scăderea până la un nivel critic a speciilor este cauzată de supraexploatare (vânătoare, pescuit, suprapăşunat), însă, de multe ori, este consecinţa distrugerii habitatului lor prin construirea diverselor obiective urbane şi industriale. Exploatarea excesivă a unor resurse naturale, precum şi fragmentarea unor habitate naturale, duc la periclitarea vieţii sălbatice.</w:t>
      </w:r>
    </w:p>
    <w:p w:rsidR="00EE1961" w:rsidRPr="005D1973" w:rsidRDefault="00EE1961" w:rsidP="00C625DB">
      <w:pPr>
        <w:pStyle w:val="BodyText21"/>
        <w:widowControl/>
        <w:rPr>
          <w:rFonts w:ascii="Arial" w:hAnsi="Arial" w:cs="Arial"/>
          <w:i/>
          <w:lang w:val="ro-RO"/>
        </w:rPr>
      </w:pPr>
      <w:r w:rsidRPr="005D1973">
        <w:rPr>
          <w:rFonts w:ascii="Arial" w:hAnsi="Arial" w:cs="Arial"/>
          <w:i/>
          <w:lang w:val="ro-RO"/>
        </w:rPr>
        <w:tab/>
      </w:r>
    </w:p>
    <w:p w:rsidR="00EE1961" w:rsidRDefault="00EE1961" w:rsidP="00C625DB">
      <w:pPr>
        <w:tabs>
          <w:tab w:val="left" w:pos="1176"/>
          <w:tab w:val="left" w:leader="dot" w:pos="9356"/>
        </w:tabs>
        <w:spacing w:after="0" w:line="240" w:lineRule="auto"/>
        <w:ind w:left="426"/>
        <w:rPr>
          <w:rFonts w:ascii="Arial" w:hAnsi="Arial" w:cs="Arial"/>
          <w:b/>
          <w:i/>
          <w:sz w:val="24"/>
          <w:szCs w:val="24"/>
        </w:rPr>
      </w:pPr>
      <w:r w:rsidRPr="005D1973">
        <w:rPr>
          <w:rFonts w:ascii="Arial" w:hAnsi="Arial" w:cs="Arial"/>
          <w:b/>
          <w:i/>
          <w:sz w:val="24"/>
          <w:szCs w:val="24"/>
        </w:rPr>
        <w:t>V.1.5 Exploatarea excesivă a resurselor naturale</w:t>
      </w:r>
    </w:p>
    <w:p w:rsidR="00202088" w:rsidRPr="005D1973" w:rsidRDefault="00202088" w:rsidP="00C625DB">
      <w:pPr>
        <w:tabs>
          <w:tab w:val="left" w:pos="1176"/>
          <w:tab w:val="left" w:leader="dot" w:pos="9356"/>
        </w:tabs>
        <w:spacing w:after="0" w:line="240" w:lineRule="auto"/>
        <w:ind w:left="426"/>
        <w:rPr>
          <w:rFonts w:ascii="Arial" w:hAnsi="Arial" w:cs="Arial"/>
          <w:b/>
          <w:i/>
          <w:sz w:val="24"/>
          <w:szCs w:val="24"/>
        </w:rPr>
      </w:pP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Utilizarea nesustenabilă a resurselor naturale şi supra-exploatarea lor, care apare când consumul depăşeşte puterea de reproducere a plantelor şi animalelor, este una din ameninţările majore pentru  biodiversitate.</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Supraexploatarea resurselor naturale regenerabile pentru a alimenta procesele de producţie din economie, </w:t>
      </w:r>
      <w:r w:rsidR="007932F4" w:rsidRPr="005D1973">
        <w:rPr>
          <w:rFonts w:ascii="Arial" w:eastAsia="Times New Roman" w:hAnsi="Arial" w:cs="Arial"/>
          <w:sz w:val="24"/>
          <w:szCs w:val="24"/>
          <w:lang w:eastAsia="ro-RO"/>
        </w:rPr>
        <w:t xml:space="preserve">poate fi generată prin </w:t>
      </w:r>
      <w:r w:rsidRPr="005D1973">
        <w:rPr>
          <w:rFonts w:ascii="Arial" w:eastAsia="Times New Roman" w:hAnsi="Arial" w:cs="Arial"/>
          <w:sz w:val="24"/>
          <w:szCs w:val="24"/>
          <w:lang w:eastAsia="ro-RO"/>
        </w:rPr>
        <w:t>:</w:t>
      </w:r>
    </w:p>
    <w:p w:rsidR="00EE1961" w:rsidRPr="005D1973" w:rsidRDefault="00EE1961" w:rsidP="00252ED3">
      <w:pPr>
        <w:numPr>
          <w:ilvl w:val="0"/>
          <w:numId w:val="28"/>
        </w:numPr>
        <w:tabs>
          <w:tab w:val="clear" w:pos="2520"/>
        </w:tabs>
        <w:spacing w:after="0" w:line="240" w:lineRule="auto"/>
        <w:ind w:left="561"/>
        <w:jc w:val="both"/>
        <w:rPr>
          <w:rFonts w:ascii="Arial" w:hAnsi="Arial" w:cs="Arial"/>
          <w:sz w:val="24"/>
          <w:szCs w:val="24"/>
          <w:lang w:val="it-IT"/>
        </w:rPr>
      </w:pPr>
      <w:r w:rsidRPr="005D1973">
        <w:rPr>
          <w:rFonts w:ascii="Arial" w:hAnsi="Arial" w:cs="Arial"/>
          <w:sz w:val="24"/>
          <w:szCs w:val="24"/>
          <w:lang w:val="it-IT"/>
        </w:rPr>
        <w:t xml:space="preserve">agricultura intensivă, </w:t>
      </w:r>
      <w:r w:rsidR="007932F4" w:rsidRPr="005D1973">
        <w:rPr>
          <w:rFonts w:ascii="Arial" w:hAnsi="Arial" w:cs="Arial"/>
          <w:sz w:val="24"/>
          <w:szCs w:val="24"/>
          <w:lang w:val="it-IT"/>
        </w:rPr>
        <w:t xml:space="preserve">care </w:t>
      </w:r>
      <w:r w:rsidRPr="005D1973">
        <w:rPr>
          <w:rFonts w:ascii="Arial" w:hAnsi="Arial" w:cs="Arial"/>
          <w:sz w:val="24"/>
          <w:szCs w:val="24"/>
          <w:lang w:val="it-IT"/>
        </w:rPr>
        <w:t xml:space="preserve">este concentrată pe monocultură, cu minimizarea speciilor asociate. Aceste sisteme oferă producţii mari pentru un singur produs, dar depind de utilizarea fertilizatorilor şi a pesticidelor. </w:t>
      </w:r>
    </w:p>
    <w:p w:rsidR="00EE1961" w:rsidRPr="005D1973" w:rsidRDefault="00EE1961" w:rsidP="00252ED3">
      <w:pPr>
        <w:numPr>
          <w:ilvl w:val="0"/>
          <w:numId w:val="28"/>
        </w:numPr>
        <w:tabs>
          <w:tab w:val="clear" w:pos="2520"/>
        </w:tabs>
        <w:spacing w:after="0" w:line="240" w:lineRule="auto"/>
        <w:ind w:left="561"/>
        <w:jc w:val="both"/>
        <w:rPr>
          <w:rFonts w:ascii="Arial" w:hAnsi="Arial" w:cs="Arial"/>
          <w:sz w:val="24"/>
          <w:szCs w:val="24"/>
          <w:lang w:val="it-IT"/>
        </w:rPr>
      </w:pPr>
      <w:r w:rsidRPr="005D1973">
        <w:rPr>
          <w:rFonts w:ascii="Arial" w:hAnsi="Arial" w:cs="Arial"/>
          <w:sz w:val="24"/>
          <w:szCs w:val="24"/>
          <w:lang w:val="it-IT"/>
        </w:rPr>
        <w:t xml:space="preserve">exploatarea unor specii prin vânătoare sau pescuit, </w:t>
      </w:r>
      <w:r w:rsidR="007C1699">
        <w:rPr>
          <w:rFonts w:ascii="Arial" w:hAnsi="Arial" w:cs="Arial"/>
          <w:sz w:val="24"/>
          <w:szCs w:val="24"/>
          <w:lang w:val="it-IT"/>
        </w:rPr>
        <w:t>BR</w:t>
      </w:r>
      <w:r w:rsidRPr="005D1973">
        <w:rPr>
          <w:rFonts w:ascii="Arial" w:hAnsi="Arial" w:cs="Arial"/>
          <w:sz w:val="24"/>
          <w:szCs w:val="24"/>
          <w:lang w:val="it-IT"/>
        </w:rPr>
        <w:t>aconajul piscicol având drept consecinţe diminuarea necontrolată a populaţiilor de peşti în sensul depăşirii capacităţii de suport, capturarea neselectivă a ihtiofaunei (mai ales folosind pentru pescuit dispozitive cu curent electric şi plase  monofilament), produc dezechili</w:t>
      </w:r>
      <w:r w:rsidR="007C1699">
        <w:rPr>
          <w:rFonts w:ascii="Arial" w:hAnsi="Arial" w:cs="Arial"/>
          <w:sz w:val="24"/>
          <w:szCs w:val="24"/>
          <w:lang w:val="it-IT"/>
        </w:rPr>
        <w:t>BR</w:t>
      </w:r>
      <w:r w:rsidRPr="005D1973">
        <w:rPr>
          <w:rFonts w:ascii="Arial" w:hAnsi="Arial" w:cs="Arial"/>
          <w:sz w:val="24"/>
          <w:szCs w:val="24"/>
          <w:lang w:val="it-IT"/>
        </w:rPr>
        <w:t xml:space="preserve">e în lanţurile trofice; </w:t>
      </w:r>
    </w:p>
    <w:p w:rsidR="00EE1961" w:rsidRPr="005D1973" w:rsidRDefault="00EE1961" w:rsidP="00252ED3">
      <w:pPr>
        <w:numPr>
          <w:ilvl w:val="0"/>
          <w:numId w:val="28"/>
        </w:numPr>
        <w:tabs>
          <w:tab w:val="clear" w:pos="2520"/>
          <w:tab w:val="num" w:pos="567"/>
        </w:tabs>
        <w:spacing w:after="0" w:line="240" w:lineRule="auto"/>
        <w:ind w:left="561"/>
        <w:jc w:val="both"/>
        <w:rPr>
          <w:rFonts w:ascii="Arial" w:hAnsi="Arial" w:cs="Arial"/>
          <w:sz w:val="24"/>
          <w:szCs w:val="24"/>
          <w:lang w:val="it-IT"/>
        </w:rPr>
      </w:pPr>
      <w:r w:rsidRPr="005D1973">
        <w:rPr>
          <w:rFonts w:ascii="Arial" w:hAnsi="Arial" w:cs="Arial"/>
          <w:sz w:val="24"/>
          <w:szCs w:val="24"/>
          <w:lang w:val="it-IT"/>
        </w:rPr>
        <w:lastRenderedPageBreak/>
        <w:t>supraexploatarea masei lemnoase şi tăierile ilegale din pădurile de curând retrocedate şi care nu sunt în prezent administrate corespunzător reprezintă o ameninţare la adresa biodiversităţii;</w:t>
      </w:r>
    </w:p>
    <w:p w:rsidR="00EE1961" w:rsidRPr="005D1973" w:rsidRDefault="00EE1961" w:rsidP="00252ED3">
      <w:pPr>
        <w:numPr>
          <w:ilvl w:val="0"/>
          <w:numId w:val="28"/>
        </w:numPr>
        <w:tabs>
          <w:tab w:val="clear" w:pos="2520"/>
          <w:tab w:val="num" w:pos="567"/>
        </w:tabs>
        <w:spacing w:after="0" w:line="240" w:lineRule="auto"/>
        <w:ind w:left="561"/>
        <w:jc w:val="both"/>
        <w:rPr>
          <w:rFonts w:ascii="Arial" w:hAnsi="Arial" w:cs="Arial"/>
          <w:sz w:val="24"/>
          <w:szCs w:val="24"/>
          <w:lang w:val="it-IT"/>
        </w:rPr>
      </w:pPr>
      <w:r w:rsidRPr="005D1973">
        <w:rPr>
          <w:rFonts w:ascii="Arial" w:hAnsi="Arial" w:cs="Arial"/>
          <w:sz w:val="24"/>
          <w:szCs w:val="24"/>
          <w:lang w:val="it-IT"/>
        </w:rPr>
        <w:t>suprapăşunatul ce are un impact negativ semnificativ asupra fitocenozelor, cauzând descreşterea biomasei vegetale şi a numărului de specii cu valoare nutritivă;</w:t>
      </w:r>
    </w:p>
    <w:p w:rsidR="00EE1961" w:rsidRPr="005D1973" w:rsidRDefault="00EE1961" w:rsidP="00252ED3">
      <w:pPr>
        <w:numPr>
          <w:ilvl w:val="0"/>
          <w:numId w:val="28"/>
        </w:numPr>
        <w:tabs>
          <w:tab w:val="clear" w:pos="2520"/>
          <w:tab w:val="num" w:pos="567"/>
        </w:tabs>
        <w:spacing w:after="0" w:line="240" w:lineRule="auto"/>
        <w:ind w:left="561"/>
        <w:jc w:val="both"/>
        <w:rPr>
          <w:rFonts w:ascii="Arial" w:hAnsi="Arial" w:cs="Arial"/>
          <w:sz w:val="24"/>
          <w:szCs w:val="24"/>
          <w:lang w:val="it-IT"/>
        </w:rPr>
      </w:pPr>
      <w:r w:rsidRPr="005D1973">
        <w:rPr>
          <w:rFonts w:ascii="Arial" w:hAnsi="Arial" w:cs="Arial"/>
          <w:sz w:val="24"/>
          <w:szCs w:val="24"/>
          <w:lang w:val="it-IT"/>
        </w:rPr>
        <w:t xml:space="preserve">presiunile asupra resursei de apă au crescut în ultimii ani din cauza dezvoltării agriculturii, sectorului energetic, industriei, alimentării cu apă şi a turismului, necesarul de apă depăşind de multe ori cantităţile existente. Creşterea volumelor de apă stocate artificial reduce apa alocată sistemelor naturale şi creşte fragmentarea din cauza barajelor. Extracţia excesivă de apă şi perioadele prelungite de secetă au redus debitele râurilor, au redus nivelul lacurilor şi al apelor freatice şi au secat zonele umede. </w:t>
      </w:r>
    </w:p>
    <w:p w:rsidR="00EE1961" w:rsidRPr="005D1973" w:rsidRDefault="00EE1961" w:rsidP="00252ED3">
      <w:pPr>
        <w:numPr>
          <w:ilvl w:val="0"/>
          <w:numId w:val="28"/>
        </w:numPr>
        <w:tabs>
          <w:tab w:val="clear" w:pos="2520"/>
          <w:tab w:val="num" w:pos="567"/>
        </w:tabs>
        <w:spacing w:after="0" w:line="240" w:lineRule="auto"/>
        <w:ind w:left="561"/>
        <w:jc w:val="both"/>
        <w:rPr>
          <w:rFonts w:ascii="Arial" w:hAnsi="Arial" w:cs="Arial"/>
          <w:sz w:val="24"/>
          <w:szCs w:val="24"/>
          <w:lang w:val="it-IT"/>
        </w:rPr>
      </w:pPr>
      <w:r w:rsidRPr="005D1973">
        <w:rPr>
          <w:rFonts w:ascii="Arial" w:hAnsi="Arial" w:cs="Arial"/>
          <w:sz w:val="24"/>
          <w:szCs w:val="24"/>
          <w:lang w:val="it-IT"/>
        </w:rPr>
        <w:t>Creşterea populaţiei poate cauza un impact asupra biodiversităţii atât direct prin supraexploatarea resurselor naturale, cât şi indirect prin intensificarea utilizării terenurilor, care poate duce în timp la modificări ale peisajelor.</w:t>
      </w:r>
    </w:p>
    <w:p w:rsidR="00EE1961" w:rsidRPr="005D1973" w:rsidRDefault="00EE1961" w:rsidP="00252ED3">
      <w:pPr>
        <w:numPr>
          <w:ilvl w:val="0"/>
          <w:numId w:val="28"/>
        </w:numPr>
        <w:tabs>
          <w:tab w:val="clear" w:pos="2520"/>
          <w:tab w:val="num" w:pos="567"/>
        </w:tabs>
        <w:spacing w:after="0" w:line="240" w:lineRule="auto"/>
        <w:ind w:left="561"/>
        <w:jc w:val="both"/>
        <w:rPr>
          <w:rFonts w:ascii="Arial" w:hAnsi="Arial" w:cs="Arial"/>
          <w:sz w:val="24"/>
          <w:szCs w:val="24"/>
          <w:lang w:val="it-IT"/>
        </w:rPr>
      </w:pPr>
      <w:r w:rsidRPr="005D1973">
        <w:rPr>
          <w:rFonts w:ascii="Arial" w:hAnsi="Arial" w:cs="Arial"/>
          <w:sz w:val="24"/>
          <w:szCs w:val="24"/>
          <w:lang w:val="it-IT"/>
        </w:rPr>
        <w:t xml:space="preserve">Turismul practicat în zonele împădurite poate afecta fondul forestier prin gestionarea necorespunzătoare a deşeurilor, dar şi prin distrugerea florei, deteriorarea locurilor de reproducere/odihnă sau perturbarea faunei sălbatice sau producerea de incendii.  </w:t>
      </w:r>
    </w:p>
    <w:p w:rsidR="00202088" w:rsidRDefault="00202088" w:rsidP="00202088">
      <w:pPr>
        <w:tabs>
          <w:tab w:val="left" w:leader="dot" w:pos="9356"/>
        </w:tabs>
        <w:spacing w:after="0" w:line="240" w:lineRule="auto"/>
        <w:rPr>
          <w:rFonts w:ascii="Arial" w:hAnsi="Arial" w:cs="Arial"/>
          <w:b/>
          <w:sz w:val="24"/>
          <w:szCs w:val="24"/>
        </w:rPr>
      </w:pPr>
      <w:r>
        <w:rPr>
          <w:rFonts w:ascii="Arial" w:hAnsi="Arial" w:cs="Arial"/>
          <w:b/>
          <w:sz w:val="24"/>
          <w:szCs w:val="24"/>
        </w:rPr>
        <w:t xml:space="preserve">            </w:t>
      </w:r>
    </w:p>
    <w:p w:rsidR="00EE1961" w:rsidRDefault="00202088" w:rsidP="00202088">
      <w:pPr>
        <w:tabs>
          <w:tab w:val="left" w:leader="dot" w:pos="9356"/>
        </w:tabs>
        <w:spacing w:after="0" w:line="240" w:lineRule="auto"/>
        <w:rPr>
          <w:rFonts w:ascii="Arial" w:hAnsi="Arial" w:cs="Arial"/>
          <w:b/>
          <w:sz w:val="24"/>
          <w:szCs w:val="24"/>
        </w:rPr>
      </w:pPr>
      <w:r>
        <w:rPr>
          <w:rFonts w:ascii="Arial" w:hAnsi="Arial" w:cs="Arial"/>
          <w:b/>
          <w:sz w:val="24"/>
          <w:szCs w:val="24"/>
        </w:rPr>
        <w:t xml:space="preserve">          </w:t>
      </w:r>
      <w:r w:rsidR="00EE1961" w:rsidRPr="005D1973">
        <w:rPr>
          <w:rFonts w:ascii="Arial" w:hAnsi="Arial" w:cs="Arial"/>
          <w:b/>
          <w:sz w:val="24"/>
          <w:szCs w:val="24"/>
        </w:rPr>
        <w:t>V.1.5.1 Exploatarea forestieră</w:t>
      </w:r>
    </w:p>
    <w:p w:rsidR="00202088" w:rsidRPr="005D1973" w:rsidRDefault="00202088" w:rsidP="00202088">
      <w:pPr>
        <w:tabs>
          <w:tab w:val="left" w:leader="dot" w:pos="9356"/>
        </w:tabs>
        <w:spacing w:after="0" w:line="240" w:lineRule="auto"/>
        <w:rPr>
          <w:rFonts w:ascii="Arial" w:hAnsi="Arial" w:cs="Arial"/>
          <w:sz w:val="24"/>
          <w:szCs w:val="24"/>
        </w:rPr>
      </w:pP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Raportul dintre creşterea şi tăierea arborilor poate oferi o imagine asupra sustenabilității producţiei de masă lemnoasă în timp, cât şi asupra disponibilității actuale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potenţialul producţiei de masă lemnoasă şi pentru starea biodiversităţii, a sănătăţii şi funcţiilor pădurilor.</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Suprafaţa fondului forestier al judeţului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este de 28026 ha, ceea ce reprezintă numai 5,88 % din suprafaţa judeţului, din care cea mai mare parte este proprietate de stat. Potrivit Codului silvic (Legea nr. 46/2008) judeţul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este zonă deficitară în păduri deoarece suprafaţa ac</w:t>
      </w:r>
      <w:r w:rsidR="00A055FA" w:rsidRPr="005D1973">
        <w:rPr>
          <w:rFonts w:ascii="Arial" w:eastAsia="Times New Roman" w:hAnsi="Arial" w:cs="Arial"/>
          <w:sz w:val="24"/>
          <w:szCs w:val="24"/>
          <w:lang w:eastAsia="ro-RO"/>
        </w:rPr>
        <w:t>estora reprezintă mai puţin de 30</w:t>
      </w:r>
      <w:r w:rsidRPr="005D1973">
        <w:rPr>
          <w:rFonts w:ascii="Arial" w:eastAsia="Times New Roman" w:hAnsi="Arial" w:cs="Arial"/>
          <w:sz w:val="24"/>
          <w:szCs w:val="24"/>
          <w:lang w:eastAsia="ro-RO"/>
        </w:rPr>
        <w:t>% din suprafaţa totală a judeţului.</w:t>
      </w:r>
      <w:r w:rsidR="00A055FA" w:rsidRPr="005D1973">
        <w:rPr>
          <w:rFonts w:ascii="Arial" w:eastAsia="Times New Roman" w:hAnsi="Arial" w:cs="Arial"/>
          <w:sz w:val="24"/>
          <w:szCs w:val="24"/>
          <w:lang w:eastAsia="ro-RO"/>
        </w:rPr>
        <w:t xml:space="preserve"> </w:t>
      </w:r>
      <w:r w:rsidRPr="005D1973">
        <w:rPr>
          <w:rFonts w:ascii="Arial" w:eastAsia="Times New Roman" w:hAnsi="Arial" w:cs="Arial"/>
          <w:sz w:val="24"/>
          <w:szCs w:val="24"/>
          <w:lang w:eastAsia="ro-RO"/>
        </w:rPr>
        <w:t>În aceste condiții modul de planificare a producției devine un aspect foarte sensibil al planificării gestionării pădurilor de care trebuie ținut cont la momentul proiectării și aprobării amenajamentelor silvice.</w:t>
      </w:r>
    </w:p>
    <w:p w:rsidR="00EE1961" w:rsidRPr="005D1973" w:rsidRDefault="00EE1961" w:rsidP="00C625DB">
      <w:pPr>
        <w:spacing w:after="0" w:line="240" w:lineRule="auto"/>
        <w:jc w:val="both"/>
        <w:rPr>
          <w:rFonts w:ascii="Arial" w:hAnsi="Arial" w:cs="Arial"/>
          <w:sz w:val="24"/>
          <w:szCs w:val="24"/>
        </w:rPr>
      </w:pPr>
    </w:p>
    <w:p w:rsidR="00EE1961" w:rsidRPr="005D1973" w:rsidRDefault="00EE1961" w:rsidP="00C625DB">
      <w:pPr>
        <w:spacing w:after="0" w:line="240" w:lineRule="auto"/>
        <w:ind w:left="142" w:hanging="142"/>
        <w:rPr>
          <w:rFonts w:ascii="Arial" w:hAnsi="Arial" w:cs="Arial"/>
          <w:sz w:val="24"/>
          <w:szCs w:val="24"/>
        </w:rPr>
      </w:pPr>
      <w:r w:rsidRPr="005D1973">
        <w:rPr>
          <w:rFonts w:ascii="Arial" w:hAnsi="Arial" w:cs="Arial"/>
          <w:b/>
          <w:sz w:val="24"/>
          <w:szCs w:val="24"/>
        </w:rPr>
        <w:tab/>
      </w:r>
      <w:r w:rsidRPr="00202088">
        <w:rPr>
          <w:rFonts w:ascii="Arial" w:hAnsi="Arial" w:cs="Arial"/>
          <w:sz w:val="24"/>
          <w:szCs w:val="24"/>
        </w:rPr>
        <w:t>Tabel nr. V.1.5.1.- 1 Evolutia</w:t>
      </w:r>
      <w:r w:rsidRPr="005D1973">
        <w:rPr>
          <w:rFonts w:ascii="Arial" w:hAnsi="Arial" w:cs="Arial"/>
          <w:sz w:val="24"/>
          <w:szCs w:val="24"/>
        </w:rPr>
        <w:t xml:space="preserve"> cresterii fondului forestier comparativ cu taierea masei lemnoase la nivelul judetului </w:t>
      </w:r>
      <w:r w:rsidR="007C1699">
        <w:rPr>
          <w:rFonts w:ascii="Arial" w:hAnsi="Arial" w:cs="Arial"/>
          <w:sz w:val="24"/>
          <w:szCs w:val="24"/>
        </w:rPr>
        <w:t>BR</w:t>
      </w:r>
      <w:r w:rsidRPr="005D1973">
        <w:rPr>
          <w:rFonts w:ascii="Arial" w:hAnsi="Arial" w:cs="Arial"/>
          <w:sz w:val="24"/>
          <w:szCs w:val="24"/>
        </w:rPr>
        <w:t>aila in perioada 2011-2015 (mc/an/ha);</w:t>
      </w:r>
    </w:p>
    <w:tbl>
      <w:tblPr>
        <w:tblpPr w:leftFromText="180" w:rightFromText="180" w:vertAnchor="text" w:horzAnchor="margin" w:tblpXSpec="center"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1101"/>
        <w:gridCol w:w="3083"/>
        <w:gridCol w:w="3579"/>
      </w:tblGrid>
      <w:tr w:rsidR="00EE1961" w:rsidRPr="005D1973" w:rsidTr="00E71D51">
        <w:tc>
          <w:tcPr>
            <w:tcW w:w="1101" w:type="dxa"/>
            <w:shd w:val="clear" w:color="auto" w:fill="FDE9D9" w:themeFill="accent6" w:themeFillTint="33"/>
          </w:tcPr>
          <w:p w:rsidR="00EE1961" w:rsidRPr="005D1973" w:rsidRDefault="00EE1961" w:rsidP="00C625DB">
            <w:pPr>
              <w:spacing w:after="0" w:line="240" w:lineRule="auto"/>
              <w:jc w:val="center"/>
              <w:rPr>
                <w:rFonts w:ascii="Arial" w:hAnsi="Arial" w:cs="Arial"/>
                <w:b/>
                <w:sz w:val="24"/>
                <w:szCs w:val="24"/>
              </w:rPr>
            </w:pPr>
            <w:r w:rsidRPr="005D1973">
              <w:rPr>
                <w:rFonts w:ascii="Arial" w:hAnsi="Arial" w:cs="Arial"/>
                <w:b/>
                <w:sz w:val="24"/>
                <w:szCs w:val="24"/>
              </w:rPr>
              <w:t>Anul</w:t>
            </w:r>
          </w:p>
        </w:tc>
        <w:tc>
          <w:tcPr>
            <w:tcW w:w="3083" w:type="dxa"/>
            <w:shd w:val="clear" w:color="auto" w:fill="FDE9D9" w:themeFill="accent6" w:themeFillTint="33"/>
          </w:tcPr>
          <w:p w:rsidR="00EE1961" w:rsidRPr="005D1973" w:rsidRDefault="00EE1961" w:rsidP="00C625DB">
            <w:pPr>
              <w:spacing w:after="0" w:line="240" w:lineRule="auto"/>
              <w:jc w:val="center"/>
              <w:rPr>
                <w:rFonts w:ascii="Arial" w:hAnsi="Arial" w:cs="Arial"/>
                <w:b/>
                <w:sz w:val="24"/>
                <w:szCs w:val="24"/>
              </w:rPr>
            </w:pPr>
            <w:r w:rsidRPr="005D1973">
              <w:rPr>
                <w:rFonts w:ascii="Arial" w:hAnsi="Arial" w:cs="Arial"/>
                <w:b/>
                <w:sz w:val="24"/>
                <w:szCs w:val="24"/>
              </w:rPr>
              <w:t>Cresterea anuala a fondului forestier (mc/an/ha)</w:t>
            </w:r>
          </w:p>
        </w:tc>
        <w:tc>
          <w:tcPr>
            <w:tcW w:w="3579" w:type="dxa"/>
            <w:shd w:val="clear" w:color="auto" w:fill="FDE9D9" w:themeFill="accent6" w:themeFillTint="33"/>
          </w:tcPr>
          <w:p w:rsidR="00EE1961" w:rsidRPr="005D1973" w:rsidRDefault="00EE1961" w:rsidP="00C625DB">
            <w:pPr>
              <w:spacing w:after="0" w:line="240" w:lineRule="auto"/>
              <w:jc w:val="center"/>
              <w:rPr>
                <w:rFonts w:ascii="Arial" w:hAnsi="Arial" w:cs="Arial"/>
                <w:b/>
                <w:sz w:val="24"/>
                <w:szCs w:val="24"/>
              </w:rPr>
            </w:pPr>
            <w:r w:rsidRPr="005D1973">
              <w:rPr>
                <w:rFonts w:ascii="Arial" w:hAnsi="Arial" w:cs="Arial"/>
                <w:b/>
                <w:sz w:val="24"/>
                <w:szCs w:val="24"/>
              </w:rPr>
              <w:t>Cantitatea de masa lemnoasa recoltata anual (mc/an/ha)</w:t>
            </w:r>
          </w:p>
        </w:tc>
      </w:tr>
      <w:tr w:rsidR="00EE1961" w:rsidRPr="005D1973" w:rsidTr="00E71D51">
        <w:tc>
          <w:tcPr>
            <w:tcW w:w="1101"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2011</w:t>
            </w:r>
          </w:p>
        </w:tc>
        <w:tc>
          <w:tcPr>
            <w:tcW w:w="3083"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5,5</w:t>
            </w:r>
          </w:p>
        </w:tc>
        <w:tc>
          <w:tcPr>
            <w:tcW w:w="3579"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5,0</w:t>
            </w:r>
          </w:p>
        </w:tc>
      </w:tr>
      <w:tr w:rsidR="00EE1961" w:rsidRPr="005D1973" w:rsidTr="00E71D51">
        <w:tc>
          <w:tcPr>
            <w:tcW w:w="1101"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2012</w:t>
            </w:r>
          </w:p>
        </w:tc>
        <w:tc>
          <w:tcPr>
            <w:tcW w:w="3083"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5,5</w:t>
            </w:r>
          </w:p>
        </w:tc>
        <w:tc>
          <w:tcPr>
            <w:tcW w:w="3579"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5,4</w:t>
            </w:r>
          </w:p>
        </w:tc>
      </w:tr>
      <w:tr w:rsidR="00EE1961" w:rsidRPr="005D1973" w:rsidTr="00E71D51">
        <w:tc>
          <w:tcPr>
            <w:tcW w:w="1101"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2013</w:t>
            </w:r>
          </w:p>
        </w:tc>
        <w:tc>
          <w:tcPr>
            <w:tcW w:w="3083"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5,5</w:t>
            </w:r>
          </w:p>
        </w:tc>
        <w:tc>
          <w:tcPr>
            <w:tcW w:w="3579"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5,2</w:t>
            </w:r>
          </w:p>
        </w:tc>
      </w:tr>
      <w:tr w:rsidR="00EE1961" w:rsidRPr="005D1973" w:rsidTr="00E71D51">
        <w:tc>
          <w:tcPr>
            <w:tcW w:w="1101"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2014</w:t>
            </w:r>
          </w:p>
        </w:tc>
        <w:tc>
          <w:tcPr>
            <w:tcW w:w="3083"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5,5</w:t>
            </w:r>
          </w:p>
        </w:tc>
        <w:tc>
          <w:tcPr>
            <w:tcW w:w="3579"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5,5</w:t>
            </w:r>
          </w:p>
        </w:tc>
      </w:tr>
      <w:tr w:rsidR="00EE1961" w:rsidRPr="005D1973" w:rsidTr="00E71D51">
        <w:tc>
          <w:tcPr>
            <w:tcW w:w="1101"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2015</w:t>
            </w:r>
          </w:p>
        </w:tc>
        <w:tc>
          <w:tcPr>
            <w:tcW w:w="3083"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5,5</w:t>
            </w:r>
          </w:p>
        </w:tc>
        <w:tc>
          <w:tcPr>
            <w:tcW w:w="3579" w:type="dxa"/>
            <w:shd w:val="clear" w:color="auto" w:fill="FDE9D9" w:themeFill="accent6" w:themeFillTint="33"/>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5,3</w:t>
            </w:r>
          </w:p>
        </w:tc>
      </w:tr>
      <w:tr w:rsidR="00A055FA" w:rsidRPr="005D1973" w:rsidTr="00E71D51">
        <w:tc>
          <w:tcPr>
            <w:tcW w:w="1101" w:type="dxa"/>
            <w:shd w:val="clear" w:color="auto" w:fill="FDE9D9" w:themeFill="accent6" w:themeFillTint="33"/>
          </w:tcPr>
          <w:p w:rsidR="00A055FA" w:rsidRPr="005D1973" w:rsidRDefault="00A055FA" w:rsidP="00C625DB">
            <w:pPr>
              <w:spacing w:after="0" w:line="240" w:lineRule="auto"/>
              <w:jc w:val="center"/>
              <w:rPr>
                <w:rFonts w:ascii="Arial" w:hAnsi="Arial" w:cs="Arial"/>
                <w:sz w:val="24"/>
                <w:szCs w:val="24"/>
              </w:rPr>
            </w:pPr>
            <w:r w:rsidRPr="005D1973">
              <w:rPr>
                <w:rFonts w:ascii="Arial" w:hAnsi="Arial" w:cs="Arial"/>
                <w:sz w:val="24"/>
                <w:szCs w:val="24"/>
              </w:rPr>
              <w:t>2016</w:t>
            </w:r>
          </w:p>
        </w:tc>
        <w:tc>
          <w:tcPr>
            <w:tcW w:w="3083" w:type="dxa"/>
            <w:shd w:val="clear" w:color="auto" w:fill="FDE9D9" w:themeFill="accent6" w:themeFillTint="33"/>
          </w:tcPr>
          <w:p w:rsidR="00A055FA" w:rsidRPr="005D1973" w:rsidRDefault="00A055FA" w:rsidP="00C625DB">
            <w:pPr>
              <w:spacing w:after="0" w:line="240" w:lineRule="auto"/>
              <w:jc w:val="center"/>
              <w:rPr>
                <w:rFonts w:ascii="Arial" w:hAnsi="Arial" w:cs="Arial"/>
                <w:sz w:val="24"/>
                <w:szCs w:val="24"/>
              </w:rPr>
            </w:pPr>
            <w:r w:rsidRPr="005D1973">
              <w:rPr>
                <w:rFonts w:ascii="Arial" w:hAnsi="Arial" w:cs="Arial"/>
                <w:sz w:val="24"/>
                <w:szCs w:val="24"/>
              </w:rPr>
              <w:t>5,5</w:t>
            </w:r>
          </w:p>
        </w:tc>
        <w:tc>
          <w:tcPr>
            <w:tcW w:w="3579" w:type="dxa"/>
            <w:shd w:val="clear" w:color="auto" w:fill="FDE9D9" w:themeFill="accent6" w:themeFillTint="33"/>
          </w:tcPr>
          <w:p w:rsidR="00A055FA" w:rsidRPr="005D1973" w:rsidRDefault="00A055FA" w:rsidP="00C625DB">
            <w:pPr>
              <w:spacing w:after="0" w:line="240" w:lineRule="auto"/>
              <w:jc w:val="center"/>
              <w:rPr>
                <w:rFonts w:ascii="Arial" w:hAnsi="Arial" w:cs="Arial"/>
                <w:sz w:val="24"/>
                <w:szCs w:val="24"/>
              </w:rPr>
            </w:pPr>
            <w:r w:rsidRPr="005D1973">
              <w:rPr>
                <w:rFonts w:ascii="Arial" w:hAnsi="Arial" w:cs="Arial"/>
                <w:sz w:val="24"/>
                <w:szCs w:val="24"/>
              </w:rPr>
              <w:t>5,3</w:t>
            </w:r>
          </w:p>
        </w:tc>
      </w:tr>
    </w:tbl>
    <w:p w:rsidR="00EE1961" w:rsidRPr="005D1973" w:rsidRDefault="00EE1961" w:rsidP="00C625DB">
      <w:pPr>
        <w:spacing w:after="0" w:line="240" w:lineRule="auto"/>
        <w:ind w:firstLine="720"/>
        <w:jc w:val="both"/>
        <w:rPr>
          <w:rFonts w:ascii="Arial" w:hAnsi="Arial" w:cs="Arial"/>
          <w:sz w:val="24"/>
          <w:szCs w:val="24"/>
          <w:lang w:val="fr-FR"/>
        </w:rPr>
      </w:pPr>
    </w:p>
    <w:p w:rsidR="00EE1961" w:rsidRPr="005D1973" w:rsidRDefault="00EE1961" w:rsidP="00C625DB">
      <w:pPr>
        <w:spacing w:after="0" w:line="240" w:lineRule="auto"/>
        <w:ind w:firstLine="720"/>
        <w:jc w:val="both"/>
        <w:rPr>
          <w:rFonts w:ascii="Arial" w:hAnsi="Arial" w:cs="Arial"/>
          <w:sz w:val="24"/>
          <w:szCs w:val="24"/>
          <w:lang w:val="fr-FR"/>
        </w:rPr>
      </w:pPr>
    </w:p>
    <w:p w:rsidR="00EE1961" w:rsidRPr="005D1973" w:rsidRDefault="00EE1961" w:rsidP="00C625DB">
      <w:pPr>
        <w:spacing w:after="0" w:line="240" w:lineRule="auto"/>
        <w:ind w:firstLine="720"/>
        <w:jc w:val="both"/>
        <w:rPr>
          <w:rFonts w:ascii="Arial" w:hAnsi="Arial" w:cs="Arial"/>
          <w:sz w:val="24"/>
          <w:szCs w:val="24"/>
          <w:lang w:val="fr-FR"/>
        </w:rPr>
      </w:pPr>
    </w:p>
    <w:p w:rsidR="00EE1961" w:rsidRPr="005D1973" w:rsidRDefault="00EE1961" w:rsidP="00C625DB">
      <w:pPr>
        <w:spacing w:after="0" w:line="240" w:lineRule="auto"/>
        <w:ind w:firstLine="720"/>
        <w:jc w:val="both"/>
        <w:rPr>
          <w:rFonts w:ascii="Arial" w:hAnsi="Arial" w:cs="Arial"/>
          <w:sz w:val="24"/>
          <w:szCs w:val="24"/>
          <w:lang w:val="fr-FR"/>
        </w:rPr>
      </w:pPr>
    </w:p>
    <w:p w:rsidR="00EE1961" w:rsidRPr="005D1973" w:rsidRDefault="00EE1961" w:rsidP="00C625DB">
      <w:pPr>
        <w:spacing w:after="0" w:line="240" w:lineRule="auto"/>
        <w:ind w:firstLine="720"/>
        <w:jc w:val="both"/>
        <w:rPr>
          <w:rFonts w:ascii="Arial" w:hAnsi="Arial" w:cs="Arial"/>
          <w:sz w:val="24"/>
          <w:szCs w:val="24"/>
          <w:lang w:val="fr-FR"/>
        </w:rPr>
      </w:pPr>
    </w:p>
    <w:p w:rsidR="00EE1961" w:rsidRPr="005D1973" w:rsidRDefault="00EE1961" w:rsidP="00C625DB">
      <w:pPr>
        <w:spacing w:after="0" w:line="240" w:lineRule="auto"/>
        <w:ind w:firstLine="720"/>
        <w:jc w:val="both"/>
        <w:rPr>
          <w:rFonts w:ascii="Arial" w:hAnsi="Arial" w:cs="Arial"/>
          <w:sz w:val="24"/>
          <w:szCs w:val="24"/>
          <w:lang w:val="fr-FR"/>
        </w:rPr>
      </w:pPr>
    </w:p>
    <w:p w:rsidR="00EE1961" w:rsidRPr="005D1973" w:rsidRDefault="00EE1961" w:rsidP="00C625DB">
      <w:pPr>
        <w:spacing w:after="0" w:line="240" w:lineRule="auto"/>
        <w:ind w:firstLine="720"/>
        <w:jc w:val="both"/>
        <w:rPr>
          <w:rFonts w:ascii="Arial" w:hAnsi="Arial" w:cs="Arial"/>
          <w:sz w:val="24"/>
          <w:szCs w:val="24"/>
          <w:lang w:val="fr-FR"/>
        </w:rPr>
      </w:pPr>
    </w:p>
    <w:p w:rsidR="00EE1961" w:rsidRPr="005D1973" w:rsidRDefault="00EE1961" w:rsidP="00C625DB">
      <w:pPr>
        <w:spacing w:after="0" w:line="240" w:lineRule="auto"/>
        <w:ind w:firstLine="720"/>
        <w:jc w:val="both"/>
        <w:rPr>
          <w:rFonts w:ascii="Arial" w:hAnsi="Arial" w:cs="Arial"/>
          <w:sz w:val="24"/>
          <w:szCs w:val="24"/>
          <w:lang w:val="fr-FR"/>
        </w:rPr>
      </w:pPr>
    </w:p>
    <w:p w:rsidR="00A055FA" w:rsidRPr="005D1973" w:rsidRDefault="00A055FA" w:rsidP="00C625DB">
      <w:pPr>
        <w:spacing w:after="0" w:line="240" w:lineRule="auto"/>
        <w:jc w:val="both"/>
        <w:rPr>
          <w:rFonts w:ascii="Arial" w:hAnsi="Arial" w:cs="Arial"/>
          <w:sz w:val="24"/>
          <w:szCs w:val="24"/>
          <w:lang w:val="fr-FR"/>
        </w:rPr>
      </w:pPr>
    </w:p>
    <w:p w:rsidR="00A055FA" w:rsidRPr="005D1973" w:rsidRDefault="00A055FA" w:rsidP="00C625DB">
      <w:pPr>
        <w:spacing w:after="0" w:line="240" w:lineRule="auto"/>
        <w:jc w:val="both"/>
        <w:rPr>
          <w:rFonts w:ascii="Arial" w:hAnsi="Arial" w:cs="Arial"/>
          <w:sz w:val="24"/>
          <w:szCs w:val="24"/>
          <w:lang w:val="fr-FR"/>
        </w:rPr>
      </w:pPr>
    </w:p>
    <w:p w:rsidR="00A055FA" w:rsidRPr="005D1973" w:rsidRDefault="00A055FA" w:rsidP="00C625DB">
      <w:pPr>
        <w:spacing w:after="0" w:line="240" w:lineRule="auto"/>
        <w:jc w:val="both"/>
        <w:rPr>
          <w:rFonts w:ascii="Arial" w:hAnsi="Arial" w:cs="Arial"/>
          <w:sz w:val="24"/>
          <w:szCs w:val="24"/>
          <w:lang w:val="fr-FR"/>
        </w:rPr>
      </w:pP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Pentru pădurile din județul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cantitatea de masă lemnoasă recoltată anual s-a situat sub valoarea stabilită de creșterea anuală, excepție fiind anul 2014 în care cantitatea recoltată a fost este egală cu  creșterea anuală.</w:t>
      </w:r>
    </w:p>
    <w:p w:rsidR="00EE1961" w:rsidRPr="005D1973" w:rsidRDefault="00A055FA" w:rsidP="00C625DB">
      <w:pPr>
        <w:spacing w:after="0" w:line="240" w:lineRule="auto"/>
        <w:ind w:firstLine="720"/>
        <w:jc w:val="both"/>
        <w:rPr>
          <w:rFonts w:ascii="Arial" w:hAnsi="Arial" w:cs="Arial"/>
          <w:sz w:val="24"/>
          <w:szCs w:val="24"/>
          <w:lang w:val="fr-FR"/>
        </w:rPr>
      </w:pPr>
      <w:r w:rsidRPr="005D1973">
        <w:rPr>
          <w:rFonts w:ascii="Arial" w:hAnsi="Arial" w:cs="Arial"/>
          <w:noProof/>
          <w:sz w:val="24"/>
          <w:szCs w:val="24"/>
          <w:highlight w:val="yellow"/>
          <w:lang w:eastAsia="ro-RO"/>
        </w:rPr>
        <w:lastRenderedPageBreak/>
        <w:drawing>
          <wp:inline distT="0" distB="0" distL="0" distR="0">
            <wp:extent cx="5200650" cy="2305050"/>
            <wp:effectExtent l="19050" t="0" r="19050" b="0"/>
            <wp:docPr id="1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E1961" w:rsidRPr="005D1973" w:rsidRDefault="00EE1961" w:rsidP="00C625DB">
      <w:pPr>
        <w:spacing w:after="0" w:line="240" w:lineRule="auto"/>
        <w:ind w:firstLine="720"/>
        <w:jc w:val="both"/>
        <w:rPr>
          <w:rFonts w:ascii="Arial" w:hAnsi="Arial" w:cs="Arial"/>
          <w:sz w:val="24"/>
          <w:szCs w:val="24"/>
          <w:lang w:val="fr-FR"/>
        </w:rPr>
      </w:pPr>
    </w:p>
    <w:p w:rsidR="00202088" w:rsidRPr="005D1973" w:rsidRDefault="00202088" w:rsidP="00202088">
      <w:pPr>
        <w:spacing w:after="0" w:line="240" w:lineRule="auto"/>
        <w:ind w:firstLine="720"/>
        <w:jc w:val="both"/>
        <w:rPr>
          <w:rFonts w:ascii="Arial" w:hAnsi="Arial" w:cs="Arial"/>
          <w:b/>
          <w:sz w:val="24"/>
          <w:szCs w:val="24"/>
          <w:lang w:val="fr-FR"/>
        </w:rPr>
      </w:pPr>
      <w:r w:rsidRPr="00202088">
        <w:rPr>
          <w:rFonts w:ascii="Arial" w:hAnsi="Arial" w:cs="Arial"/>
          <w:sz w:val="24"/>
          <w:szCs w:val="24"/>
          <w:lang w:val="fr-FR"/>
        </w:rPr>
        <w:t>Figura nr. V.1.5.1.1-</w:t>
      </w:r>
      <w:r w:rsidRPr="00202088">
        <w:rPr>
          <w:rFonts w:ascii="Arial" w:hAnsi="Arial" w:cs="Arial"/>
          <w:sz w:val="24"/>
          <w:szCs w:val="24"/>
        </w:rPr>
        <w:t xml:space="preserve"> Evolutia</w:t>
      </w:r>
      <w:r w:rsidRPr="005D1973">
        <w:rPr>
          <w:rFonts w:ascii="Arial" w:hAnsi="Arial" w:cs="Arial"/>
          <w:sz w:val="24"/>
          <w:szCs w:val="24"/>
        </w:rPr>
        <w:t xml:space="preserve"> cresterii fondului forestier comparativ cu taierea masei lemnoase la nivelul judetului </w:t>
      </w:r>
      <w:r>
        <w:rPr>
          <w:rFonts w:ascii="Arial" w:hAnsi="Arial" w:cs="Arial"/>
          <w:sz w:val="24"/>
          <w:szCs w:val="24"/>
        </w:rPr>
        <w:t>BR</w:t>
      </w:r>
      <w:r w:rsidRPr="005D1973">
        <w:rPr>
          <w:rFonts w:ascii="Arial" w:hAnsi="Arial" w:cs="Arial"/>
          <w:sz w:val="24"/>
          <w:szCs w:val="24"/>
        </w:rPr>
        <w:t>aila in perioada 2012-2016 (mc/an/ha);</w:t>
      </w:r>
    </w:p>
    <w:p w:rsidR="00202088" w:rsidRDefault="00202088" w:rsidP="00C625DB">
      <w:pPr>
        <w:spacing w:after="0" w:line="240" w:lineRule="auto"/>
        <w:ind w:firstLine="720"/>
        <w:jc w:val="both"/>
        <w:rPr>
          <w:rFonts w:ascii="Arial" w:hAnsi="Arial" w:cs="Arial"/>
          <w:sz w:val="24"/>
          <w:szCs w:val="24"/>
          <w:lang w:val="fr-FR"/>
        </w:rPr>
      </w:pPr>
    </w:p>
    <w:p w:rsidR="00EE1961" w:rsidRPr="005D1973" w:rsidRDefault="00EE1961" w:rsidP="00C625DB">
      <w:pPr>
        <w:spacing w:after="0" w:line="240" w:lineRule="auto"/>
        <w:ind w:firstLine="720"/>
        <w:jc w:val="both"/>
        <w:rPr>
          <w:rFonts w:ascii="Arial" w:hAnsi="Arial" w:cs="Arial"/>
          <w:sz w:val="24"/>
          <w:szCs w:val="24"/>
          <w:lang w:val="fr-FR"/>
        </w:rPr>
      </w:pPr>
      <w:r w:rsidRPr="005D1973">
        <w:rPr>
          <w:rFonts w:ascii="Arial" w:hAnsi="Arial" w:cs="Arial"/>
          <w:sz w:val="24"/>
          <w:szCs w:val="24"/>
          <w:lang w:val="fr-FR"/>
        </w:rPr>
        <w:t xml:space="preserve">Ca urmare, în județul </w:t>
      </w:r>
      <w:r w:rsidR="00217620">
        <w:rPr>
          <w:rFonts w:ascii="Arial" w:hAnsi="Arial" w:cs="Arial"/>
          <w:sz w:val="24"/>
          <w:szCs w:val="24"/>
          <w:lang w:val="fr-FR"/>
        </w:rPr>
        <w:t>Brăila</w:t>
      </w:r>
      <w:r w:rsidRPr="005D1973">
        <w:rPr>
          <w:rFonts w:ascii="Arial" w:hAnsi="Arial" w:cs="Arial"/>
          <w:sz w:val="24"/>
          <w:szCs w:val="24"/>
          <w:lang w:val="fr-FR"/>
        </w:rPr>
        <w:t xml:space="preserve"> nu se poate vorbi de o supraexploatare a fondului forestier.</w:t>
      </w:r>
    </w:p>
    <w:p w:rsidR="000C7034" w:rsidRPr="005D1973" w:rsidRDefault="000C7034" w:rsidP="00C625DB">
      <w:pPr>
        <w:tabs>
          <w:tab w:val="left" w:leader="dot" w:pos="9356"/>
        </w:tabs>
        <w:spacing w:after="0" w:line="240" w:lineRule="auto"/>
        <w:jc w:val="both"/>
        <w:rPr>
          <w:rFonts w:ascii="Arial" w:hAnsi="Arial" w:cs="Arial"/>
          <w:b/>
          <w:sz w:val="24"/>
          <w:szCs w:val="24"/>
        </w:rPr>
      </w:pPr>
    </w:p>
    <w:p w:rsidR="00EE1961" w:rsidRPr="005D1973" w:rsidRDefault="00EE1961" w:rsidP="00C625DB">
      <w:pPr>
        <w:tabs>
          <w:tab w:val="left" w:leader="dot" w:pos="9356"/>
        </w:tabs>
        <w:spacing w:after="0" w:line="240" w:lineRule="auto"/>
        <w:jc w:val="both"/>
        <w:rPr>
          <w:rFonts w:ascii="Arial" w:hAnsi="Arial" w:cs="Arial"/>
          <w:i/>
          <w:sz w:val="24"/>
          <w:szCs w:val="24"/>
        </w:rPr>
      </w:pPr>
      <w:r w:rsidRPr="005D1973">
        <w:rPr>
          <w:rFonts w:ascii="Arial" w:hAnsi="Arial" w:cs="Arial"/>
          <w:b/>
          <w:sz w:val="24"/>
          <w:szCs w:val="24"/>
        </w:rPr>
        <w:t>V.2.Protecţia naturii şi biodiversitatea: prognoze şi acţiuni întreprinse</w:t>
      </w:r>
      <w:r w:rsidRPr="005D1973">
        <w:rPr>
          <w:rFonts w:ascii="Arial" w:hAnsi="Arial" w:cs="Arial"/>
          <w:sz w:val="24"/>
          <w:szCs w:val="24"/>
        </w:rPr>
        <w:t xml:space="preserve">       </w:t>
      </w:r>
    </w:p>
    <w:p w:rsidR="000C7034" w:rsidRPr="005D1973" w:rsidRDefault="000C7034" w:rsidP="00C625DB">
      <w:pPr>
        <w:tabs>
          <w:tab w:val="left" w:pos="1204"/>
          <w:tab w:val="left" w:leader="dot" w:pos="9356"/>
        </w:tabs>
        <w:spacing w:after="0" w:line="240" w:lineRule="auto"/>
        <w:ind w:left="426"/>
        <w:jc w:val="both"/>
        <w:rPr>
          <w:rFonts w:ascii="Arial" w:hAnsi="Arial" w:cs="Arial"/>
          <w:b/>
          <w:sz w:val="24"/>
          <w:szCs w:val="24"/>
        </w:rPr>
      </w:pPr>
    </w:p>
    <w:p w:rsidR="00EE1961" w:rsidRPr="005D1973" w:rsidRDefault="00EE1961" w:rsidP="00C625DB">
      <w:pPr>
        <w:tabs>
          <w:tab w:val="left" w:pos="1204"/>
          <w:tab w:val="left" w:leader="dot" w:pos="9356"/>
        </w:tabs>
        <w:spacing w:after="0" w:line="240" w:lineRule="auto"/>
        <w:ind w:left="426"/>
        <w:jc w:val="both"/>
        <w:rPr>
          <w:rFonts w:ascii="Arial" w:hAnsi="Arial" w:cs="Arial"/>
          <w:b/>
          <w:i/>
          <w:sz w:val="24"/>
          <w:szCs w:val="24"/>
        </w:rPr>
      </w:pPr>
      <w:r w:rsidRPr="005D1973">
        <w:rPr>
          <w:rFonts w:ascii="Arial" w:hAnsi="Arial" w:cs="Arial"/>
          <w:b/>
          <w:sz w:val="24"/>
          <w:szCs w:val="24"/>
        </w:rPr>
        <w:t>V.2.1.</w:t>
      </w:r>
      <w:r w:rsidRPr="005D1973">
        <w:rPr>
          <w:rFonts w:ascii="Arial" w:hAnsi="Arial" w:cs="Arial"/>
          <w:b/>
          <w:i/>
          <w:sz w:val="24"/>
          <w:szCs w:val="24"/>
        </w:rPr>
        <w:t xml:space="preserve">Reţeaua de arii protejate </w:t>
      </w:r>
    </w:p>
    <w:p w:rsidR="00202088" w:rsidRDefault="00202088" w:rsidP="00C625DB">
      <w:pPr>
        <w:autoSpaceDE w:val="0"/>
        <w:autoSpaceDN w:val="0"/>
        <w:adjustRightInd w:val="0"/>
        <w:spacing w:after="0" w:line="240" w:lineRule="auto"/>
        <w:ind w:firstLine="708"/>
        <w:jc w:val="both"/>
        <w:rPr>
          <w:rFonts w:ascii="Arial" w:eastAsia="Times New Roman" w:hAnsi="Arial" w:cs="Arial"/>
          <w:sz w:val="24"/>
          <w:szCs w:val="24"/>
          <w:lang w:eastAsia="ro-RO"/>
        </w:rPr>
      </w:pP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În România au fost desemnate, în scopul asigurării măsurilor speciale de protecţie şi conservare in situ a bunurilor patrimoniului natural, următoarele categorii de arii naturale protejate, definite la art. 5, alin. (1) din O.U.G. nr. 57/2007 privind regimul ariilor naturale protejate, conservarea habitatelor naturale, a florei şi faunei sălbatice, aprobată cu modificări şi completări prin Legea nr. 49/2011, cu completările ulterioare:</w:t>
      </w:r>
    </w:p>
    <w:p w:rsidR="00EE1961" w:rsidRPr="005D1973" w:rsidRDefault="00EE1961" w:rsidP="00C625DB">
      <w:pPr>
        <w:spacing w:after="0" w:line="240" w:lineRule="auto"/>
        <w:ind w:firstLine="426"/>
        <w:jc w:val="both"/>
        <w:rPr>
          <w:rFonts w:ascii="Arial" w:hAnsi="Arial" w:cs="Arial"/>
          <w:sz w:val="24"/>
          <w:szCs w:val="24"/>
          <w:lang w:val="it-IT"/>
        </w:rPr>
      </w:pPr>
      <w:r w:rsidRPr="005D1973">
        <w:rPr>
          <w:rStyle w:val="li1"/>
          <w:rFonts w:ascii="Arial" w:hAnsi="Arial" w:cs="Arial"/>
          <w:color w:val="auto"/>
          <w:sz w:val="24"/>
          <w:szCs w:val="24"/>
          <w:lang w:val="it-IT"/>
        </w:rPr>
        <w:t xml:space="preserve">a) </w:t>
      </w:r>
      <w:r w:rsidRPr="005D1973">
        <w:rPr>
          <w:rStyle w:val="tli1"/>
          <w:rFonts w:ascii="Arial" w:hAnsi="Arial" w:cs="Arial"/>
          <w:sz w:val="24"/>
          <w:szCs w:val="24"/>
          <w:u w:val="single"/>
          <w:lang w:val="it-IT"/>
        </w:rPr>
        <w:t>de interes naţional</w:t>
      </w:r>
      <w:r w:rsidRPr="005D1973">
        <w:rPr>
          <w:rStyle w:val="tli1"/>
          <w:rFonts w:ascii="Arial" w:hAnsi="Arial" w:cs="Arial"/>
          <w:sz w:val="24"/>
          <w:szCs w:val="24"/>
          <w:lang w:val="it-IT"/>
        </w:rPr>
        <w:t>: parcuri naţionale, monumente ale naturii, rezervaţii naturale, parcuri naturale;</w:t>
      </w:r>
    </w:p>
    <w:p w:rsidR="00EE1961" w:rsidRPr="005D1973" w:rsidRDefault="00EE1961" w:rsidP="00C625DB">
      <w:pPr>
        <w:spacing w:after="0" w:line="240" w:lineRule="auto"/>
        <w:ind w:firstLine="426"/>
        <w:jc w:val="both"/>
        <w:rPr>
          <w:rFonts w:ascii="Arial" w:hAnsi="Arial" w:cs="Arial"/>
          <w:sz w:val="24"/>
          <w:szCs w:val="24"/>
          <w:lang w:val="it-IT"/>
        </w:rPr>
      </w:pPr>
      <w:r w:rsidRPr="005D1973">
        <w:rPr>
          <w:rStyle w:val="li1"/>
          <w:rFonts w:ascii="Arial" w:hAnsi="Arial" w:cs="Arial"/>
          <w:color w:val="auto"/>
          <w:sz w:val="24"/>
          <w:szCs w:val="24"/>
          <w:lang w:val="it-IT"/>
        </w:rPr>
        <w:t xml:space="preserve">b) </w:t>
      </w:r>
      <w:r w:rsidRPr="005D1973">
        <w:rPr>
          <w:rStyle w:val="tli1"/>
          <w:rFonts w:ascii="Arial" w:hAnsi="Arial" w:cs="Arial"/>
          <w:sz w:val="24"/>
          <w:szCs w:val="24"/>
          <w:u w:val="single"/>
          <w:lang w:val="it-IT"/>
        </w:rPr>
        <w:t>de interes internaţional</w:t>
      </w:r>
      <w:r w:rsidRPr="005D1973">
        <w:rPr>
          <w:rStyle w:val="tli1"/>
          <w:rFonts w:ascii="Arial" w:hAnsi="Arial" w:cs="Arial"/>
          <w:sz w:val="24"/>
          <w:szCs w:val="24"/>
          <w:lang w:val="it-IT"/>
        </w:rPr>
        <w:t>: zone umede de importanţă internaţională, rezervaţii ale biosferei;</w:t>
      </w:r>
    </w:p>
    <w:p w:rsidR="00EE1961" w:rsidRPr="005D1973" w:rsidRDefault="00EE1961" w:rsidP="00C625DB">
      <w:pPr>
        <w:spacing w:after="0" w:line="240" w:lineRule="auto"/>
        <w:ind w:firstLine="426"/>
        <w:jc w:val="both"/>
        <w:rPr>
          <w:rStyle w:val="tli1"/>
          <w:rFonts w:ascii="Arial" w:hAnsi="Arial" w:cs="Arial"/>
          <w:sz w:val="24"/>
          <w:szCs w:val="24"/>
          <w:lang w:val="it-IT"/>
        </w:rPr>
      </w:pPr>
      <w:r w:rsidRPr="005D1973">
        <w:rPr>
          <w:rStyle w:val="li1"/>
          <w:rFonts w:ascii="Arial" w:hAnsi="Arial" w:cs="Arial"/>
          <w:color w:val="auto"/>
          <w:sz w:val="24"/>
          <w:szCs w:val="24"/>
          <w:lang w:val="it-IT"/>
        </w:rPr>
        <w:t xml:space="preserve">c) </w:t>
      </w:r>
      <w:r w:rsidRPr="005D1973">
        <w:rPr>
          <w:rStyle w:val="tli1"/>
          <w:rFonts w:ascii="Arial" w:hAnsi="Arial" w:cs="Arial"/>
          <w:sz w:val="24"/>
          <w:szCs w:val="24"/>
          <w:u w:val="single"/>
          <w:lang w:val="it-IT"/>
        </w:rPr>
        <w:t>de interes comunitar sau situri "Natura 2000"</w:t>
      </w:r>
      <w:r w:rsidR="00543526" w:rsidRPr="005D1973">
        <w:rPr>
          <w:rStyle w:val="tli1"/>
          <w:rFonts w:ascii="Arial" w:hAnsi="Arial" w:cs="Arial"/>
          <w:sz w:val="24"/>
          <w:szCs w:val="24"/>
          <w:lang w:val="it-IT"/>
        </w:rPr>
        <w:t xml:space="preserve">, </w:t>
      </w:r>
      <w:r w:rsidRPr="005D1973">
        <w:rPr>
          <w:rFonts w:ascii="Arial" w:hAnsi="Arial" w:cs="Arial"/>
          <w:bCs/>
          <w:sz w:val="24"/>
          <w:szCs w:val="24"/>
        </w:rPr>
        <w:t>parte integrantă a reţelei ecologice europene Natura 2000 în România</w:t>
      </w:r>
      <w:r w:rsidRPr="005D1973">
        <w:rPr>
          <w:rStyle w:val="tli1"/>
          <w:rFonts w:ascii="Arial" w:hAnsi="Arial" w:cs="Arial"/>
          <w:sz w:val="24"/>
          <w:szCs w:val="24"/>
          <w:lang w:val="it-IT"/>
        </w:rPr>
        <w:t xml:space="preserve">: </w:t>
      </w:r>
    </w:p>
    <w:p w:rsidR="00EE1961" w:rsidRPr="005D1973" w:rsidRDefault="00EE1961" w:rsidP="00252ED3">
      <w:pPr>
        <w:pStyle w:val="ListParagraph"/>
        <w:numPr>
          <w:ilvl w:val="0"/>
          <w:numId w:val="48"/>
        </w:numPr>
        <w:autoSpaceDE w:val="0"/>
        <w:autoSpaceDN w:val="0"/>
        <w:adjustRightInd w:val="0"/>
        <w:jc w:val="both"/>
        <w:rPr>
          <w:rFonts w:ascii="Arial" w:hAnsi="Arial" w:cs="Arial"/>
        </w:rPr>
      </w:pPr>
      <w:r w:rsidRPr="005D1973">
        <w:rPr>
          <w:rStyle w:val="tli1"/>
          <w:rFonts w:ascii="Arial" w:eastAsia="Calibri" w:hAnsi="Arial" w:cs="Arial"/>
          <w:lang w:val="it-IT"/>
        </w:rPr>
        <w:t>arii de protecţie specială avifaunistică</w:t>
      </w:r>
      <w:r w:rsidRPr="005D1973">
        <w:rPr>
          <w:rFonts w:ascii="Arial" w:hAnsi="Arial" w:cs="Arial"/>
        </w:rPr>
        <w:t xml:space="preserve"> -SPA (Special Protection Areas) desemnate pentru specii de păsări; </w:t>
      </w:r>
    </w:p>
    <w:p w:rsidR="00EE1961" w:rsidRPr="005D1973" w:rsidRDefault="00EE1961" w:rsidP="00252ED3">
      <w:pPr>
        <w:pStyle w:val="ListParagraph"/>
        <w:numPr>
          <w:ilvl w:val="0"/>
          <w:numId w:val="48"/>
        </w:numPr>
        <w:autoSpaceDE w:val="0"/>
        <w:autoSpaceDN w:val="0"/>
        <w:adjustRightInd w:val="0"/>
        <w:jc w:val="both"/>
        <w:rPr>
          <w:rFonts w:ascii="Arial" w:hAnsi="Arial" w:cs="Arial"/>
          <w:lang w:val="it-IT"/>
        </w:rPr>
      </w:pPr>
      <w:r w:rsidRPr="005D1973">
        <w:rPr>
          <w:rStyle w:val="tli1"/>
          <w:rFonts w:ascii="Arial" w:eastAsia="Calibri" w:hAnsi="Arial" w:cs="Arial"/>
          <w:lang w:val="it-IT"/>
        </w:rPr>
        <w:t>situri de importanţă comunitară -</w:t>
      </w:r>
      <w:r w:rsidRPr="005D1973">
        <w:rPr>
          <w:rFonts w:ascii="Arial" w:hAnsi="Arial" w:cs="Arial"/>
        </w:rPr>
        <w:t xml:space="preserve">SCI (Sites of Community Importance) desemnate pentru habitate naturale şi specii de floră şi faună sălbatică, altele decât păsări </w:t>
      </w:r>
    </w:p>
    <w:p w:rsidR="00EE1961" w:rsidRPr="005D1973" w:rsidRDefault="00EE1961" w:rsidP="00C625DB">
      <w:pPr>
        <w:autoSpaceDE w:val="0"/>
        <w:autoSpaceDN w:val="0"/>
        <w:adjustRightInd w:val="0"/>
        <w:spacing w:after="0" w:line="240" w:lineRule="auto"/>
        <w:ind w:firstLine="360"/>
        <w:jc w:val="both"/>
        <w:rPr>
          <w:rFonts w:ascii="Arial" w:hAnsi="Arial" w:cs="Arial"/>
          <w:sz w:val="24"/>
          <w:szCs w:val="24"/>
          <w:lang w:val="it-IT"/>
        </w:rPr>
      </w:pPr>
      <w:r w:rsidRPr="005D1973">
        <w:rPr>
          <w:rStyle w:val="li1"/>
          <w:rFonts w:ascii="Arial" w:hAnsi="Arial" w:cs="Arial"/>
          <w:color w:val="auto"/>
          <w:sz w:val="24"/>
          <w:szCs w:val="24"/>
          <w:lang w:val="it-IT"/>
        </w:rPr>
        <w:t xml:space="preserve">d) </w:t>
      </w:r>
      <w:r w:rsidRPr="005D1973">
        <w:rPr>
          <w:rStyle w:val="tli1"/>
          <w:rFonts w:ascii="Arial" w:hAnsi="Arial" w:cs="Arial"/>
          <w:sz w:val="24"/>
          <w:szCs w:val="24"/>
          <w:u w:val="single"/>
          <w:lang w:val="it-IT"/>
        </w:rPr>
        <w:t>de interes judeţean sau local</w:t>
      </w:r>
      <w:r w:rsidRPr="005D1973">
        <w:rPr>
          <w:rStyle w:val="tli1"/>
          <w:rFonts w:ascii="Arial" w:hAnsi="Arial" w:cs="Arial"/>
          <w:sz w:val="24"/>
          <w:szCs w:val="24"/>
          <w:lang w:val="it-IT"/>
        </w:rPr>
        <w:t>: stabilite numai pe domeniul public/privat al unităţilor administrativ-teritoriale.</w:t>
      </w:r>
    </w:p>
    <w:p w:rsidR="00817954"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Desemnarea ariilor naturale protejate a incepu</w:t>
      </w:r>
      <w:r w:rsidR="00DD70B7" w:rsidRPr="005D1973">
        <w:rPr>
          <w:rFonts w:ascii="Arial" w:eastAsia="Times New Roman" w:hAnsi="Arial" w:cs="Arial"/>
          <w:sz w:val="24"/>
          <w:szCs w:val="24"/>
          <w:lang w:eastAsia="ro-RO"/>
        </w:rPr>
        <w:t xml:space="preserve">t în județul </w:t>
      </w:r>
      <w:r w:rsidR="00217620">
        <w:rPr>
          <w:rFonts w:ascii="Arial" w:eastAsia="Times New Roman" w:hAnsi="Arial" w:cs="Arial"/>
          <w:sz w:val="24"/>
          <w:szCs w:val="24"/>
          <w:lang w:eastAsia="ro-RO"/>
        </w:rPr>
        <w:t>Brăila</w:t>
      </w:r>
      <w:r w:rsidR="00DD70B7" w:rsidRPr="005D1973">
        <w:rPr>
          <w:rFonts w:ascii="Arial" w:eastAsia="Times New Roman" w:hAnsi="Arial" w:cs="Arial"/>
          <w:sz w:val="24"/>
          <w:szCs w:val="24"/>
          <w:lang w:eastAsia="ro-RO"/>
        </w:rPr>
        <w:t xml:space="preserve"> î</w:t>
      </w:r>
      <w:r w:rsidRPr="005D1973">
        <w:rPr>
          <w:rFonts w:ascii="Arial" w:eastAsia="Times New Roman" w:hAnsi="Arial" w:cs="Arial"/>
          <w:sz w:val="24"/>
          <w:szCs w:val="24"/>
          <w:lang w:eastAsia="ro-RO"/>
        </w:rPr>
        <w:t xml:space="preserve">n anul 1994 cănd prin HCJ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nr. 20/1994 privind zonele naturale protejate și monumentele naturii de pe raza județului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au fost desemnate 5 arii naturale protejate, cu o suprafață totală de aproape 17511ha.</w:t>
      </w:r>
      <w:r w:rsidR="00DD70B7" w:rsidRPr="005D1973">
        <w:rPr>
          <w:rFonts w:ascii="Arial" w:eastAsia="Times New Roman" w:hAnsi="Arial" w:cs="Arial"/>
          <w:sz w:val="24"/>
          <w:szCs w:val="24"/>
          <w:lang w:eastAsia="ro-RO"/>
        </w:rPr>
        <w:t xml:space="preserve"> </w:t>
      </w:r>
      <w:r w:rsidRPr="005D1973">
        <w:rPr>
          <w:rFonts w:ascii="Arial" w:eastAsia="Times New Roman" w:hAnsi="Arial" w:cs="Arial"/>
          <w:sz w:val="24"/>
          <w:szCs w:val="24"/>
          <w:lang w:eastAsia="ro-RO"/>
        </w:rPr>
        <w:t>Prin Legea 5/2000 privind aprobarea Planului de amenajare a teritoriului naţional, secţiunea III-Arii protejate, o parte din ariile desemnate pe plan local în 1994 au fost încadrate la categoria arii protejate de interes național (Tabelul nr. V.2.1-1.).</w:t>
      </w:r>
      <w:r w:rsidR="00543526" w:rsidRPr="005D1973">
        <w:rPr>
          <w:rFonts w:ascii="Arial" w:eastAsia="Times New Roman" w:hAnsi="Arial" w:cs="Arial"/>
          <w:sz w:val="24"/>
          <w:szCs w:val="24"/>
          <w:lang w:eastAsia="ro-RO"/>
        </w:rPr>
        <w:t xml:space="preserve"> </w:t>
      </w:r>
    </w:p>
    <w:p w:rsidR="00817954"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În alte două etape, 2007 și 2011 au fost desemnate ariile protejate de interes comunitar, 7SPA și 4 SCI în 2007 la care s-au mai adăugat 2 SPA și 5 SCI în 2011</w:t>
      </w:r>
      <w:r w:rsidR="00DD70B7" w:rsidRPr="005D1973">
        <w:rPr>
          <w:rFonts w:ascii="Arial" w:eastAsia="Times New Roman" w:hAnsi="Arial" w:cs="Arial"/>
          <w:sz w:val="24"/>
          <w:szCs w:val="24"/>
          <w:lang w:eastAsia="ro-RO"/>
        </w:rPr>
        <w:t xml:space="preserve">, </w:t>
      </w:r>
      <w:r w:rsidRPr="005D1973">
        <w:rPr>
          <w:rFonts w:ascii="Arial" w:eastAsia="Times New Roman" w:hAnsi="Arial" w:cs="Arial"/>
          <w:sz w:val="24"/>
          <w:szCs w:val="24"/>
          <w:lang w:eastAsia="ro-RO"/>
        </w:rPr>
        <w:t xml:space="preserve"> </w:t>
      </w:r>
      <w:r w:rsidR="00DD70B7" w:rsidRPr="005D1973">
        <w:rPr>
          <w:rFonts w:ascii="Arial" w:eastAsia="Times New Roman" w:hAnsi="Arial" w:cs="Arial"/>
          <w:sz w:val="24"/>
          <w:szCs w:val="24"/>
          <w:lang w:eastAsia="ro-RO"/>
        </w:rPr>
        <w:t xml:space="preserve">prin HG 1284/2007 privind declararea ariilor de protecţie specială avifaunistică ca parte integrantă a reţelei ecologice europene Natura 2000 în România, cu completările ulterioare și Ord. MMDD nr. 1964/2007 privind instituirea regimului de arie naturală protejată a siturilor de importanţă </w:t>
      </w:r>
      <w:r w:rsidR="00DD70B7" w:rsidRPr="005D1973">
        <w:rPr>
          <w:rFonts w:ascii="Arial" w:eastAsia="Times New Roman" w:hAnsi="Arial" w:cs="Arial"/>
          <w:sz w:val="24"/>
          <w:szCs w:val="24"/>
          <w:lang w:eastAsia="ro-RO"/>
        </w:rPr>
        <w:lastRenderedPageBreak/>
        <w:t>comunitară, ca parte integrantă a reţelei ecologice europene Natura 2000 în România, cu completările ulterioare.</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În anul 2015 Ministerul Mediului, Apelor şi Pădurilor (MMAP), prin Institutul Naţional de Cercetare – Dezvoltare Delta Dunării (INCDDD) a avut în curs de implementare proiectul “Consolidarea Reţelei Natura 2000”. Acest proiect a avut ca scop îndeplinirea obligaţiilor ce revin Romaniei ca stat mem</w:t>
      </w:r>
      <w:r w:rsidR="007C1699">
        <w:rPr>
          <w:rFonts w:ascii="Arial" w:eastAsia="Times New Roman" w:hAnsi="Arial" w:cs="Arial"/>
          <w:sz w:val="24"/>
          <w:szCs w:val="24"/>
          <w:lang w:eastAsia="ro-RO"/>
        </w:rPr>
        <w:t>BR</w:t>
      </w:r>
      <w:r w:rsidRPr="005D1973">
        <w:rPr>
          <w:rFonts w:ascii="Arial" w:eastAsia="Times New Roman" w:hAnsi="Arial" w:cs="Arial"/>
          <w:sz w:val="24"/>
          <w:szCs w:val="24"/>
          <w:lang w:eastAsia="ro-RO"/>
        </w:rPr>
        <w:t>u al Uniunii Europene în domeniul protecţiei naturii, cu privire la implementarea Directivelor Habitate şi Păsări prin asigurarea suficienţei siturilor Natura 2000 desemnate și în vederea rezolvării calificativelor de insuficiență primite în cadrul seminariilor biogeografice din anul 2011.</w:t>
      </w:r>
      <w:r w:rsidR="00376DC8" w:rsidRPr="005D1973">
        <w:rPr>
          <w:rFonts w:ascii="Arial" w:eastAsia="Times New Roman" w:hAnsi="Arial" w:cs="Arial"/>
          <w:sz w:val="24"/>
          <w:szCs w:val="24"/>
          <w:lang w:eastAsia="ro-RO"/>
        </w:rPr>
        <w:t xml:space="preserve"> </w:t>
      </w:r>
      <w:r w:rsidRPr="005D1973">
        <w:rPr>
          <w:rFonts w:ascii="Arial" w:eastAsia="Times New Roman" w:hAnsi="Arial" w:cs="Arial"/>
          <w:sz w:val="24"/>
          <w:szCs w:val="24"/>
          <w:lang w:eastAsia="ro-RO"/>
        </w:rPr>
        <w:t xml:space="preserve">În acest sens, pentru județul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au fost propuse două noi arii de protecţie specială avifaunistică precum și extinderea altor 5 situri existente în cadrul rețelei de arii naturale Natura 2000 (un sit de importanță comunitară și 4 arii de pr</w:t>
      </w:r>
      <w:r w:rsidR="006D4D2E" w:rsidRPr="005D1973">
        <w:rPr>
          <w:rFonts w:ascii="Arial" w:eastAsia="Times New Roman" w:hAnsi="Arial" w:cs="Arial"/>
          <w:sz w:val="24"/>
          <w:szCs w:val="24"/>
          <w:lang w:eastAsia="ro-RO"/>
        </w:rPr>
        <w:t>otecţie specială avifaunistică)</w:t>
      </w:r>
      <w:r w:rsidRPr="005D1973">
        <w:rPr>
          <w:rFonts w:ascii="Arial" w:eastAsia="Times New Roman" w:hAnsi="Arial" w:cs="Arial"/>
          <w:sz w:val="24"/>
          <w:szCs w:val="24"/>
          <w:lang w:eastAsia="ro-RO"/>
        </w:rPr>
        <w:t xml:space="preserve">. </w:t>
      </w:r>
      <w:r w:rsidR="00376DC8" w:rsidRPr="005D1973">
        <w:rPr>
          <w:rFonts w:ascii="Arial" w:eastAsia="Times New Roman" w:hAnsi="Arial" w:cs="Arial"/>
          <w:sz w:val="24"/>
          <w:szCs w:val="24"/>
          <w:lang w:eastAsia="ro-RO"/>
        </w:rPr>
        <w:t>În anul 2016 ROSCI0103 Lunca Buzăului a fost extins iar ulterior a fost declarat și ROSPA0160 cu același nume.</w:t>
      </w:r>
    </w:p>
    <w:p w:rsidR="00376DC8" w:rsidRPr="005D1973" w:rsidRDefault="00376DC8"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Totodată, au fost desemnate și două situri Ramsar (zone umede de importanţă internaţională ca habitat al păsărilor acvatice migratoare), Insula Mică a </w:t>
      </w:r>
      <w:r w:rsidR="007C1699">
        <w:rPr>
          <w:rFonts w:ascii="Arial" w:eastAsia="Times New Roman" w:hAnsi="Arial" w:cs="Arial"/>
          <w:sz w:val="24"/>
          <w:szCs w:val="24"/>
          <w:lang w:eastAsia="ro-RO"/>
        </w:rPr>
        <w:t>BR</w:t>
      </w:r>
      <w:r w:rsidRPr="005D1973">
        <w:rPr>
          <w:rFonts w:ascii="Arial" w:eastAsia="Times New Roman" w:hAnsi="Arial" w:cs="Arial"/>
          <w:sz w:val="24"/>
          <w:szCs w:val="24"/>
          <w:lang w:eastAsia="ro-RO"/>
        </w:rPr>
        <w:t xml:space="preserve">ăilei în anul 2001 și Dunărea Veche </w:t>
      </w:r>
      <w:r w:rsidR="007C1699">
        <w:rPr>
          <w:rFonts w:ascii="Arial" w:eastAsia="Times New Roman" w:hAnsi="Arial" w:cs="Arial"/>
          <w:sz w:val="24"/>
          <w:szCs w:val="24"/>
          <w:lang w:eastAsia="ro-RO"/>
        </w:rPr>
        <w:t>BR</w:t>
      </w:r>
      <w:r w:rsidRPr="005D1973">
        <w:rPr>
          <w:rFonts w:ascii="Arial" w:eastAsia="Times New Roman" w:hAnsi="Arial" w:cs="Arial"/>
          <w:sz w:val="24"/>
          <w:szCs w:val="24"/>
          <w:lang w:eastAsia="ro-RO"/>
        </w:rPr>
        <w:t>ațul Măcin în anul 2013.</w:t>
      </w:r>
    </w:p>
    <w:p w:rsidR="00EE1961" w:rsidRPr="005D1973" w:rsidRDefault="00EE1961" w:rsidP="00C625DB">
      <w:pPr>
        <w:autoSpaceDE w:val="0"/>
        <w:autoSpaceDN w:val="0"/>
        <w:adjustRightInd w:val="0"/>
        <w:spacing w:after="0" w:line="240" w:lineRule="auto"/>
        <w:ind w:firstLine="360"/>
        <w:jc w:val="both"/>
        <w:rPr>
          <w:rFonts w:ascii="Arial" w:eastAsia="Times New Roman" w:hAnsi="Arial" w:cs="Arial"/>
          <w:sz w:val="24"/>
          <w:szCs w:val="24"/>
        </w:rPr>
      </w:pPr>
      <w:r w:rsidRPr="005D1973">
        <w:rPr>
          <w:rFonts w:ascii="Arial" w:eastAsia="Times New Roman" w:hAnsi="Arial" w:cs="Arial"/>
          <w:sz w:val="24"/>
          <w:szCs w:val="24"/>
        </w:rPr>
        <w:t xml:space="preserve">Ca urmare, s-a ajuns la un total de </w:t>
      </w:r>
      <w:r w:rsidRPr="005D1973">
        <w:rPr>
          <w:rFonts w:ascii="Arial" w:eastAsia="Times New Roman" w:hAnsi="Arial" w:cs="Arial"/>
          <w:b/>
          <w:sz w:val="24"/>
          <w:szCs w:val="24"/>
          <w:u w:val="single"/>
        </w:rPr>
        <w:t>2</w:t>
      </w:r>
      <w:r w:rsidR="00376DC8" w:rsidRPr="005D1973">
        <w:rPr>
          <w:rFonts w:ascii="Arial" w:eastAsia="Times New Roman" w:hAnsi="Arial" w:cs="Arial"/>
          <w:b/>
          <w:sz w:val="24"/>
          <w:szCs w:val="24"/>
          <w:u w:val="single"/>
        </w:rPr>
        <w:t>6</w:t>
      </w:r>
      <w:r w:rsidRPr="005D1973">
        <w:rPr>
          <w:rFonts w:ascii="Arial" w:eastAsia="Times New Roman" w:hAnsi="Arial" w:cs="Arial"/>
          <w:b/>
          <w:sz w:val="24"/>
          <w:szCs w:val="24"/>
          <w:u w:val="single"/>
        </w:rPr>
        <w:t xml:space="preserve"> de arii naturale protejate desemnate</w:t>
      </w:r>
      <w:r w:rsidRPr="005D1973">
        <w:rPr>
          <w:rFonts w:ascii="Arial" w:eastAsia="Times New Roman" w:hAnsi="Arial" w:cs="Arial"/>
          <w:sz w:val="24"/>
          <w:szCs w:val="24"/>
        </w:rPr>
        <w:t xml:space="preserve">: </w:t>
      </w:r>
    </w:p>
    <w:p w:rsidR="00EE1961" w:rsidRPr="005D1973" w:rsidRDefault="00EE1961" w:rsidP="00252ED3">
      <w:pPr>
        <w:pStyle w:val="ListParagraph"/>
        <w:numPr>
          <w:ilvl w:val="0"/>
          <w:numId w:val="45"/>
        </w:numPr>
        <w:autoSpaceDE w:val="0"/>
        <w:autoSpaceDN w:val="0"/>
        <w:adjustRightInd w:val="0"/>
        <w:jc w:val="both"/>
        <w:rPr>
          <w:rFonts w:ascii="Arial" w:hAnsi="Arial" w:cs="Arial"/>
        </w:rPr>
      </w:pPr>
      <w:r w:rsidRPr="005D1973">
        <w:rPr>
          <w:rFonts w:ascii="Arial" w:hAnsi="Arial" w:cs="Arial"/>
        </w:rPr>
        <w:t xml:space="preserve">3 de interes naţional: Parcul Natural Balta Mică a </w:t>
      </w:r>
      <w:r w:rsidR="007C1699">
        <w:rPr>
          <w:rFonts w:ascii="Arial" w:hAnsi="Arial" w:cs="Arial"/>
        </w:rPr>
        <w:t>BR</w:t>
      </w:r>
      <w:r w:rsidRPr="005D1973">
        <w:rPr>
          <w:rFonts w:ascii="Arial" w:hAnsi="Arial" w:cs="Arial"/>
        </w:rPr>
        <w:t>ăilei și Rezervațiile Naturale Camnița și Jirlău-Trup vișani</w:t>
      </w:r>
    </w:p>
    <w:p w:rsidR="00EE1961" w:rsidRPr="005D1973" w:rsidRDefault="00EE1961" w:rsidP="00252ED3">
      <w:pPr>
        <w:pStyle w:val="ListParagraph"/>
        <w:numPr>
          <w:ilvl w:val="0"/>
          <w:numId w:val="45"/>
        </w:numPr>
        <w:autoSpaceDE w:val="0"/>
        <w:autoSpaceDN w:val="0"/>
        <w:adjustRightInd w:val="0"/>
        <w:jc w:val="both"/>
        <w:rPr>
          <w:rFonts w:ascii="Arial" w:hAnsi="Arial" w:cs="Arial"/>
        </w:rPr>
      </w:pPr>
      <w:r w:rsidRPr="005D1973">
        <w:rPr>
          <w:rFonts w:ascii="Arial" w:hAnsi="Arial" w:cs="Arial"/>
        </w:rPr>
        <w:t xml:space="preserve">2 de interes judeţean şi local: Rezervația Forestieră Pădurea Viișoara și Popina Blasova, monument al naturii, martor de eroziune hercinică, </w:t>
      </w:r>
    </w:p>
    <w:p w:rsidR="00EE1961" w:rsidRPr="005D1973" w:rsidRDefault="00EE1961" w:rsidP="00252ED3">
      <w:pPr>
        <w:pStyle w:val="ListParagraph"/>
        <w:numPr>
          <w:ilvl w:val="0"/>
          <w:numId w:val="45"/>
        </w:numPr>
        <w:autoSpaceDE w:val="0"/>
        <w:autoSpaceDN w:val="0"/>
        <w:adjustRightInd w:val="0"/>
        <w:jc w:val="both"/>
        <w:rPr>
          <w:rFonts w:ascii="Arial" w:hAnsi="Arial" w:cs="Arial"/>
        </w:rPr>
      </w:pPr>
      <w:r w:rsidRPr="005D1973">
        <w:rPr>
          <w:rFonts w:ascii="Arial" w:hAnsi="Arial" w:cs="Arial"/>
        </w:rPr>
        <w:t xml:space="preserve">2 de interes internaţional : cele două situri Ramsar </w:t>
      </w:r>
    </w:p>
    <w:p w:rsidR="00EE1961" w:rsidRPr="005D1973" w:rsidRDefault="00EE1961" w:rsidP="00252ED3">
      <w:pPr>
        <w:pStyle w:val="ListParagraph"/>
        <w:numPr>
          <w:ilvl w:val="0"/>
          <w:numId w:val="45"/>
        </w:numPr>
        <w:autoSpaceDE w:val="0"/>
        <w:autoSpaceDN w:val="0"/>
        <w:adjustRightInd w:val="0"/>
        <w:jc w:val="both"/>
        <w:rPr>
          <w:rFonts w:ascii="Arial" w:hAnsi="Arial" w:cs="Arial"/>
        </w:rPr>
      </w:pPr>
      <w:r w:rsidRPr="005D1973">
        <w:rPr>
          <w:rFonts w:ascii="Arial" w:hAnsi="Arial" w:cs="Arial"/>
        </w:rPr>
        <w:t>1</w:t>
      </w:r>
      <w:r w:rsidR="00376DC8" w:rsidRPr="005D1973">
        <w:rPr>
          <w:rFonts w:ascii="Arial" w:hAnsi="Arial" w:cs="Arial"/>
        </w:rPr>
        <w:t>9</w:t>
      </w:r>
      <w:r w:rsidRPr="005D1973">
        <w:rPr>
          <w:rFonts w:ascii="Arial" w:hAnsi="Arial" w:cs="Arial"/>
        </w:rPr>
        <w:t xml:space="preserve"> de interes comunitar (</w:t>
      </w:r>
      <w:r w:rsidR="00376DC8" w:rsidRPr="005D1973">
        <w:rPr>
          <w:rFonts w:ascii="Arial" w:hAnsi="Arial" w:cs="Arial"/>
        </w:rPr>
        <w:t xml:space="preserve">10 </w:t>
      </w:r>
      <w:r w:rsidRPr="005D1973">
        <w:rPr>
          <w:rFonts w:ascii="Arial" w:hAnsi="Arial" w:cs="Arial"/>
        </w:rPr>
        <w:t xml:space="preserve">arii de protecție specială avifaunistică-SPA și 9 situri de importanță comunitară -SCI). </w:t>
      </w:r>
      <w:r w:rsidR="00376DC8" w:rsidRPr="005D1973">
        <w:rPr>
          <w:rFonts w:ascii="Arial" w:hAnsi="Arial" w:cs="Arial"/>
        </w:rPr>
        <w:t>(Tabelele nr. V.2.1- 2 și V.2.1-3)</w:t>
      </w:r>
    </w:p>
    <w:p w:rsidR="00EE1961"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Aceste arii se suprapun parţial astfel încât acelaşi teritoriu poate avea statut dublu sau triplu de protecţie. Unele arii cum sunt Parcul natural Balta Mică a </w:t>
      </w:r>
      <w:r w:rsidR="007C1699">
        <w:rPr>
          <w:rFonts w:ascii="Arial" w:eastAsia="Times New Roman" w:hAnsi="Arial" w:cs="Arial"/>
          <w:sz w:val="24"/>
          <w:szCs w:val="24"/>
          <w:lang w:eastAsia="ro-RO"/>
        </w:rPr>
        <w:t>BR</w:t>
      </w:r>
      <w:r w:rsidRPr="005D1973">
        <w:rPr>
          <w:rFonts w:ascii="Arial" w:eastAsia="Times New Roman" w:hAnsi="Arial" w:cs="Arial"/>
          <w:sz w:val="24"/>
          <w:szCs w:val="24"/>
          <w:lang w:eastAsia="ro-RO"/>
        </w:rPr>
        <w:t xml:space="preserve">ăilei și o parte a celor de interes comunitar acoperă și suprafețe din județele învecinate. Cu un total de aproximativ 62000 ha, suprafața ocupată de ariile protejate  reprezinta aproximativ 13% din suprafaţa judeţului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w:t>
      </w:r>
    </w:p>
    <w:p w:rsidR="00202088" w:rsidRPr="005D1973" w:rsidRDefault="00202088" w:rsidP="00C625DB">
      <w:pPr>
        <w:autoSpaceDE w:val="0"/>
        <w:autoSpaceDN w:val="0"/>
        <w:adjustRightInd w:val="0"/>
        <w:spacing w:after="0" w:line="240" w:lineRule="auto"/>
        <w:ind w:firstLine="708"/>
        <w:jc w:val="both"/>
        <w:rPr>
          <w:rFonts w:ascii="Arial" w:eastAsia="Times New Roman" w:hAnsi="Arial" w:cs="Arial"/>
          <w:sz w:val="24"/>
          <w:szCs w:val="24"/>
          <w:lang w:eastAsia="ro-RO"/>
        </w:rPr>
      </w:pPr>
    </w:p>
    <w:p w:rsidR="00EE1961" w:rsidRPr="005D1973" w:rsidRDefault="00EE1961" w:rsidP="00C625DB">
      <w:pPr>
        <w:autoSpaceDE w:val="0"/>
        <w:autoSpaceDN w:val="0"/>
        <w:adjustRightInd w:val="0"/>
        <w:spacing w:after="0" w:line="240" w:lineRule="auto"/>
        <w:ind w:firstLine="737"/>
        <w:jc w:val="center"/>
        <w:rPr>
          <w:rFonts w:ascii="Arial" w:eastAsia="Times New Roman" w:hAnsi="Arial" w:cs="Arial"/>
          <w:sz w:val="24"/>
          <w:szCs w:val="24"/>
          <w:highlight w:val="yellow"/>
        </w:rPr>
      </w:pPr>
      <w:r w:rsidRPr="005D1973">
        <w:rPr>
          <w:rFonts w:ascii="Arial" w:eastAsia="Times New Roman" w:hAnsi="Arial" w:cs="Arial"/>
          <w:noProof/>
          <w:sz w:val="24"/>
          <w:szCs w:val="24"/>
          <w:lang w:eastAsia="ro-RO"/>
        </w:rPr>
        <w:drawing>
          <wp:inline distT="0" distB="0" distL="0" distR="0">
            <wp:extent cx="4594225" cy="2200275"/>
            <wp:effectExtent l="19050" t="0" r="15875"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02088" w:rsidRDefault="00464BFA" w:rsidP="00C625DB">
      <w:pPr>
        <w:autoSpaceDE w:val="0"/>
        <w:autoSpaceDN w:val="0"/>
        <w:adjustRightInd w:val="0"/>
        <w:spacing w:after="0" w:line="240" w:lineRule="auto"/>
        <w:rPr>
          <w:rFonts w:ascii="Arial" w:eastAsia="Times New Roman" w:hAnsi="Arial" w:cs="Arial"/>
          <w:sz w:val="24"/>
          <w:szCs w:val="24"/>
        </w:rPr>
      </w:pPr>
      <w:r w:rsidRPr="005D1973">
        <w:rPr>
          <w:rFonts w:ascii="Arial" w:eastAsia="Times New Roman" w:hAnsi="Arial" w:cs="Arial"/>
          <w:sz w:val="24"/>
          <w:szCs w:val="24"/>
        </w:rPr>
        <w:t xml:space="preserve">     </w:t>
      </w:r>
      <w:r w:rsidR="00EE1961" w:rsidRPr="005D1973">
        <w:rPr>
          <w:rFonts w:ascii="Arial" w:eastAsia="Times New Roman" w:hAnsi="Arial" w:cs="Arial"/>
          <w:sz w:val="24"/>
          <w:szCs w:val="24"/>
        </w:rPr>
        <w:t xml:space="preserve"> </w:t>
      </w:r>
    </w:p>
    <w:p w:rsidR="00EE1961" w:rsidRPr="005D1973" w:rsidRDefault="00202088" w:rsidP="00C625DB">
      <w:pPr>
        <w:autoSpaceDE w:val="0"/>
        <w:autoSpaceDN w:val="0"/>
        <w:adjustRightInd w:val="0"/>
        <w:spacing w:after="0" w:line="240" w:lineRule="auto"/>
        <w:rPr>
          <w:rFonts w:ascii="Arial" w:eastAsia="Times New Roman" w:hAnsi="Arial" w:cs="Arial"/>
          <w:sz w:val="24"/>
          <w:szCs w:val="24"/>
          <w:highlight w:val="yellow"/>
        </w:rPr>
      </w:pPr>
      <w:r>
        <w:rPr>
          <w:rFonts w:ascii="Arial" w:eastAsia="Times New Roman" w:hAnsi="Arial" w:cs="Arial"/>
          <w:sz w:val="24"/>
          <w:szCs w:val="24"/>
        </w:rPr>
        <w:t xml:space="preserve">    </w:t>
      </w:r>
      <w:r w:rsidR="00EE1961" w:rsidRPr="00202088">
        <w:rPr>
          <w:rFonts w:ascii="Arial" w:eastAsia="Times New Roman" w:hAnsi="Arial" w:cs="Arial"/>
          <w:sz w:val="24"/>
          <w:szCs w:val="24"/>
        </w:rPr>
        <w:t>Figura nr. V.2.1.1.</w:t>
      </w:r>
      <w:r w:rsidR="00EE1961" w:rsidRPr="005D1973">
        <w:rPr>
          <w:rFonts w:ascii="Arial" w:eastAsia="Times New Roman" w:hAnsi="Arial" w:cs="Arial"/>
          <w:sz w:val="24"/>
          <w:szCs w:val="24"/>
        </w:rPr>
        <w:t xml:space="preserve"> </w:t>
      </w:r>
      <w:r w:rsidR="00EE1961" w:rsidRPr="005D1973">
        <w:rPr>
          <w:rFonts w:ascii="Arial" w:hAnsi="Arial" w:cs="Arial"/>
          <w:sz w:val="24"/>
          <w:szCs w:val="24"/>
        </w:rPr>
        <w:t>Numărul de arii naturale protejate desemnate în perioada 1994 - 201</w:t>
      </w:r>
      <w:r w:rsidR="00376DC8" w:rsidRPr="005D1973">
        <w:rPr>
          <w:rFonts w:ascii="Arial" w:hAnsi="Arial" w:cs="Arial"/>
          <w:sz w:val="24"/>
          <w:szCs w:val="24"/>
        </w:rPr>
        <w:t>6</w:t>
      </w:r>
      <w:r w:rsidR="00EE1961" w:rsidRPr="005D1973">
        <w:rPr>
          <w:rFonts w:ascii="Arial" w:eastAsia="Times New Roman" w:hAnsi="Arial" w:cs="Arial"/>
          <w:sz w:val="24"/>
          <w:szCs w:val="24"/>
          <w:highlight w:val="yellow"/>
        </w:rPr>
        <w:t xml:space="preserve"> </w:t>
      </w:r>
    </w:p>
    <w:p w:rsidR="00EE1961" w:rsidRPr="005D1973" w:rsidRDefault="00EE1961" w:rsidP="00C625DB">
      <w:pPr>
        <w:autoSpaceDE w:val="0"/>
        <w:autoSpaceDN w:val="0"/>
        <w:adjustRightInd w:val="0"/>
        <w:spacing w:after="0" w:line="240" w:lineRule="auto"/>
        <w:ind w:firstLine="737"/>
        <w:rPr>
          <w:rFonts w:ascii="Arial" w:eastAsia="Times New Roman" w:hAnsi="Arial" w:cs="Arial"/>
          <w:sz w:val="24"/>
          <w:szCs w:val="24"/>
          <w:highlight w:val="yellow"/>
        </w:rPr>
      </w:pPr>
    </w:p>
    <w:p w:rsidR="00EE1961" w:rsidRPr="005D1973" w:rsidRDefault="00EE1961" w:rsidP="00C625DB">
      <w:pPr>
        <w:autoSpaceDE w:val="0"/>
        <w:autoSpaceDN w:val="0"/>
        <w:adjustRightInd w:val="0"/>
        <w:spacing w:after="0" w:line="240" w:lineRule="auto"/>
        <w:ind w:firstLine="737"/>
        <w:jc w:val="center"/>
        <w:rPr>
          <w:rFonts w:ascii="Arial" w:eastAsia="Times New Roman" w:hAnsi="Arial" w:cs="Arial"/>
          <w:sz w:val="24"/>
          <w:szCs w:val="24"/>
          <w:highlight w:val="yellow"/>
        </w:rPr>
      </w:pPr>
      <w:r w:rsidRPr="005D1973">
        <w:rPr>
          <w:rFonts w:ascii="Arial" w:eastAsia="Times New Roman" w:hAnsi="Arial" w:cs="Arial"/>
          <w:noProof/>
          <w:sz w:val="24"/>
          <w:szCs w:val="24"/>
          <w:lang w:eastAsia="ro-RO"/>
        </w:rPr>
        <w:lastRenderedPageBreak/>
        <w:drawing>
          <wp:inline distT="0" distB="0" distL="0" distR="0">
            <wp:extent cx="4661535" cy="1714500"/>
            <wp:effectExtent l="19050" t="0" r="24765" b="0"/>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E1961" w:rsidRPr="005D1973" w:rsidRDefault="00202088" w:rsidP="00C625DB">
      <w:pPr>
        <w:autoSpaceDE w:val="0"/>
        <w:autoSpaceDN w:val="0"/>
        <w:adjustRightInd w:val="0"/>
        <w:spacing w:after="0" w:line="240" w:lineRule="auto"/>
        <w:rPr>
          <w:rFonts w:ascii="Arial" w:eastAsia="Times New Roman" w:hAnsi="Arial" w:cs="Arial"/>
          <w:sz w:val="24"/>
          <w:szCs w:val="24"/>
          <w:highlight w:val="yellow"/>
        </w:rPr>
      </w:pPr>
      <w:r>
        <w:rPr>
          <w:rFonts w:ascii="Arial" w:eastAsia="Times New Roman" w:hAnsi="Arial" w:cs="Arial"/>
          <w:sz w:val="24"/>
          <w:szCs w:val="24"/>
        </w:rPr>
        <w:t xml:space="preserve">     </w:t>
      </w:r>
      <w:r w:rsidR="00EE1961" w:rsidRPr="00202088">
        <w:rPr>
          <w:rFonts w:ascii="Arial" w:eastAsia="Times New Roman" w:hAnsi="Arial" w:cs="Arial"/>
          <w:sz w:val="24"/>
          <w:szCs w:val="24"/>
        </w:rPr>
        <w:t>Figura nr.V.2.1.-</w:t>
      </w:r>
      <w:r w:rsidR="00464BFA" w:rsidRPr="00202088">
        <w:rPr>
          <w:rFonts w:ascii="Arial" w:eastAsia="Times New Roman" w:hAnsi="Arial" w:cs="Arial"/>
          <w:sz w:val="24"/>
          <w:szCs w:val="24"/>
        </w:rPr>
        <w:t xml:space="preserve"> </w:t>
      </w:r>
      <w:r w:rsidR="00EE1961" w:rsidRPr="00202088">
        <w:rPr>
          <w:rFonts w:ascii="Arial" w:eastAsia="Times New Roman" w:hAnsi="Arial" w:cs="Arial"/>
          <w:sz w:val="24"/>
          <w:szCs w:val="24"/>
        </w:rPr>
        <w:t xml:space="preserve">2 </w:t>
      </w:r>
      <w:r w:rsidR="00EE1961" w:rsidRPr="00202088">
        <w:rPr>
          <w:rFonts w:ascii="Arial" w:hAnsi="Arial" w:cs="Arial"/>
          <w:sz w:val="24"/>
          <w:szCs w:val="24"/>
        </w:rPr>
        <w:t>Evoluţia</w:t>
      </w:r>
      <w:r w:rsidR="00EE1961" w:rsidRPr="005D1973">
        <w:rPr>
          <w:rFonts w:ascii="Arial" w:hAnsi="Arial" w:cs="Arial"/>
          <w:sz w:val="24"/>
          <w:szCs w:val="24"/>
        </w:rPr>
        <w:t xml:space="preserve"> suprafeţei totale a ariilor naturale protejate în perioada 1994 - 201</w:t>
      </w:r>
      <w:r w:rsidR="00FF320C" w:rsidRPr="005D1973">
        <w:rPr>
          <w:rFonts w:ascii="Arial" w:hAnsi="Arial" w:cs="Arial"/>
          <w:sz w:val="24"/>
          <w:szCs w:val="24"/>
        </w:rPr>
        <w:t>6</w:t>
      </w:r>
      <w:r w:rsidR="00EE1961" w:rsidRPr="005D1973">
        <w:rPr>
          <w:rFonts w:ascii="Arial" w:eastAsia="Times New Roman" w:hAnsi="Arial" w:cs="Arial"/>
          <w:sz w:val="24"/>
          <w:szCs w:val="24"/>
          <w:highlight w:val="yellow"/>
        </w:rPr>
        <w:t xml:space="preserve"> </w:t>
      </w:r>
    </w:p>
    <w:p w:rsidR="000C7034" w:rsidRPr="005D1973" w:rsidRDefault="000C7034" w:rsidP="00C625DB">
      <w:pPr>
        <w:spacing w:after="0" w:line="240" w:lineRule="auto"/>
        <w:jc w:val="both"/>
        <w:rPr>
          <w:rFonts w:ascii="Arial" w:hAnsi="Arial" w:cs="Arial"/>
          <w:b/>
          <w:sz w:val="24"/>
          <w:szCs w:val="24"/>
        </w:rPr>
      </w:pPr>
    </w:p>
    <w:p w:rsidR="00EE1961" w:rsidRPr="005D1973" w:rsidRDefault="00EE1961" w:rsidP="00C625DB">
      <w:pPr>
        <w:spacing w:after="0" w:line="240" w:lineRule="auto"/>
        <w:jc w:val="both"/>
        <w:rPr>
          <w:rFonts w:ascii="Arial" w:hAnsi="Arial" w:cs="Arial"/>
          <w:b/>
          <w:sz w:val="24"/>
          <w:szCs w:val="24"/>
        </w:rPr>
      </w:pPr>
      <w:r w:rsidRPr="005D1973">
        <w:rPr>
          <w:rFonts w:ascii="Arial" w:hAnsi="Arial" w:cs="Arial"/>
          <w:b/>
          <w:sz w:val="24"/>
          <w:szCs w:val="24"/>
        </w:rPr>
        <w:t xml:space="preserve">Arii naturale protejate de interes naţional </w:t>
      </w:r>
    </w:p>
    <w:p w:rsidR="00EE1961" w:rsidRPr="005D1973" w:rsidRDefault="00EE1961" w:rsidP="00C625DB">
      <w:pPr>
        <w:autoSpaceDE w:val="0"/>
        <w:autoSpaceDN w:val="0"/>
        <w:adjustRightInd w:val="0"/>
        <w:spacing w:after="0" w:line="240" w:lineRule="auto"/>
        <w:ind w:firstLine="708"/>
        <w:jc w:val="both"/>
        <w:rPr>
          <w:rFonts w:ascii="Arial" w:eastAsia="Times New Roman" w:hAnsi="Arial" w:cs="Arial"/>
          <w:sz w:val="24"/>
          <w:szCs w:val="24"/>
          <w:lang w:eastAsia="ro-RO"/>
        </w:rPr>
      </w:pPr>
      <w:r w:rsidRPr="005D1973">
        <w:rPr>
          <w:rFonts w:ascii="Arial" w:eastAsia="Times New Roman" w:hAnsi="Arial" w:cs="Arial"/>
          <w:sz w:val="24"/>
          <w:szCs w:val="24"/>
          <w:lang w:eastAsia="ro-RO"/>
        </w:rPr>
        <w:t xml:space="preserve">În judeţul </w:t>
      </w:r>
      <w:r w:rsidR="00217620">
        <w:rPr>
          <w:rFonts w:ascii="Arial" w:eastAsia="Times New Roman" w:hAnsi="Arial" w:cs="Arial"/>
          <w:sz w:val="24"/>
          <w:szCs w:val="24"/>
          <w:lang w:eastAsia="ro-RO"/>
        </w:rPr>
        <w:t>Brăila</w:t>
      </w:r>
      <w:r w:rsidRPr="005D1973">
        <w:rPr>
          <w:rFonts w:ascii="Arial" w:eastAsia="Times New Roman" w:hAnsi="Arial" w:cs="Arial"/>
          <w:sz w:val="24"/>
          <w:szCs w:val="24"/>
          <w:lang w:eastAsia="ro-RO"/>
        </w:rPr>
        <w:t xml:space="preserve"> există 3 arii naturale protejate de interes naţional (un parc natural şi 2 rezervaţii naturale) declarate prin Legea 5/2000 privind aprobarea Planului de amenajare a teritoriului naţional, secţiunea III - Arii protejate, prezentate în tabelul următor:</w:t>
      </w:r>
    </w:p>
    <w:p w:rsidR="002442D1" w:rsidRDefault="002442D1" w:rsidP="00C625DB">
      <w:pPr>
        <w:pStyle w:val="Heading2"/>
        <w:spacing w:before="0" w:after="0"/>
        <w:jc w:val="both"/>
        <w:rPr>
          <w:rFonts w:ascii="Arial" w:hAnsi="Arial" w:cs="Arial"/>
          <w:i w:val="0"/>
          <w:sz w:val="24"/>
          <w:szCs w:val="24"/>
        </w:rPr>
      </w:pPr>
    </w:p>
    <w:p w:rsidR="00EE1961" w:rsidRPr="005D1973" w:rsidRDefault="00EE1961" w:rsidP="00C625DB">
      <w:pPr>
        <w:pStyle w:val="Heading2"/>
        <w:spacing w:before="0" w:after="0"/>
        <w:jc w:val="both"/>
        <w:rPr>
          <w:rFonts w:ascii="Arial" w:hAnsi="Arial" w:cs="Arial"/>
          <w:sz w:val="24"/>
          <w:szCs w:val="24"/>
        </w:rPr>
      </w:pPr>
      <w:r w:rsidRPr="002442D1">
        <w:rPr>
          <w:rFonts w:ascii="Arial" w:hAnsi="Arial" w:cs="Arial"/>
          <w:b w:val="0"/>
          <w:i w:val="0"/>
          <w:sz w:val="24"/>
          <w:szCs w:val="24"/>
        </w:rPr>
        <w:t>Tabel nr. V.2.1-1</w:t>
      </w:r>
      <w:r w:rsidRPr="005D1973">
        <w:rPr>
          <w:rFonts w:ascii="Arial" w:hAnsi="Arial" w:cs="Arial"/>
          <w:i w:val="0"/>
          <w:sz w:val="24"/>
          <w:szCs w:val="24"/>
        </w:rPr>
        <w:t xml:space="preserve">. - </w:t>
      </w:r>
      <w:r w:rsidRPr="005D1973">
        <w:rPr>
          <w:rFonts w:ascii="Arial" w:hAnsi="Arial" w:cs="Arial"/>
          <w:b w:val="0"/>
          <w:i w:val="0"/>
          <w:sz w:val="24"/>
          <w:szCs w:val="24"/>
        </w:rPr>
        <w:t xml:space="preserve">Ariile  naturale protejate de interes naţional din judeţul </w:t>
      </w:r>
      <w:r w:rsidR="00217620">
        <w:rPr>
          <w:rFonts w:ascii="Arial" w:hAnsi="Arial" w:cs="Arial"/>
          <w:b w:val="0"/>
          <w:i w:val="0"/>
          <w:sz w:val="24"/>
          <w:szCs w:val="24"/>
        </w:rPr>
        <w:t>Brăila</w:t>
      </w:r>
    </w:p>
    <w:tbl>
      <w:tblPr>
        <w:tblW w:w="9851" w:type="dxa"/>
        <w:tblBorders>
          <w:top w:val="single" w:sz="12" w:space="0" w:color="000000"/>
          <w:left w:val="single" w:sz="12" w:space="0" w:color="000000"/>
          <w:bottom w:val="single" w:sz="12" w:space="0" w:color="000000"/>
          <w:right w:val="single" w:sz="12" w:space="0" w:color="000000"/>
        </w:tblBorders>
        <w:shd w:val="clear" w:color="auto" w:fill="FDE9D9" w:themeFill="accent6" w:themeFillTint="33"/>
        <w:tblLayout w:type="fixed"/>
        <w:tblLook w:val="04A0"/>
      </w:tblPr>
      <w:tblGrid>
        <w:gridCol w:w="534"/>
        <w:gridCol w:w="1389"/>
        <w:gridCol w:w="1335"/>
        <w:gridCol w:w="1400"/>
        <w:gridCol w:w="997"/>
        <w:gridCol w:w="2334"/>
        <w:gridCol w:w="1862"/>
      </w:tblGrid>
      <w:tr w:rsidR="00EE1961" w:rsidRPr="005D1973" w:rsidTr="00E71D51">
        <w:tc>
          <w:tcPr>
            <w:tcW w:w="534" w:type="dxa"/>
            <w:tcBorders>
              <w:top w:val="single" w:sz="4" w:space="0" w:color="auto"/>
              <w:left w:val="single" w:sz="4" w:space="0" w:color="auto"/>
              <w:bottom w:val="single" w:sz="4" w:space="0" w:color="auto"/>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b/>
                <w:sz w:val="24"/>
                <w:szCs w:val="24"/>
              </w:rPr>
            </w:pPr>
            <w:r w:rsidRPr="005D1973">
              <w:rPr>
                <w:rFonts w:ascii="Arial" w:hAnsi="Arial" w:cs="Arial"/>
                <w:b/>
                <w:sz w:val="24"/>
                <w:szCs w:val="24"/>
              </w:rPr>
              <w:t>Nr. crt.</w:t>
            </w:r>
          </w:p>
        </w:tc>
        <w:tc>
          <w:tcPr>
            <w:tcW w:w="1389"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b/>
                <w:sz w:val="24"/>
                <w:szCs w:val="24"/>
              </w:rPr>
            </w:pPr>
            <w:r w:rsidRPr="005D1973">
              <w:rPr>
                <w:rFonts w:ascii="Arial" w:hAnsi="Arial" w:cs="Arial"/>
                <w:b/>
                <w:sz w:val="24"/>
                <w:szCs w:val="24"/>
              </w:rPr>
              <w:t>Denumire</w:t>
            </w:r>
          </w:p>
        </w:tc>
        <w:tc>
          <w:tcPr>
            <w:tcW w:w="1335"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b/>
                <w:sz w:val="24"/>
                <w:szCs w:val="24"/>
              </w:rPr>
            </w:pPr>
            <w:r w:rsidRPr="005D1973">
              <w:rPr>
                <w:rFonts w:ascii="Arial" w:hAnsi="Arial" w:cs="Arial"/>
                <w:b/>
                <w:sz w:val="24"/>
                <w:szCs w:val="24"/>
              </w:rPr>
              <w:t>Actul de declarare</w:t>
            </w:r>
          </w:p>
        </w:tc>
        <w:tc>
          <w:tcPr>
            <w:tcW w:w="1400"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b/>
                <w:sz w:val="24"/>
                <w:szCs w:val="24"/>
              </w:rPr>
            </w:pPr>
            <w:r w:rsidRPr="005D1973">
              <w:rPr>
                <w:rFonts w:ascii="Arial" w:hAnsi="Arial" w:cs="Arial"/>
                <w:b/>
                <w:sz w:val="24"/>
                <w:szCs w:val="24"/>
              </w:rPr>
              <w:t>Categoria ariei protejate</w:t>
            </w:r>
          </w:p>
        </w:tc>
        <w:tc>
          <w:tcPr>
            <w:tcW w:w="997" w:type="dxa"/>
            <w:tcBorders>
              <w:top w:val="single" w:sz="4" w:space="0" w:color="auto"/>
              <w:left w:val="single" w:sz="6" w:space="0" w:color="000000"/>
              <w:bottom w:val="single" w:sz="4" w:space="0" w:color="auto"/>
              <w:right w:val="single" w:sz="4" w:space="0" w:color="auto"/>
            </w:tcBorders>
            <w:shd w:val="clear" w:color="auto" w:fill="FDE9D9" w:themeFill="accent6" w:themeFillTint="33"/>
            <w:vAlign w:val="center"/>
          </w:tcPr>
          <w:p w:rsidR="00EE1961" w:rsidRPr="005D1973" w:rsidRDefault="00EE1961" w:rsidP="00C625DB">
            <w:pPr>
              <w:spacing w:after="0" w:line="240" w:lineRule="auto"/>
              <w:jc w:val="center"/>
              <w:rPr>
                <w:rFonts w:ascii="Arial" w:hAnsi="Arial" w:cs="Arial"/>
                <w:b/>
                <w:sz w:val="24"/>
                <w:szCs w:val="24"/>
                <w:lang w:val="es-ES"/>
              </w:rPr>
            </w:pPr>
            <w:r w:rsidRPr="005D1973">
              <w:rPr>
                <w:rFonts w:ascii="Arial" w:hAnsi="Arial" w:cs="Arial"/>
                <w:b/>
                <w:sz w:val="24"/>
                <w:szCs w:val="24"/>
                <w:lang w:val="es-ES"/>
              </w:rPr>
              <w:t>Supra-faţa</w:t>
            </w:r>
          </w:p>
          <w:p w:rsidR="00EE1961" w:rsidRPr="005D1973" w:rsidRDefault="00EE1961" w:rsidP="00C625DB">
            <w:pPr>
              <w:spacing w:after="0" w:line="240" w:lineRule="auto"/>
              <w:jc w:val="center"/>
              <w:rPr>
                <w:rFonts w:ascii="Arial" w:hAnsi="Arial" w:cs="Arial"/>
                <w:b/>
                <w:sz w:val="24"/>
                <w:szCs w:val="24"/>
                <w:lang w:val="es-ES"/>
              </w:rPr>
            </w:pPr>
            <w:r w:rsidRPr="005D1973">
              <w:rPr>
                <w:rFonts w:ascii="Arial" w:hAnsi="Arial" w:cs="Arial"/>
                <w:b/>
                <w:sz w:val="24"/>
                <w:szCs w:val="24"/>
                <w:lang w:val="es-ES"/>
              </w:rPr>
              <w:t>(ha)</w:t>
            </w:r>
          </w:p>
          <w:p w:rsidR="00EE1961" w:rsidRPr="005D1973" w:rsidRDefault="00EE1961" w:rsidP="00C625DB">
            <w:pPr>
              <w:spacing w:after="0" w:line="240" w:lineRule="auto"/>
              <w:jc w:val="center"/>
              <w:rPr>
                <w:rFonts w:ascii="Arial" w:hAnsi="Arial" w:cs="Arial"/>
                <w:b/>
                <w:sz w:val="24"/>
                <w:szCs w:val="24"/>
                <w:lang w:val="es-ES"/>
              </w:rPr>
            </w:pPr>
          </w:p>
        </w:tc>
        <w:tc>
          <w:tcPr>
            <w:tcW w:w="2334"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b/>
                <w:sz w:val="24"/>
                <w:szCs w:val="24"/>
              </w:rPr>
            </w:pPr>
            <w:r w:rsidRPr="005D1973">
              <w:rPr>
                <w:rFonts w:ascii="Arial" w:hAnsi="Arial" w:cs="Arial"/>
                <w:b/>
                <w:sz w:val="24"/>
                <w:szCs w:val="24"/>
              </w:rPr>
              <w:t>Localizare</w:t>
            </w:r>
          </w:p>
        </w:tc>
        <w:tc>
          <w:tcPr>
            <w:tcW w:w="1862" w:type="dxa"/>
            <w:tcBorders>
              <w:top w:val="single" w:sz="4" w:space="0" w:color="auto"/>
              <w:left w:val="single" w:sz="6" w:space="0" w:color="000000"/>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b/>
                <w:sz w:val="24"/>
                <w:szCs w:val="24"/>
              </w:rPr>
            </w:pPr>
            <w:r w:rsidRPr="005D1973">
              <w:rPr>
                <w:rFonts w:ascii="Arial" w:hAnsi="Arial" w:cs="Arial"/>
                <w:b/>
                <w:sz w:val="24"/>
                <w:szCs w:val="24"/>
              </w:rPr>
              <w:t>Administrator</w:t>
            </w:r>
          </w:p>
        </w:tc>
      </w:tr>
      <w:tr w:rsidR="00EE1961" w:rsidRPr="005D1973" w:rsidTr="002757ED">
        <w:tc>
          <w:tcPr>
            <w:tcW w:w="534" w:type="dxa"/>
            <w:tcBorders>
              <w:top w:val="single" w:sz="4" w:space="0" w:color="auto"/>
              <w:left w:val="single" w:sz="4" w:space="0" w:color="auto"/>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1</w:t>
            </w:r>
          </w:p>
        </w:tc>
        <w:tc>
          <w:tcPr>
            <w:tcW w:w="1389"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pStyle w:val="Header"/>
              <w:jc w:val="center"/>
              <w:rPr>
                <w:rFonts w:ascii="Arial" w:hAnsi="Arial" w:cs="Arial"/>
                <w:sz w:val="24"/>
                <w:szCs w:val="24"/>
              </w:rPr>
            </w:pPr>
            <w:r w:rsidRPr="005D1973">
              <w:rPr>
                <w:rFonts w:ascii="Arial" w:hAnsi="Arial" w:cs="Arial"/>
                <w:sz w:val="24"/>
                <w:szCs w:val="24"/>
              </w:rPr>
              <w:t>Balta</w:t>
            </w:r>
          </w:p>
          <w:p w:rsidR="00EE1961" w:rsidRPr="005D1973" w:rsidRDefault="00EE1961" w:rsidP="00C625DB">
            <w:pPr>
              <w:pStyle w:val="Header"/>
              <w:jc w:val="center"/>
              <w:rPr>
                <w:rFonts w:ascii="Arial" w:hAnsi="Arial" w:cs="Arial"/>
                <w:sz w:val="24"/>
                <w:szCs w:val="24"/>
              </w:rPr>
            </w:pPr>
            <w:r w:rsidRPr="005D1973">
              <w:rPr>
                <w:rFonts w:ascii="Arial" w:hAnsi="Arial" w:cs="Arial"/>
                <w:sz w:val="24"/>
                <w:szCs w:val="24"/>
              </w:rPr>
              <w:t xml:space="preserve">Mică a </w:t>
            </w:r>
            <w:r w:rsidR="007C1699">
              <w:rPr>
                <w:rFonts w:ascii="Arial" w:hAnsi="Arial" w:cs="Arial"/>
                <w:sz w:val="24"/>
                <w:szCs w:val="24"/>
              </w:rPr>
              <w:t>BR</w:t>
            </w:r>
            <w:r w:rsidRPr="005D1973">
              <w:rPr>
                <w:rFonts w:ascii="Arial" w:hAnsi="Arial" w:cs="Arial"/>
                <w:sz w:val="24"/>
                <w:szCs w:val="24"/>
              </w:rPr>
              <w:t>ăilei</w:t>
            </w:r>
          </w:p>
        </w:tc>
        <w:tc>
          <w:tcPr>
            <w:tcW w:w="1335"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Legea 5/2000</w:t>
            </w:r>
          </w:p>
          <w:p w:rsidR="00EE1961" w:rsidRPr="005D1973" w:rsidRDefault="00EE1961" w:rsidP="00C625DB">
            <w:pPr>
              <w:spacing w:after="0" w:line="240" w:lineRule="auto"/>
              <w:jc w:val="center"/>
              <w:rPr>
                <w:rFonts w:ascii="Arial" w:hAnsi="Arial" w:cs="Arial"/>
                <w:sz w:val="24"/>
                <w:szCs w:val="24"/>
              </w:rPr>
            </w:pPr>
          </w:p>
        </w:tc>
        <w:tc>
          <w:tcPr>
            <w:tcW w:w="1400"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Parc natural</w:t>
            </w:r>
          </w:p>
          <w:p w:rsidR="00EE1961" w:rsidRPr="005D1973" w:rsidRDefault="00EE1961" w:rsidP="00C625DB">
            <w:pPr>
              <w:spacing w:after="0" w:line="240" w:lineRule="auto"/>
              <w:jc w:val="center"/>
              <w:rPr>
                <w:rFonts w:ascii="Arial" w:hAnsi="Arial" w:cs="Arial"/>
                <w:sz w:val="24"/>
                <w:szCs w:val="24"/>
              </w:rPr>
            </w:pPr>
          </w:p>
          <w:p w:rsidR="00EE1961" w:rsidRPr="005D1973" w:rsidRDefault="00EE1961" w:rsidP="00C625DB">
            <w:pPr>
              <w:pStyle w:val="Header"/>
              <w:jc w:val="center"/>
              <w:rPr>
                <w:rFonts w:ascii="Arial" w:hAnsi="Arial" w:cs="Arial"/>
                <w:sz w:val="24"/>
                <w:szCs w:val="24"/>
              </w:rPr>
            </w:pPr>
          </w:p>
        </w:tc>
        <w:tc>
          <w:tcPr>
            <w:tcW w:w="997" w:type="dxa"/>
            <w:tcBorders>
              <w:top w:val="single" w:sz="4" w:space="0" w:color="auto"/>
              <w:left w:val="single" w:sz="6" w:space="0" w:color="000000"/>
              <w:bottom w:val="single" w:sz="6" w:space="0" w:color="000000"/>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24.123</w:t>
            </w:r>
          </w:p>
        </w:tc>
        <w:tc>
          <w:tcPr>
            <w:tcW w:w="2334"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lang w:val="pt-BR"/>
              </w:rPr>
              <w:t xml:space="preserve">În lunca cu regim natural de inundaţie a fluviului Dunărea, UAT </w:t>
            </w:r>
            <w:r w:rsidRPr="005D1973">
              <w:rPr>
                <w:rFonts w:ascii="Arial" w:hAnsi="Arial" w:cs="Arial"/>
                <w:sz w:val="24"/>
                <w:szCs w:val="24"/>
              </w:rPr>
              <w:t xml:space="preserve">Chiscani, Gropeni, Stăncuţa, </w:t>
            </w:r>
            <w:r w:rsidR="002757ED" w:rsidRPr="005D1973">
              <w:rPr>
                <w:rFonts w:ascii="Arial" w:hAnsi="Arial" w:cs="Arial"/>
                <w:sz w:val="24"/>
                <w:szCs w:val="24"/>
              </w:rPr>
              <w:t xml:space="preserve">Tichilești, </w:t>
            </w:r>
            <w:r w:rsidRPr="005D1973">
              <w:rPr>
                <w:rFonts w:ascii="Arial" w:hAnsi="Arial" w:cs="Arial"/>
                <w:sz w:val="24"/>
                <w:szCs w:val="24"/>
              </w:rPr>
              <w:t>Berteştii de Jos, Măraşu</w:t>
            </w:r>
          </w:p>
        </w:tc>
        <w:tc>
          <w:tcPr>
            <w:tcW w:w="1862" w:type="dxa"/>
            <w:tcBorders>
              <w:top w:val="single" w:sz="4" w:space="0" w:color="auto"/>
              <w:left w:val="single" w:sz="6" w:space="0" w:color="000000"/>
              <w:bottom w:val="single" w:sz="6" w:space="0" w:color="000000"/>
              <w:right w:val="single" w:sz="4" w:space="0" w:color="auto"/>
            </w:tcBorders>
            <w:shd w:val="clear" w:color="auto" w:fill="FDE9D9" w:themeFill="accent6" w:themeFillTint="33"/>
            <w:vAlign w:val="center"/>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RNP Romsilva prin structură de administrare special constituită</w:t>
            </w:r>
          </w:p>
          <w:p w:rsidR="00EE1961" w:rsidRPr="005D1973" w:rsidRDefault="00EE1961" w:rsidP="00C625DB">
            <w:pPr>
              <w:spacing w:after="0" w:line="240" w:lineRule="auto"/>
              <w:jc w:val="center"/>
              <w:rPr>
                <w:rFonts w:ascii="Arial" w:hAnsi="Arial" w:cs="Arial"/>
                <w:sz w:val="24"/>
                <w:szCs w:val="24"/>
              </w:rPr>
            </w:pPr>
          </w:p>
        </w:tc>
      </w:tr>
      <w:tr w:rsidR="00EE1961" w:rsidRPr="005D1973" w:rsidTr="00E71D51">
        <w:tc>
          <w:tcPr>
            <w:tcW w:w="534" w:type="dxa"/>
            <w:tcBorders>
              <w:top w:val="single" w:sz="6" w:space="0" w:color="000000"/>
              <w:left w:val="single" w:sz="4" w:space="0" w:color="auto"/>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w:t>
            </w:r>
          </w:p>
        </w:tc>
        <w:tc>
          <w:tcPr>
            <w:tcW w:w="138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Lacul</w:t>
            </w:r>
          </w:p>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Jirlău –Trup Vișani</w:t>
            </w:r>
          </w:p>
        </w:tc>
        <w:tc>
          <w:tcPr>
            <w:tcW w:w="13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Legea 5/2000</w:t>
            </w:r>
          </w:p>
        </w:tc>
        <w:tc>
          <w:tcPr>
            <w:tcW w:w="1400"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Rezervaţie naturală</w:t>
            </w:r>
          </w:p>
        </w:tc>
        <w:tc>
          <w:tcPr>
            <w:tcW w:w="997"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838,66</w:t>
            </w:r>
          </w:p>
        </w:tc>
        <w:tc>
          <w:tcPr>
            <w:tcW w:w="23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UAT Jirlău, Vişani şi Galbenu</w:t>
            </w:r>
          </w:p>
        </w:tc>
        <w:tc>
          <w:tcPr>
            <w:tcW w:w="1862"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r>
      <w:tr w:rsidR="00EE1961" w:rsidRPr="005D1973" w:rsidTr="00E71D51">
        <w:tc>
          <w:tcPr>
            <w:tcW w:w="534" w:type="dxa"/>
            <w:tcBorders>
              <w:top w:val="single" w:sz="6" w:space="0" w:color="000000"/>
              <w:left w:val="single" w:sz="4" w:space="0" w:color="auto"/>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3</w:t>
            </w:r>
          </w:p>
        </w:tc>
        <w:tc>
          <w:tcPr>
            <w:tcW w:w="1389"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Pădurea Camniţa</w:t>
            </w:r>
          </w:p>
        </w:tc>
        <w:tc>
          <w:tcPr>
            <w:tcW w:w="13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Legea 5/2000</w:t>
            </w:r>
          </w:p>
        </w:tc>
        <w:tc>
          <w:tcPr>
            <w:tcW w:w="1400"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Rezervaţie naturală</w:t>
            </w:r>
          </w:p>
        </w:tc>
        <w:tc>
          <w:tcPr>
            <w:tcW w:w="997"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1,2</w:t>
            </w:r>
          </w:p>
        </w:tc>
        <w:tc>
          <w:tcPr>
            <w:tcW w:w="23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UAT Râmnicelu</w:t>
            </w:r>
          </w:p>
        </w:tc>
        <w:tc>
          <w:tcPr>
            <w:tcW w:w="1862"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w:t>
            </w:r>
          </w:p>
        </w:tc>
      </w:tr>
    </w:tbl>
    <w:p w:rsidR="00EE1961" w:rsidRPr="005D1973" w:rsidRDefault="00EE1961" w:rsidP="00C625DB">
      <w:pPr>
        <w:pStyle w:val="Footer"/>
        <w:jc w:val="both"/>
        <w:rPr>
          <w:rFonts w:ascii="Arial" w:hAnsi="Arial" w:cs="Arial"/>
          <w:b/>
          <w:sz w:val="24"/>
          <w:szCs w:val="24"/>
          <w:u w:val="single"/>
        </w:rPr>
      </w:pPr>
    </w:p>
    <w:p w:rsidR="00EE1961" w:rsidRPr="005D1973" w:rsidRDefault="00EE1961" w:rsidP="00C625DB">
      <w:pPr>
        <w:pStyle w:val="Footer"/>
        <w:jc w:val="both"/>
        <w:rPr>
          <w:rFonts w:ascii="Arial" w:hAnsi="Arial" w:cs="Arial"/>
          <w:b/>
          <w:sz w:val="24"/>
          <w:szCs w:val="24"/>
          <w:u w:val="single"/>
        </w:rPr>
      </w:pPr>
      <w:r w:rsidRPr="005D1973">
        <w:rPr>
          <w:rFonts w:ascii="Arial" w:hAnsi="Arial" w:cs="Arial"/>
          <w:b/>
          <w:sz w:val="24"/>
          <w:szCs w:val="24"/>
          <w:u w:val="single"/>
        </w:rPr>
        <w:t xml:space="preserve">Parcul Natural Balta Mică a </w:t>
      </w:r>
      <w:r w:rsidR="007C1699">
        <w:rPr>
          <w:rFonts w:ascii="Arial" w:hAnsi="Arial" w:cs="Arial"/>
          <w:b/>
          <w:sz w:val="24"/>
          <w:szCs w:val="24"/>
          <w:u w:val="single"/>
        </w:rPr>
        <w:t>BR</w:t>
      </w:r>
      <w:r w:rsidRPr="005D1973">
        <w:rPr>
          <w:rFonts w:ascii="Arial" w:hAnsi="Arial" w:cs="Arial"/>
          <w:b/>
          <w:sz w:val="24"/>
          <w:szCs w:val="24"/>
          <w:u w:val="single"/>
        </w:rPr>
        <w:t>ăilei</w:t>
      </w:r>
    </w:p>
    <w:p w:rsidR="00EE1961" w:rsidRPr="005D1973" w:rsidRDefault="00EE1961" w:rsidP="00C625DB">
      <w:pPr>
        <w:pStyle w:val="BodyTextIndent2"/>
        <w:tabs>
          <w:tab w:val="left" w:pos="180"/>
        </w:tabs>
        <w:spacing w:after="0" w:line="240" w:lineRule="auto"/>
        <w:ind w:left="0"/>
        <w:jc w:val="both"/>
        <w:rPr>
          <w:rFonts w:ascii="Arial" w:hAnsi="Arial" w:cs="Arial"/>
          <w:i/>
          <w:u w:val="single"/>
          <w:lang w:val="pt-BR"/>
        </w:rPr>
      </w:pPr>
      <w:r w:rsidRPr="005D1973">
        <w:rPr>
          <w:rFonts w:ascii="Arial" w:hAnsi="Arial" w:cs="Arial"/>
          <w:i/>
          <w:u w:val="single"/>
          <w:lang w:val="pt-BR"/>
        </w:rPr>
        <w:t>Amplasament</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 xml:space="preserve">Parcul Natural Balta Mică a </w:t>
      </w:r>
      <w:r w:rsidR="007C1699">
        <w:rPr>
          <w:rFonts w:ascii="Arial" w:hAnsi="Arial" w:cs="Arial"/>
          <w:sz w:val="24"/>
          <w:szCs w:val="24"/>
          <w:lang w:val="pt-BR"/>
        </w:rPr>
        <w:t>BR</w:t>
      </w:r>
      <w:r w:rsidRPr="005D1973">
        <w:rPr>
          <w:rFonts w:ascii="Arial" w:hAnsi="Arial" w:cs="Arial"/>
          <w:sz w:val="24"/>
          <w:szCs w:val="24"/>
          <w:lang w:val="pt-BR"/>
        </w:rPr>
        <w:t xml:space="preserve">ăilei este situat în lunca cu regim natural de inundaţie a fluviului Dunărea, între Vadu Oii şi municipiul </w:t>
      </w:r>
      <w:r w:rsidR="00217620">
        <w:rPr>
          <w:rFonts w:ascii="Arial" w:hAnsi="Arial" w:cs="Arial"/>
          <w:sz w:val="24"/>
          <w:szCs w:val="24"/>
          <w:lang w:val="pt-BR"/>
        </w:rPr>
        <w:t>Brăila</w:t>
      </w:r>
      <w:r w:rsidRPr="005D1973">
        <w:rPr>
          <w:rFonts w:ascii="Arial" w:hAnsi="Arial" w:cs="Arial"/>
          <w:sz w:val="24"/>
          <w:szCs w:val="24"/>
          <w:lang w:val="pt-BR"/>
        </w:rPr>
        <w:t xml:space="preserve">, fiind delimitat de </w:t>
      </w:r>
      <w:r w:rsidRPr="005D1973">
        <w:rPr>
          <w:rStyle w:val="tpa1"/>
          <w:rFonts w:ascii="Arial" w:hAnsi="Arial" w:cs="Arial"/>
          <w:sz w:val="24"/>
          <w:szCs w:val="24"/>
          <w:lang w:val="pt-BR"/>
        </w:rPr>
        <w:t xml:space="preserve">fluviul şi </w:t>
      </w:r>
      <w:r w:rsidR="007C1699">
        <w:rPr>
          <w:rStyle w:val="tpa1"/>
          <w:rFonts w:ascii="Arial" w:hAnsi="Arial" w:cs="Arial"/>
          <w:sz w:val="24"/>
          <w:szCs w:val="24"/>
          <w:lang w:val="pt-BR"/>
        </w:rPr>
        <w:t>BR</w:t>
      </w:r>
      <w:r w:rsidRPr="005D1973">
        <w:rPr>
          <w:rStyle w:val="tpa1"/>
          <w:rFonts w:ascii="Arial" w:hAnsi="Arial" w:cs="Arial"/>
          <w:sz w:val="24"/>
          <w:szCs w:val="24"/>
          <w:lang w:val="pt-BR"/>
        </w:rPr>
        <w:t xml:space="preserve">aţele Dunării la cotele maxime de inundaţie. </w:t>
      </w:r>
      <w:r w:rsidRPr="005D1973">
        <w:rPr>
          <w:rFonts w:ascii="Arial" w:hAnsi="Arial" w:cs="Arial"/>
          <w:sz w:val="24"/>
          <w:szCs w:val="24"/>
          <w:lang w:val="pt-BR"/>
        </w:rPr>
        <w:t xml:space="preserve">Parcul  integrează toate cele 10 ostroave (insule) situate între </w:t>
      </w:r>
      <w:r w:rsidR="007C1699">
        <w:rPr>
          <w:rFonts w:ascii="Arial" w:hAnsi="Arial" w:cs="Arial"/>
          <w:sz w:val="24"/>
          <w:szCs w:val="24"/>
          <w:lang w:val="pt-BR"/>
        </w:rPr>
        <w:t>BR</w:t>
      </w:r>
      <w:r w:rsidRPr="005D1973">
        <w:rPr>
          <w:rFonts w:ascii="Arial" w:hAnsi="Arial" w:cs="Arial"/>
          <w:sz w:val="24"/>
          <w:szCs w:val="24"/>
          <w:lang w:val="pt-BR"/>
        </w:rPr>
        <w:t xml:space="preserve">aţele Dunării: O. Vărsătura, O. Popa, O. Crăcănel (Chiciul), O.Orbul, O. Calia (Lupului), O. Fundu Mare, O. Arapu, precum şi </w:t>
      </w:r>
      <w:r w:rsidR="00DC03E4">
        <w:rPr>
          <w:rFonts w:ascii="Arial" w:hAnsi="Arial" w:cs="Arial"/>
          <w:sz w:val="24"/>
          <w:szCs w:val="24"/>
          <w:lang w:val="pt-BR"/>
        </w:rPr>
        <w:t>br</w:t>
      </w:r>
      <w:r w:rsidRPr="005D1973">
        <w:rPr>
          <w:rFonts w:ascii="Arial" w:hAnsi="Arial" w:cs="Arial"/>
          <w:sz w:val="24"/>
          <w:szCs w:val="24"/>
          <w:lang w:val="pt-BR"/>
        </w:rPr>
        <w:t>aţele adiacente ale Dunării.Se poate spune că este o deltă interioară pe traseul inferior al Dunării de Jos.</w:t>
      </w:r>
    </w:p>
    <w:p w:rsidR="00EE1961" w:rsidRPr="005D1973" w:rsidRDefault="00EE1961" w:rsidP="00C625DB">
      <w:pPr>
        <w:spacing w:after="0" w:line="240" w:lineRule="auto"/>
        <w:jc w:val="both"/>
        <w:rPr>
          <w:rFonts w:ascii="Arial" w:hAnsi="Arial" w:cs="Arial"/>
          <w:i/>
          <w:vanish/>
          <w:sz w:val="24"/>
          <w:szCs w:val="24"/>
          <w:u w:val="single"/>
          <w:lang w:val="pt-BR"/>
        </w:rPr>
      </w:pPr>
      <w:r w:rsidRPr="005D1973">
        <w:rPr>
          <w:rFonts w:ascii="Arial" w:hAnsi="Arial" w:cs="Arial"/>
          <w:i/>
          <w:sz w:val="24"/>
          <w:szCs w:val="24"/>
          <w:u w:val="single"/>
          <w:lang w:val="pt-BR"/>
        </w:rPr>
        <w:t>Suprafaţa</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 xml:space="preserve">În Legea nr. 5/2000, această arie naturală protejată este menţionată cu o suprafaţă de </w:t>
      </w:r>
      <w:smartTag w:uri="urn:schemas-microsoft-com:office:smarttags" w:element="metricconverter">
        <w:smartTagPr>
          <w:attr w:name="ProductID" w:val="17529 ha"/>
        </w:smartTagPr>
        <w:r w:rsidRPr="005D1973">
          <w:rPr>
            <w:rFonts w:ascii="Arial" w:hAnsi="Arial" w:cs="Arial"/>
            <w:sz w:val="24"/>
            <w:szCs w:val="24"/>
            <w:lang w:val="pt-BR"/>
          </w:rPr>
          <w:t>17529 ha</w:t>
        </w:r>
      </w:smartTag>
      <w:r w:rsidRPr="005D1973">
        <w:rPr>
          <w:rFonts w:ascii="Arial" w:hAnsi="Arial" w:cs="Arial"/>
          <w:sz w:val="24"/>
          <w:szCs w:val="24"/>
          <w:lang w:val="pt-BR"/>
        </w:rPr>
        <w:t xml:space="preserve">. Având în vedere prevederile HG nr. 230/2003 </w:t>
      </w:r>
      <w:r w:rsidRPr="005D1973">
        <w:rPr>
          <w:rFonts w:ascii="Arial" w:hAnsi="Arial" w:cs="Arial"/>
          <w:bCs/>
          <w:sz w:val="24"/>
          <w:szCs w:val="24"/>
        </w:rPr>
        <w:t>privind delimitarea rezervaţiilor biosferei, parcurilor naţionale şi parcurilor naturale şi constituirea administraţiilor acestora, conform căreia</w:t>
      </w:r>
      <w:r w:rsidRPr="005D1973">
        <w:rPr>
          <w:rFonts w:ascii="Arial" w:hAnsi="Arial" w:cs="Arial"/>
          <w:sz w:val="24"/>
          <w:szCs w:val="24"/>
          <w:lang w:val="pt-BR"/>
        </w:rPr>
        <w:t xml:space="preserve"> limita „</w:t>
      </w:r>
      <w:r w:rsidRPr="005D1973">
        <w:rPr>
          <w:rFonts w:ascii="Arial" w:hAnsi="Arial" w:cs="Arial"/>
          <w:sz w:val="24"/>
          <w:szCs w:val="24"/>
        </w:rPr>
        <w:t xml:space="preserve">este reprezentată de fluviul şi </w:t>
      </w:r>
      <w:r w:rsidR="007C1699">
        <w:rPr>
          <w:rFonts w:ascii="Arial" w:hAnsi="Arial" w:cs="Arial"/>
          <w:sz w:val="24"/>
          <w:szCs w:val="24"/>
        </w:rPr>
        <w:t>BR</w:t>
      </w:r>
      <w:r w:rsidRPr="005D1973">
        <w:rPr>
          <w:rFonts w:ascii="Arial" w:hAnsi="Arial" w:cs="Arial"/>
          <w:sz w:val="24"/>
          <w:szCs w:val="24"/>
        </w:rPr>
        <w:t xml:space="preserve">aţele Dunării la cotele maxime de inundaţie între podul de la Giurgeni - Vadul Oii şi până la sud de </w:t>
      </w:r>
      <w:r w:rsidR="00217620">
        <w:rPr>
          <w:rFonts w:ascii="Arial" w:hAnsi="Arial" w:cs="Arial"/>
          <w:sz w:val="24"/>
          <w:szCs w:val="24"/>
        </w:rPr>
        <w:t>Brăila</w:t>
      </w:r>
      <w:r w:rsidRPr="005D1973">
        <w:rPr>
          <w:rFonts w:ascii="Arial" w:hAnsi="Arial" w:cs="Arial"/>
          <w:sz w:val="24"/>
          <w:szCs w:val="24"/>
        </w:rPr>
        <w:t xml:space="preserve">”, </w:t>
      </w:r>
      <w:r w:rsidRPr="005D1973">
        <w:rPr>
          <w:rFonts w:ascii="Arial" w:hAnsi="Arial" w:cs="Arial"/>
          <w:sz w:val="24"/>
          <w:szCs w:val="24"/>
          <w:lang w:val="pt-BR"/>
        </w:rPr>
        <w:t xml:space="preserve">Oficiul de Cadastru şi Publicitate Imobiliară </w:t>
      </w:r>
      <w:r w:rsidR="00217620">
        <w:rPr>
          <w:rFonts w:ascii="Arial" w:hAnsi="Arial" w:cs="Arial"/>
          <w:sz w:val="24"/>
          <w:szCs w:val="24"/>
          <w:lang w:val="pt-BR"/>
        </w:rPr>
        <w:t>Brăila</w:t>
      </w:r>
      <w:r w:rsidRPr="005D1973">
        <w:rPr>
          <w:rFonts w:ascii="Arial" w:hAnsi="Arial" w:cs="Arial"/>
          <w:sz w:val="24"/>
          <w:szCs w:val="24"/>
        </w:rPr>
        <w:t xml:space="preserve"> a</w:t>
      </w:r>
      <w:r w:rsidRPr="005D1973">
        <w:rPr>
          <w:rFonts w:ascii="Arial" w:hAnsi="Arial" w:cs="Arial"/>
          <w:sz w:val="24"/>
          <w:szCs w:val="24"/>
          <w:lang w:val="pt-BR"/>
        </w:rPr>
        <w:t xml:space="preserve"> reevaluat suprafaţa la </w:t>
      </w:r>
      <w:smartTag w:uri="urn:schemas-microsoft-com:office:smarttags" w:element="metricconverter">
        <w:smartTagPr>
          <w:attr w:name="ProductID" w:val="24.123 ha"/>
        </w:smartTagPr>
        <w:r w:rsidRPr="005D1973">
          <w:rPr>
            <w:rFonts w:ascii="Arial" w:hAnsi="Arial" w:cs="Arial"/>
            <w:sz w:val="24"/>
            <w:szCs w:val="24"/>
            <w:lang w:val="pt-BR"/>
          </w:rPr>
          <w:t>24.123 ha</w:t>
        </w:r>
      </w:smartTag>
      <w:r w:rsidRPr="005D1973">
        <w:rPr>
          <w:rFonts w:ascii="Arial" w:hAnsi="Arial" w:cs="Arial"/>
          <w:sz w:val="24"/>
          <w:szCs w:val="24"/>
          <w:lang w:val="pt-BR"/>
        </w:rPr>
        <w:t>.</w:t>
      </w:r>
    </w:p>
    <w:p w:rsidR="00EE1961" w:rsidRPr="005D1973" w:rsidRDefault="00EE1961" w:rsidP="00C625DB">
      <w:pPr>
        <w:tabs>
          <w:tab w:val="left" w:pos="180"/>
        </w:tabs>
        <w:spacing w:after="0" w:line="240" w:lineRule="auto"/>
        <w:jc w:val="both"/>
        <w:rPr>
          <w:rFonts w:ascii="Arial" w:hAnsi="Arial" w:cs="Arial"/>
          <w:i/>
          <w:sz w:val="24"/>
          <w:szCs w:val="24"/>
          <w:u w:val="single"/>
          <w:lang w:val="pt-BR"/>
        </w:rPr>
      </w:pPr>
      <w:r w:rsidRPr="005D1973">
        <w:rPr>
          <w:rFonts w:ascii="Arial" w:hAnsi="Arial" w:cs="Arial"/>
          <w:i/>
          <w:sz w:val="24"/>
          <w:szCs w:val="24"/>
          <w:u w:val="single"/>
          <w:lang w:val="pt-BR"/>
        </w:rPr>
        <w:t>Valori naturale protejate</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lastRenderedPageBreak/>
        <w:t xml:space="preserve">În ciuda modificărilor survenite atât în structura sistemelor ecologice integratoare cât şi la nivelul ei, Balta Mică a </w:t>
      </w:r>
      <w:r w:rsidR="00DC03E4">
        <w:rPr>
          <w:rFonts w:ascii="Arial" w:hAnsi="Arial" w:cs="Arial"/>
          <w:sz w:val="24"/>
          <w:szCs w:val="24"/>
          <w:lang w:val="pt-BR"/>
        </w:rPr>
        <w:t>Br</w:t>
      </w:r>
      <w:r w:rsidRPr="005D1973">
        <w:rPr>
          <w:rFonts w:ascii="Arial" w:hAnsi="Arial" w:cs="Arial"/>
          <w:sz w:val="24"/>
          <w:szCs w:val="24"/>
          <w:lang w:val="pt-BR"/>
        </w:rPr>
        <w:t xml:space="preserve">ăilei conservă importante valori ecologice, fiind o importantă componentă a Sistemului Dunării Inferioare, situată în amonte de Rezervaţia Biosferei Delta Dunării. Este singura zonă rămasă în regim hidrologic natural (zonă inundabilă), după îndiguirea, în proporţie de cca. 75%, a fostei Bălţi a </w:t>
      </w:r>
      <w:r w:rsidR="007C1699">
        <w:rPr>
          <w:rFonts w:ascii="Arial" w:hAnsi="Arial" w:cs="Arial"/>
          <w:sz w:val="24"/>
          <w:szCs w:val="24"/>
          <w:lang w:val="pt-BR"/>
        </w:rPr>
        <w:t>BR</w:t>
      </w:r>
      <w:r w:rsidRPr="005D1973">
        <w:rPr>
          <w:rFonts w:ascii="Arial" w:hAnsi="Arial" w:cs="Arial"/>
          <w:sz w:val="24"/>
          <w:szCs w:val="24"/>
          <w:lang w:val="pt-BR"/>
        </w:rPr>
        <w:t xml:space="preserve">ăilei şi crearea incintei agricole Insula Mare a </w:t>
      </w:r>
      <w:r w:rsidR="007C1699">
        <w:rPr>
          <w:rFonts w:ascii="Arial" w:hAnsi="Arial" w:cs="Arial"/>
          <w:sz w:val="24"/>
          <w:szCs w:val="24"/>
          <w:lang w:val="pt-BR"/>
        </w:rPr>
        <w:t>BR</w:t>
      </w:r>
      <w:r w:rsidRPr="005D1973">
        <w:rPr>
          <w:rFonts w:ascii="Arial" w:hAnsi="Arial" w:cs="Arial"/>
          <w:sz w:val="24"/>
          <w:szCs w:val="24"/>
          <w:lang w:val="pt-BR"/>
        </w:rPr>
        <w:t>ăilei.</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 xml:space="preserve">Datorită atributelor sale – zonă umedă în regim hidrologic natural, complex de ecosisteme în diferite stadii succesionale şi zonă tampon, Balta Mică a </w:t>
      </w:r>
      <w:r w:rsidR="007C1699">
        <w:rPr>
          <w:rFonts w:ascii="Arial" w:hAnsi="Arial" w:cs="Arial"/>
          <w:sz w:val="24"/>
          <w:szCs w:val="24"/>
          <w:lang w:val="pt-BR"/>
        </w:rPr>
        <w:t>BR</w:t>
      </w:r>
      <w:r w:rsidRPr="005D1973">
        <w:rPr>
          <w:rFonts w:ascii="Arial" w:hAnsi="Arial" w:cs="Arial"/>
          <w:sz w:val="24"/>
          <w:szCs w:val="24"/>
          <w:lang w:val="pt-BR"/>
        </w:rPr>
        <w:t>ăilei reprezintă un sistem de referinţă al fostei delte interioare şi baza pentru reconstrucţia ecologică în Sistemul Dunării Inferioare.</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 xml:space="preserve">Din suprafaţa totală, cca 56,5% o ocupă pădurile aluviale, 0,3% păşunile inundabile şi 43% zonele umede (25% </w:t>
      </w:r>
      <w:r w:rsidR="007C1699">
        <w:rPr>
          <w:rFonts w:ascii="Arial" w:hAnsi="Arial" w:cs="Arial"/>
          <w:sz w:val="24"/>
          <w:szCs w:val="24"/>
          <w:lang w:val="pt-BR"/>
        </w:rPr>
        <w:t>BR</w:t>
      </w:r>
      <w:r w:rsidRPr="005D1973">
        <w:rPr>
          <w:rFonts w:ascii="Arial" w:hAnsi="Arial" w:cs="Arial"/>
          <w:sz w:val="24"/>
          <w:szCs w:val="24"/>
          <w:lang w:val="pt-BR"/>
        </w:rPr>
        <w:t xml:space="preserve">aţele Dunării, 13,1% lacuri permanente şi 4,9% mlaştini). Habitatele terestre sunt reprezentate prin păduri, pajişti şi tufărişuri. Pădurile pot fi cultivate cu plop euroamerican sau sunt păduri de sălcii sau de amestec cu plop alb, plop negru şi salcie. Pajiştile sunt instalate pe şesurile depresionare mai înalte (pajişti de stepă) sau în apropierea pădurilor de amestec (pajişti de luncă). Tufărişurile sunt destul de slab reprezentate, în structura pajiştilor sau izolate pe suprafeţe restrânse în zona malurilor nisipoase. </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Habitatele acvatice sunt reprezentate prin privaluri (canale naturale ce fac legătura dintre Dunăre şi bălţi), lacuri permanente şi bălţi temporare, mlaştini (care fac trecerea între bălţi şi ecosistemele terestre) şi zone mlăştinoase (la limita dintre uscat şi apă).</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 xml:space="preserve">Jumătate din ecosistemele identificate – bălţi şi păduri specifice de luncă inundabilă- sunt naturale, această zonă conservând în cea mai mare parte structura şi funcţiile vechii Bălţi a </w:t>
      </w:r>
      <w:r w:rsidR="007C1699">
        <w:rPr>
          <w:rFonts w:ascii="Arial" w:hAnsi="Arial" w:cs="Arial"/>
          <w:sz w:val="24"/>
          <w:szCs w:val="24"/>
          <w:lang w:val="pt-BR"/>
        </w:rPr>
        <w:t>BR</w:t>
      </w:r>
      <w:r w:rsidRPr="005D1973">
        <w:rPr>
          <w:rFonts w:ascii="Arial" w:hAnsi="Arial" w:cs="Arial"/>
          <w:sz w:val="24"/>
          <w:szCs w:val="24"/>
          <w:lang w:val="pt-BR"/>
        </w:rPr>
        <w:t>ăilei din anii ’50. Acestea sunt totodată habitate naturale de interes comunitar faţă de care s-au stabilit priorităţi de conservare.</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 xml:space="preserve">Balta Mică a </w:t>
      </w:r>
      <w:r w:rsidR="007C1699">
        <w:rPr>
          <w:rFonts w:ascii="Arial" w:hAnsi="Arial" w:cs="Arial"/>
          <w:sz w:val="24"/>
          <w:szCs w:val="24"/>
          <w:lang w:val="pt-BR"/>
        </w:rPr>
        <w:t>BR</w:t>
      </w:r>
      <w:r w:rsidRPr="005D1973">
        <w:rPr>
          <w:rFonts w:ascii="Arial" w:hAnsi="Arial" w:cs="Arial"/>
          <w:sz w:val="24"/>
          <w:szCs w:val="24"/>
          <w:lang w:val="pt-BR"/>
        </w:rPr>
        <w:t xml:space="preserve">ăilei este bine cunoscută pentru importanţa ei ornitologică, deoarece se situează pe cel mai important culoar de migraţie al păsărilor din bazinul inferior al Dunării de Jos, la jumătatea rutelor de migraţie între locurile de cuibărit din nordul Europei şi refugiile de iernat din Africa. Au fost inventariate 207 specii de păsări, acestea reprezentând jumătate din speciile de păsări caracteristice României. Dintre speciile observate, 61 sunt conservate la nivel european. </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 xml:space="preserve">Pentru că o mare parte dintre acestea sunt păsări acvatice, în anul 2001 Balta Mică a </w:t>
      </w:r>
      <w:r w:rsidR="007C1699">
        <w:rPr>
          <w:rFonts w:ascii="Arial" w:hAnsi="Arial" w:cs="Arial"/>
          <w:sz w:val="24"/>
          <w:szCs w:val="24"/>
          <w:lang w:val="pt-BR"/>
        </w:rPr>
        <w:t>BR</w:t>
      </w:r>
      <w:r w:rsidRPr="005D1973">
        <w:rPr>
          <w:rFonts w:ascii="Arial" w:hAnsi="Arial" w:cs="Arial"/>
          <w:sz w:val="24"/>
          <w:szCs w:val="24"/>
          <w:lang w:val="pt-BR"/>
        </w:rPr>
        <w:t>ăilei a fost declarată sit RAMSAR (poziţia 1074 pe lista Ramsar), al doilea după Delta Dunării, conform Convenţiei Ramsar prin care se protejează zonele umede de importanţă internaţională ca habitat al păsărilor acvatice, convenţie la care România este parte semnatară.</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 xml:space="preserve">Din anul 2007 Parcul Natural Balta Mică a </w:t>
      </w:r>
      <w:r w:rsidR="007C1699">
        <w:rPr>
          <w:rFonts w:ascii="Arial" w:hAnsi="Arial" w:cs="Arial"/>
          <w:sz w:val="24"/>
          <w:szCs w:val="24"/>
          <w:lang w:val="pt-BR"/>
        </w:rPr>
        <w:t>BR</w:t>
      </w:r>
      <w:r w:rsidRPr="005D1973">
        <w:rPr>
          <w:rFonts w:ascii="Arial" w:hAnsi="Arial" w:cs="Arial"/>
          <w:sz w:val="24"/>
          <w:szCs w:val="24"/>
          <w:lang w:val="pt-BR"/>
        </w:rPr>
        <w:t xml:space="preserve">ăilei a fost inclus în Rețeaua europeană de arii naturale protejate Natura 2000 fiind declarată atât ca arie de protecţie specială avifaunistică (cod </w:t>
      </w:r>
      <w:r w:rsidRPr="005D1973">
        <w:rPr>
          <w:rFonts w:ascii="Arial" w:hAnsi="Arial" w:cs="Arial"/>
          <w:sz w:val="24"/>
          <w:szCs w:val="24"/>
          <w:lang w:val="it-IT"/>
        </w:rPr>
        <w:t xml:space="preserve">ROSPA0005), </w:t>
      </w:r>
      <w:r w:rsidRPr="005D1973">
        <w:rPr>
          <w:rFonts w:ascii="Arial" w:hAnsi="Arial" w:cs="Arial"/>
          <w:sz w:val="24"/>
          <w:szCs w:val="24"/>
          <w:lang w:val="pt-BR"/>
        </w:rPr>
        <w:t xml:space="preserve">cu o suprafaţă totală extinsă în anul 2011 la </w:t>
      </w:r>
      <w:smartTag w:uri="urn:schemas-microsoft-com:office:smarttags" w:element="metricconverter">
        <w:smartTagPr>
          <w:attr w:name="ProductID" w:val="25856 ha"/>
        </w:smartTagPr>
        <w:r w:rsidRPr="005D1973">
          <w:rPr>
            <w:rFonts w:ascii="Arial" w:hAnsi="Arial" w:cs="Arial"/>
            <w:sz w:val="24"/>
            <w:szCs w:val="24"/>
            <w:lang w:val="pt-BR"/>
          </w:rPr>
          <w:t>25856 ha</w:t>
        </w:r>
      </w:smartTag>
      <w:r w:rsidRPr="005D1973">
        <w:rPr>
          <w:rFonts w:ascii="Arial" w:hAnsi="Arial" w:cs="Arial"/>
          <w:sz w:val="24"/>
          <w:szCs w:val="24"/>
          <w:lang w:val="pt-BR"/>
        </w:rPr>
        <w:t xml:space="preserve">, din care 24821 în judeţul </w:t>
      </w:r>
      <w:r w:rsidR="00217620">
        <w:rPr>
          <w:rFonts w:ascii="Arial" w:hAnsi="Arial" w:cs="Arial"/>
          <w:sz w:val="24"/>
          <w:szCs w:val="24"/>
          <w:lang w:val="pt-BR"/>
        </w:rPr>
        <w:t>Brăila</w:t>
      </w:r>
      <w:r w:rsidRPr="005D1973">
        <w:rPr>
          <w:rFonts w:ascii="Arial" w:hAnsi="Arial" w:cs="Arial"/>
          <w:sz w:val="24"/>
          <w:szCs w:val="24"/>
          <w:lang w:val="pt-BR"/>
        </w:rPr>
        <w:t xml:space="preserve">, cât şi ca sit de importanţă comunitară (cod </w:t>
      </w:r>
      <w:r w:rsidRPr="005D1973">
        <w:rPr>
          <w:rFonts w:ascii="Arial" w:hAnsi="Arial" w:cs="Arial"/>
          <w:sz w:val="24"/>
          <w:szCs w:val="24"/>
          <w:lang w:val="it-IT"/>
        </w:rPr>
        <w:t>ROSCI0006)</w:t>
      </w:r>
      <w:r w:rsidRPr="005D1973">
        <w:rPr>
          <w:rFonts w:ascii="Arial" w:hAnsi="Arial" w:cs="Arial"/>
          <w:sz w:val="24"/>
          <w:szCs w:val="24"/>
          <w:lang w:val="pt-BR"/>
        </w:rPr>
        <w:t xml:space="preserve">, cu o suprafaţă de 20872 ha (integral în judeţul </w:t>
      </w:r>
      <w:r w:rsidR="00217620">
        <w:rPr>
          <w:rFonts w:ascii="Arial" w:hAnsi="Arial" w:cs="Arial"/>
          <w:sz w:val="24"/>
          <w:szCs w:val="24"/>
          <w:lang w:val="pt-BR"/>
        </w:rPr>
        <w:t>Brăila</w:t>
      </w:r>
      <w:r w:rsidRPr="005D1973">
        <w:rPr>
          <w:rFonts w:ascii="Arial" w:hAnsi="Arial" w:cs="Arial"/>
          <w:sz w:val="24"/>
          <w:szCs w:val="24"/>
          <w:lang w:val="pt-BR"/>
        </w:rPr>
        <w:t xml:space="preserve">), ambele cu denumirea Balta Mică a </w:t>
      </w:r>
      <w:r w:rsidR="007C1699">
        <w:rPr>
          <w:rFonts w:ascii="Arial" w:hAnsi="Arial" w:cs="Arial"/>
          <w:sz w:val="24"/>
          <w:szCs w:val="24"/>
          <w:lang w:val="pt-BR"/>
        </w:rPr>
        <w:t>BR</w:t>
      </w:r>
      <w:r w:rsidRPr="005D1973">
        <w:rPr>
          <w:rFonts w:ascii="Arial" w:hAnsi="Arial" w:cs="Arial"/>
          <w:sz w:val="24"/>
          <w:szCs w:val="24"/>
          <w:lang w:val="pt-BR"/>
        </w:rPr>
        <w:t>ăilei.</w:t>
      </w:r>
    </w:p>
    <w:p w:rsidR="00EE1961" w:rsidRPr="005D1973" w:rsidRDefault="00EE1961" w:rsidP="00C625DB">
      <w:pPr>
        <w:autoSpaceDE w:val="0"/>
        <w:autoSpaceDN w:val="0"/>
        <w:adjustRightInd w:val="0"/>
        <w:spacing w:after="0" w:line="240" w:lineRule="auto"/>
        <w:jc w:val="both"/>
        <w:rPr>
          <w:rFonts w:ascii="Arial" w:hAnsi="Arial" w:cs="Arial"/>
          <w:sz w:val="24"/>
          <w:szCs w:val="24"/>
          <w:lang w:val="pt-BR"/>
        </w:rPr>
      </w:pPr>
      <w:r w:rsidRPr="005D1973">
        <w:rPr>
          <w:rFonts w:ascii="Arial" w:hAnsi="Arial" w:cs="Arial"/>
          <w:sz w:val="24"/>
          <w:szCs w:val="24"/>
          <w:lang w:val="pt-BR"/>
        </w:rPr>
        <w:t xml:space="preserve">Zonarea funcţională, detaliată în planul de management aprobat prin HG nr. 538/2011, împarte suprafaţa parcului natural în cele 4 categorii de zone definite prin </w:t>
      </w:r>
      <w:r w:rsidRPr="005D1973">
        <w:rPr>
          <w:rFonts w:ascii="Arial" w:hAnsi="Arial" w:cs="Arial"/>
          <w:bCs/>
          <w:sz w:val="24"/>
          <w:szCs w:val="24"/>
        </w:rPr>
        <w:t>OUG nr. 57/2007 privind regimul ariilor naturale protejate, conservarea habitatelor naturale, a florei şi faunei sălbatice, aprobată cu modificări şi completări prin Legea nr. 49/2011</w:t>
      </w:r>
      <w:r w:rsidRPr="005D1973">
        <w:rPr>
          <w:rFonts w:ascii="Arial" w:hAnsi="Arial" w:cs="Arial"/>
          <w:sz w:val="24"/>
          <w:szCs w:val="24"/>
        </w:rPr>
        <w:t xml:space="preserve"> cu completările ulterioare</w:t>
      </w:r>
      <w:r w:rsidRPr="005D1973">
        <w:rPr>
          <w:rFonts w:ascii="Arial" w:hAnsi="Arial" w:cs="Arial"/>
          <w:bCs/>
          <w:sz w:val="24"/>
          <w:szCs w:val="24"/>
        </w:rPr>
        <w:t>: zone cu protecţie strictă, de protecţie integrală, de management durabil şi de dezvoltare durabilă a activităţilor umane</w:t>
      </w:r>
      <w:r w:rsidRPr="005D1973">
        <w:rPr>
          <w:rFonts w:ascii="Arial" w:hAnsi="Arial" w:cs="Arial"/>
          <w:sz w:val="24"/>
          <w:szCs w:val="24"/>
          <w:lang w:val="pt-BR"/>
        </w:rPr>
        <w:t xml:space="preserve">. Cea mai mare suprafaţă este ocupată de cele 8 zone </w:t>
      </w:r>
      <w:r w:rsidRPr="005D1973">
        <w:rPr>
          <w:rFonts w:ascii="Arial" w:hAnsi="Arial" w:cs="Arial"/>
          <w:bCs/>
          <w:sz w:val="24"/>
          <w:szCs w:val="24"/>
        </w:rPr>
        <w:t xml:space="preserve">de management durabil (zone tampon), însumând </w:t>
      </w:r>
      <w:smartTag w:uri="urn:schemas-microsoft-com:office:smarttags" w:element="metricconverter">
        <w:smartTagPr>
          <w:attr w:name="ProductID" w:val="9027,8 ha"/>
        </w:smartTagPr>
        <w:r w:rsidRPr="005D1973">
          <w:rPr>
            <w:rFonts w:ascii="Arial" w:hAnsi="Arial" w:cs="Arial"/>
            <w:bCs/>
            <w:sz w:val="24"/>
            <w:szCs w:val="24"/>
          </w:rPr>
          <w:t>9027,8 ha</w:t>
        </w:r>
      </w:smartTag>
      <w:r w:rsidRPr="005D1973">
        <w:rPr>
          <w:rFonts w:ascii="Arial" w:hAnsi="Arial" w:cs="Arial"/>
          <w:bCs/>
          <w:sz w:val="24"/>
          <w:szCs w:val="24"/>
        </w:rPr>
        <w:t xml:space="preserve">, care cuprind toate păşunile din arie şi terenuri forestiere pe </w:t>
      </w:r>
      <w:smartTag w:uri="urn:schemas-microsoft-com:office:smarttags" w:element="metricconverter">
        <w:smartTagPr>
          <w:attr w:name="ProductID" w:val="7.289,9 ha"/>
        </w:smartTagPr>
        <w:r w:rsidRPr="005D1973">
          <w:rPr>
            <w:rFonts w:ascii="Arial" w:hAnsi="Arial" w:cs="Arial"/>
            <w:sz w:val="24"/>
            <w:szCs w:val="24"/>
            <w:lang w:val="pt-BR"/>
          </w:rPr>
          <w:t>7.289,9</w:t>
        </w:r>
        <w:r w:rsidRPr="005D1973">
          <w:rPr>
            <w:rFonts w:ascii="Arial" w:hAnsi="Arial" w:cs="Arial"/>
            <w:bCs/>
            <w:sz w:val="24"/>
            <w:szCs w:val="24"/>
          </w:rPr>
          <w:t xml:space="preserve"> ha</w:t>
        </w:r>
      </w:smartTag>
      <w:r w:rsidRPr="005D1973">
        <w:rPr>
          <w:rFonts w:ascii="Arial" w:hAnsi="Arial" w:cs="Arial"/>
          <w:bCs/>
          <w:sz w:val="24"/>
          <w:szCs w:val="24"/>
        </w:rPr>
        <w:t xml:space="preserve">. Cele mai multe lacuri din parc au statut de zone de protecţie integrală, iar </w:t>
      </w:r>
      <w:r w:rsidR="007C1699">
        <w:rPr>
          <w:rFonts w:ascii="Arial" w:hAnsi="Arial" w:cs="Arial"/>
          <w:bCs/>
          <w:sz w:val="24"/>
          <w:szCs w:val="24"/>
        </w:rPr>
        <w:t>BR</w:t>
      </w:r>
      <w:r w:rsidRPr="005D1973">
        <w:rPr>
          <w:rFonts w:ascii="Arial" w:hAnsi="Arial" w:cs="Arial"/>
          <w:bCs/>
          <w:sz w:val="24"/>
          <w:szCs w:val="24"/>
        </w:rPr>
        <w:t>aţele Dunării sunt cuprinse integral în zona de dezvoltare durabilă a activităţilor umane</w:t>
      </w:r>
      <w:r w:rsidRPr="005D1973">
        <w:rPr>
          <w:rFonts w:ascii="Arial" w:hAnsi="Arial" w:cs="Arial"/>
          <w:sz w:val="24"/>
          <w:szCs w:val="24"/>
          <w:lang w:val="pt-BR"/>
        </w:rPr>
        <w:t>.</w:t>
      </w:r>
      <w:r w:rsidRPr="005D1973">
        <w:rPr>
          <w:rFonts w:ascii="Arial" w:hAnsi="Arial" w:cs="Arial"/>
          <w:noProof/>
          <w:sz w:val="24"/>
          <w:szCs w:val="24"/>
          <w:lang w:val="pt-BR"/>
        </w:rPr>
        <w:t xml:space="preserve">     </w:t>
      </w:r>
    </w:p>
    <w:p w:rsidR="00EE1961" w:rsidRPr="005D1973" w:rsidRDefault="00EE1961" w:rsidP="00C625DB">
      <w:pPr>
        <w:spacing w:after="0" w:line="240" w:lineRule="auto"/>
        <w:jc w:val="both"/>
        <w:rPr>
          <w:rFonts w:ascii="Arial" w:hAnsi="Arial" w:cs="Arial"/>
          <w:noProof/>
          <w:sz w:val="24"/>
          <w:szCs w:val="24"/>
        </w:rPr>
      </w:pPr>
      <w:r w:rsidRPr="005D1973">
        <w:rPr>
          <w:rFonts w:ascii="Arial" w:hAnsi="Arial" w:cs="Arial"/>
          <w:noProof/>
          <w:sz w:val="24"/>
          <w:szCs w:val="24"/>
        </w:rPr>
        <w:t xml:space="preserve">Asupra complexelor de ecosisteme din Parcul Natural Balta Mică a </w:t>
      </w:r>
      <w:r w:rsidR="007C1699">
        <w:rPr>
          <w:rFonts w:ascii="Arial" w:hAnsi="Arial" w:cs="Arial"/>
          <w:noProof/>
          <w:sz w:val="24"/>
          <w:szCs w:val="24"/>
        </w:rPr>
        <w:t>BR</w:t>
      </w:r>
      <w:r w:rsidRPr="005D1973">
        <w:rPr>
          <w:rFonts w:ascii="Arial" w:hAnsi="Arial" w:cs="Arial"/>
          <w:noProof/>
          <w:sz w:val="24"/>
          <w:szCs w:val="24"/>
        </w:rPr>
        <w:t xml:space="preserve">ăilei trebuie luate în considerare următoarele </w:t>
      </w:r>
      <w:r w:rsidRPr="005D1973">
        <w:rPr>
          <w:rFonts w:ascii="Arial" w:hAnsi="Arial" w:cs="Arial"/>
          <w:noProof/>
          <w:sz w:val="24"/>
          <w:szCs w:val="24"/>
          <w:u w:val="single"/>
        </w:rPr>
        <w:t>presiuni antropice</w:t>
      </w:r>
      <w:r w:rsidRPr="005D1973">
        <w:rPr>
          <w:rFonts w:ascii="Arial" w:hAnsi="Arial" w:cs="Arial"/>
          <w:noProof/>
          <w:sz w:val="24"/>
          <w:szCs w:val="24"/>
        </w:rPr>
        <w:t xml:space="preserve"> :</w:t>
      </w:r>
    </w:p>
    <w:p w:rsidR="00EE1961" w:rsidRPr="005D1973" w:rsidRDefault="007C1699" w:rsidP="00252ED3">
      <w:pPr>
        <w:numPr>
          <w:ilvl w:val="0"/>
          <w:numId w:val="29"/>
        </w:numPr>
        <w:spacing w:after="0" w:line="240" w:lineRule="auto"/>
        <w:jc w:val="both"/>
        <w:rPr>
          <w:rFonts w:ascii="Arial" w:hAnsi="Arial" w:cs="Arial"/>
          <w:noProof/>
          <w:sz w:val="24"/>
          <w:szCs w:val="24"/>
        </w:rPr>
      </w:pPr>
      <w:r>
        <w:rPr>
          <w:rFonts w:ascii="Arial" w:hAnsi="Arial" w:cs="Arial"/>
          <w:i/>
          <w:noProof/>
          <w:sz w:val="24"/>
          <w:szCs w:val="24"/>
        </w:rPr>
        <w:lastRenderedPageBreak/>
        <w:t>B</w:t>
      </w:r>
      <w:r w:rsidR="00DC03E4">
        <w:rPr>
          <w:rFonts w:ascii="Arial" w:hAnsi="Arial" w:cs="Arial"/>
          <w:i/>
          <w:noProof/>
          <w:sz w:val="24"/>
          <w:szCs w:val="24"/>
        </w:rPr>
        <w:t>r</w:t>
      </w:r>
      <w:r w:rsidR="00EE1961" w:rsidRPr="005D1973">
        <w:rPr>
          <w:rFonts w:ascii="Arial" w:hAnsi="Arial" w:cs="Arial"/>
          <w:i/>
          <w:noProof/>
          <w:sz w:val="24"/>
          <w:szCs w:val="24"/>
        </w:rPr>
        <w:t xml:space="preserve">aconajul piscicol şi supraexploatarea piscicolă fără o fundamentare a efortului de pescuit </w:t>
      </w:r>
      <w:r w:rsidR="00EE1961" w:rsidRPr="005D1973">
        <w:rPr>
          <w:rFonts w:ascii="Arial" w:hAnsi="Arial" w:cs="Arial"/>
          <w:noProof/>
          <w:sz w:val="24"/>
          <w:szCs w:val="24"/>
        </w:rPr>
        <w:t xml:space="preserve">– una dintre cele mai mari ameninţări asupra biodiversităţii, având drept consecinţe: diminuarea necontrolată a populaţiilor de peşti în sensul depăşirii capacităţii de suport, recoltarea neselectivă a ihtiofaunei (mai ales </w:t>
      </w:r>
      <w:r>
        <w:rPr>
          <w:rFonts w:ascii="Arial" w:hAnsi="Arial" w:cs="Arial"/>
          <w:noProof/>
          <w:sz w:val="24"/>
          <w:szCs w:val="24"/>
        </w:rPr>
        <w:t>BR</w:t>
      </w:r>
      <w:r w:rsidR="00EE1961" w:rsidRPr="005D1973">
        <w:rPr>
          <w:rFonts w:ascii="Arial" w:hAnsi="Arial" w:cs="Arial"/>
          <w:noProof/>
          <w:sz w:val="24"/>
          <w:szCs w:val="24"/>
        </w:rPr>
        <w:t>aconajul cu curent electric), dezechili</w:t>
      </w:r>
      <w:r>
        <w:rPr>
          <w:rFonts w:ascii="Arial" w:hAnsi="Arial" w:cs="Arial"/>
          <w:noProof/>
          <w:sz w:val="24"/>
          <w:szCs w:val="24"/>
        </w:rPr>
        <w:t>BR</w:t>
      </w:r>
      <w:r w:rsidR="00EE1961" w:rsidRPr="005D1973">
        <w:rPr>
          <w:rFonts w:ascii="Arial" w:hAnsi="Arial" w:cs="Arial"/>
          <w:noProof/>
          <w:sz w:val="24"/>
          <w:szCs w:val="24"/>
        </w:rPr>
        <w:t>area lanţurilor trofice;</w:t>
      </w:r>
    </w:p>
    <w:p w:rsidR="00EE1961" w:rsidRPr="005D1973" w:rsidRDefault="00EE1961" w:rsidP="00252ED3">
      <w:pPr>
        <w:numPr>
          <w:ilvl w:val="0"/>
          <w:numId w:val="29"/>
        </w:numPr>
        <w:spacing w:after="0" w:line="240" w:lineRule="auto"/>
        <w:jc w:val="both"/>
        <w:rPr>
          <w:rFonts w:ascii="Arial" w:hAnsi="Arial" w:cs="Arial"/>
          <w:bCs/>
          <w:noProof/>
          <w:sz w:val="24"/>
          <w:szCs w:val="24"/>
        </w:rPr>
      </w:pPr>
      <w:r w:rsidRPr="005D1973">
        <w:rPr>
          <w:rFonts w:ascii="Arial" w:hAnsi="Arial" w:cs="Arial"/>
          <w:i/>
          <w:noProof/>
          <w:sz w:val="24"/>
          <w:szCs w:val="24"/>
        </w:rPr>
        <w:t>păşunatul abuziv în regim semisălbatic</w:t>
      </w:r>
      <w:r w:rsidRPr="005D1973">
        <w:rPr>
          <w:rFonts w:ascii="Arial" w:hAnsi="Arial" w:cs="Arial"/>
          <w:noProof/>
          <w:sz w:val="24"/>
          <w:szCs w:val="24"/>
        </w:rPr>
        <w:t xml:space="preserve">, are ca efect deteriorarea unor habitate de interes comunitar prin distrugerea vegetaţiei, în special a celei lemnoase prin roaderea scoarţei şi a vârfului lăstarilor de plop şi salcie; </w:t>
      </w:r>
    </w:p>
    <w:p w:rsidR="00EE1961" w:rsidRPr="005D1973" w:rsidRDefault="00EE1961" w:rsidP="00252ED3">
      <w:pPr>
        <w:numPr>
          <w:ilvl w:val="0"/>
          <w:numId w:val="29"/>
        </w:numPr>
        <w:spacing w:after="0" w:line="240" w:lineRule="auto"/>
        <w:jc w:val="both"/>
        <w:rPr>
          <w:rFonts w:ascii="Arial" w:hAnsi="Arial" w:cs="Arial"/>
          <w:noProof/>
          <w:sz w:val="24"/>
          <w:szCs w:val="24"/>
        </w:rPr>
      </w:pPr>
      <w:r w:rsidRPr="005D1973">
        <w:rPr>
          <w:rFonts w:ascii="Arial" w:hAnsi="Arial" w:cs="Arial"/>
          <w:i/>
          <w:noProof/>
          <w:sz w:val="24"/>
          <w:szCs w:val="24"/>
        </w:rPr>
        <w:t>delictele silvice</w:t>
      </w:r>
      <w:r w:rsidRPr="005D1973">
        <w:rPr>
          <w:rFonts w:ascii="Arial" w:hAnsi="Arial" w:cs="Arial"/>
          <w:noProof/>
          <w:sz w:val="24"/>
          <w:szCs w:val="24"/>
        </w:rPr>
        <w:t xml:space="preserve"> (pot avea implicaţii în echili</w:t>
      </w:r>
      <w:r w:rsidR="007C1699">
        <w:rPr>
          <w:rFonts w:ascii="Arial" w:hAnsi="Arial" w:cs="Arial"/>
          <w:noProof/>
          <w:sz w:val="24"/>
          <w:szCs w:val="24"/>
        </w:rPr>
        <w:t>BR</w:t>
      </w:r>
      <w:r w:rsidRPr="005D1973">
        <w:rPr>
          <w:rFonts w:ascii="Arial" w:hAnsi="Arial" w:cs="Arial"/>
          <w:noProof/>
          <w:sz w:val="24"/>
          <w:szCs w:val="24"/>
        </w:rPr>
        <w:t xml:space="preserve">ul trofic al ecosistemului): </w:t>
      </w:r>
      <w:r w:rsidRPr="005D1973">
        <w:rPr>
          <w:rFonts w:ascii="Arial" w:hAnsi="Arial" w:cs="Arial"/>
          <w:i/>
          <w:noProof/>
          <w:sz w:val="24"/>
          <w:szCs w:val="24"/>
        </w:rPr>
        <w:t xml:space="preserve">recoltarea ilegală a unor elemente din flora şi fauna parcului </w:t>
      </w:r>
      <w:r w:rsidRPr="005D1973">
        <w:rPr>
          <w:rFonts w:ascii="Arial" w:hAnsi="Arial" w:cs="Arial"/>
          <w:noProof/>
          <w:sz w:val="24"/>
          <w:szCs w:val="24"/>
        </w:rPr>
        <w:t xml:space="preserve">care poate conduce la afectarea efectivelor unor specii </w:t>
      </w:r>
      <w:r w:rsidR="00464BFA" w:rsidRPr="005D1973">
        <w:rPr>
          <w:rFonts w:ascii="Arial" w:hAnsi="Arial" w:cs="Arial"/>
          <w:noProof/>
          <w:sz w:val="24"/>
          <w:szCs w:val="24"/>
        </w:rPr>
        <w:t>.</w:t>
      </w:r>
    </w:p>
    <w:p w:rsidR="00EE1961" w:rsidRPr="005D1973" w:rsidRDefault="00EE1961" w:rsidP="00252ED3">
      <w:pPr>
        <w:numPr>
          <w:ilvl w:val="0"/>
          <w:numId w:val="29"/>
        </w:numPr>
        <w:spacing w:after="0" w:line="240" w:lineRule="auto"/>
        <w:jc w:val="both"/>
        <w:rPr>
          <w:rFonts w:ascii="Arial" w:hAnsi="Arial" w:cs="Arial"/>
          <w:noProof/>
          <w:sz w:val="24"/>
          <w:szCs w:val="24"/>
        </w:rPr>
      </w:pPr>
      <w:r w:rsidRPr="005D1973">
        <w:rPr>
          <w:rFonts w:ascii="Arial" w:hAnsi="Arial" w:cs="Arial"/>
          <w:i/>
          <w:noProof/>
          <w:sz w:val="24"/>
          <w:szCs w:val="24"/>
        </w:rPr>
        <w:t>turismul necontrolat</w:t>
      </w:r>
      <w:r w:rsidRPr="005D1973">
        <w:rPr>
          <w:rFonts w:ascii="Arial" w:hAnsi="Arial" w:cs="Arial"/>
          <w:noProof/>
          <w:sz w:val="24"/>
          <w:szCs w:val="24"/>
        </w:rPr>
        <w:t xml:space="preserve"> practicat în special în week-end are ca efect acumularea de deşeuri de tip menajer (în special ambalaje tip PET) mai ales în zonele dig-mal. În zonele de protecţie integrală turismul poate deranja unele specii de păsări în special în perioada clocitului când poate determina părăsirea locurilor de cuibărit şi poate reprezenta un factor de stres în timpul pasajului; </w:t>
      </w:r>
    </w:p>
    <w:p w:rsidR="00464BFA" w:rsidRPr="005D1973" w:rsidRDefault="00464BFA" w:rsidP="00C625DB">
      <w:pPr>
        <w:pStyle w:val="Footer"/>
        <w:tabs>
          <w:tab w:val="left" w:pos="180"/>
        </w:tabs>
        <w:jc w:val="both"/>
        <w:rPr>
          <w:rFonts w:ascii="Arial" w:hAnsi="Arial" w:cs="Arial"/>
          <w:b/>
          <w:sz w:val="24"/>
          <w:szCs w:val="24"/>
          <w:u w:val="single"/>
        </w:rPr>
      </w:pPr>
    </w:p>
    <w:p w:rsidR="00EE1961" w:rsidRPr="005D1973" w:rsidRDefault="00EE1961" w:rsidP="00C625DB">
      <w:pPr>
        <w:pStyle w:val="Footer"/>
        <w:tabs>
          <w:tab w:val="left" w:pos="180"/>
        </w:tabs>
        <w:jc w:val="both"/>
        <w:rPr>
          <w:rFonts w:ascii="Arial" w:hAnsi="Arial" w:cs="Arial"/>
          <w:b/>
          <w:sz w:val="24"/>
          <w:szCs w:val="24"/>
          <w:u w:val="single"/>
        </w:rPr>
      </w:pPr>
      <w:r w:rsidRPr="005D1973">
        <w:rPr>
          <w:rFonts w:ascii="Arial" w:hAnsi="Arial" w:cs="Arial"/>
          <w:b/>
          <w:sz w:val="24"/>
          <w:szCs w:val="24"/>
          <w:u w:val="single"/>
        </w:rPr>
        <w:t>Rezervaţia Naturală Pădurea Camniţa</w:t>
      </w:r>
    </w:p>
    <w:p w:rsidR="00EE1961" w:rsidRPr="005D1973" w:rsidRDefault="00EE1961" w:rsidP="00C625DB">
      <w:pPr>
        <w:tabs>
          <w:tab w:val="left" w:pos="180"/>
        </w:tabs>
        <w:spacing w:after="0" w:line="240" w:lineRule="auto"/>
        <w:jc w:val="both"/>
        <w:rPr>
          <w:rFonts w:ascii="Arial" w:hAnsi="Arial" w:cs="Arial"/>
          <w:i/>
          <w:sz w:val="24"/>
          <w:szCs w:val="24"/>
          <w:u w:val="single"/>
        </w:rPr>
      </w:pPr>
      <w:r w:rsidRPr="005D1973">
        <w:rPr>
          <w:rFonts w:ascii="Arial" w:hAnsi="Arial" w:cs="Arial"/>
          <w:i/>
          <w:sz w:val="24"/>
          <w:szCs w:val="24"/>
          <w:u w:val="single"/>
        </w:rPr>
        <w:t>Localizare</w:t>
      </w:r>
    </w:p>
    <w:p w:rsidR="00EE1961" w:rsidRPr="005D1973" w:rsidRDefault="00EE1961" w:rsidP="00C625DB">
      <w:pPr>
        <w:tabs>
          <w:tab w:val="left" w:pos="180"/>
        </w:tabs>
        <w:spacing w:after="0" w:line="240" w:lineRule="auto"/>
        <w:jc w:val="both"/>
        <w:rPr>
          <w:rFonts w:ascii="Arial" w:hAnsi="Arial" w:cs="Arial"/>
          <w:sz w:val="24"/>
          <w:szCs w:val="24"/>
        </w:rPr>
      </w:pPr>
      <w:r w:rsidRPr="005D1973">
        <w:rPr>
          <w:rFonts w:ascii="Arial" w:hAnsi="Arial" w:cs="Arial"/>
          <w:sz w:val="24"/>
          <w:szCs w:val="24"/>
        </w:rPr>
        <w:t xml:space="preserve">Rezervaţia are o suprafaţă de </w:t>
      </w:r>
      <w:smartTag w:uri="urn:schemas-microsoft-com:office:smarttags" w:element="metricconverter">
        <w:smartTagPr>
          <w:attr w:name="ProductID" w:val="1,2 ha"/>
        </w:smartTagPr>
        <w:r w:rsidRPr="005D1973">
          <w:rPr>
            <w:rFonts w:ascii="Arial" w:hAnsi="Arial" w:cs="Arial"/>
            <w:sz w:val="24"/>
            <w:szCs w:val="24"/>
          </w:rPr>
          <w:t>1,2 ha</w:t>
        </w:r>
      </w:smartTag>
      <w:r w:rsidRPr="005D1973">
        <w:rPr>
          <w:rFonts w:ascii="Arial" w:hAnsi="Arial" w:cs="Arial"/>
          <w:sz w:val="24"/>
          <w:szCs w:val="24"/>
        </w:rPr>
        <w:t xml:space="preserve"> şi este amplasată în comuna Râmnicelu, în apropierea satului Constantineşti, între DJ 221 şi râul Buzău. Această rezervaţie este situată în cuprinsul pădurii Camniţa, pădure ce ocupă circa </w:t>
      </w:r>
      <w:smartTag w:uri="urn:schemas-microsoft-com:office:smarttags" w:element="metricconverter">
        <w:smartTagPr>
          <w:attr w:name="ProductID" w:val="550 ha"/>
        </w:smartTagPr>
        <w:r w:rsidRPr="005D1973">
          <w:rPr>
            <w:rFonts w:ascii="Arial" w:hAnsi="Arial" w:cs="Arial"/>
            <w:sz w:val="24"/>
            <w:szCs w:val="24"/>
          </w:rPr>
          <w:t>550 ha</w:t>
        </w:r>
      </w:smartTag>
      <w:r w:rsidRPr="005D1973">
        <w:rPr>
          <w:rFonts w:ascii="Arial" w:hAnsi="Arial" w:cs="Arial"/>
          <w:sz w:val="24"/>
          <w:szCs w:val="24"/>
        </w:rPr>
        <w:t>, formată preponderent din salcâm, plop alb</w:t>
      </w:r>
      <w:r w:rsidR="00217569" w:rsidRPr="005D1973">
        <w:rPr>
          <w:rFonts w:ascii="Arial" w:hAnsi="Arial" w:cs="Arial"/>
          <w:sz w:val="24"/>
          <w:szCs w:val="24"/>
        </w:rPr>
        <w:t xml:space="preserve">, </w:t>
      </w:r>
      <w:r w:rsidRPr="005D1973">
        <w:rPr>
          <w:rFonts w:ascii="Arial" w:hAnsi="Arial" w:cs="Arial"/>
          <w:sz w:val="24"/>
          <w:szCs w:val="24"/>
        </w:rPr>
        <w:t xml:space="preserve"> </w:t>
      </w:r>
      <w:r w:rsidR="00217569" w:rsidRPr="005D1973">
        <w:rPr>
          <w:rFonts w:ascii="Arial" w:hAnsi="Arial" w:cs="Arial"/>
          <w:sz w:val="24"/>
          <w:szCs w:val="24"/>
        </w:rPr>
        <w:t xml:space="preserve">plop </w:t>
      </w:r>
      <w:r w:rsidRPr="005D1973">
        <w:rPr>
          <w:rFonts w:ascii="Arial" w:hAnsi="Arial" w:cs="Arial"/>
          <w:sz w:val="24"/>
          <w:szCs w:val="24"/>
        </w:rPr>
        <w:t xml:space="preserve">negru şi salcie. </w:t>
      </w:r>
    </w:p>
    <w:p w:rsidR="002D0189" w:rsidRPr="005D1973" w:rsidRDefault="002D0189" w:rsidP="00C625DB">
      <w:pPr>
        <w:spacing w:after="0" w:line="240" w:lineRule="auto"/>
        <w:jc w:val="both"/>
        <w:rPr>
          <w:rFonts w:ascii="Arial" w:eastAsia="Times New Roman" w:hAnsi="Arial" w:cs="Arial"/>
          <w:bCs/>
          <w:iCs/>
          <w:sz w:val="24"/>
          <w:szCs w:val="24"/>
          <w:lang w:val="it-IT"/>
        </w:rPr>
      </w:pPr>
      <w:r w:rsidRPr="005D1973">
        <w:rPr>
          <w:rFonts w:ascii="Arial" w:eastAsia="Times New Roman" w:hAnsi="Arial" w:cs="Arial"/>
          <w:sz w:val="24"/>
          <w:szCs w:val="24"/>
        </w:rPr>
        <w:t xml:space="preserve">Rezervația este situată în perimetrul ariilor de interes comunitar ROSPA0160 </w:t>
      </w:r>
      <w:r w:rsidRPr="005D1973">
        <w:rPr>
          <w:rFonts w:ascii="Arial" w:eastAsia="Times New Roman" w:hAnsi="Arial" w:cs="Arial"/>
          <w:bCs/>
          <w:iCs/>
          <w:sz w:val="24"/>
          <w:szCs w:val="24"/>
        </w:rPr>
        <w:t>și ROSCI0103 ambele cu denumirea Lunca Buzăului</w:t>
      </w:r>
      <w:r w:rsidRPr="005D1973">
        <w:rPr>
          <w:rFonts w:ascii="Arial" w:eastAsia="Times New Roman" w:hAnsi="Arial" w:cs="Arial"/>
          <w:bCs/>
          <w:iCs/>
          <w:sz w:val="24"/>
          <w:szCs w:val="24"/>
          <w:lang w:val="it-IT"/>
        </w:rPr>
        <w:t>.</w:t>
      </w:r>
    </w:p>
    <w:p w:rsidR="00EE1961" w:rsidRPr="005D1973" w:rsidRDefault="00EE1961" w:rsidP="00C625DB">
      <w:pPr>
        <w:tabs>
          <w:tab w:val="left" w:pos="180"/>
        </w:tabs>
        <w:spacing w:after="0" w:line="240" w:lineRule="auto"/>
        <w:jc w:val="both"/>
        <w:rPr>
          <w:rFonts w:ascii="Arial" w:hAnsi="Arial" w:cs="Arial"/>
          <w:i/>
          <w:sz w:val="24"/>
          <w:szCs w:val="24"/>
          <w:u w:val="single"/>
        </w:rPr>
      </w:pPr>
      <w:r w:rsidRPr="005D1973">
        <w:rPr>
          <w:rFonts w:ascii="Arial" w:hAnsi="Arial" w:cs="Arial"/>
          <w:i/>
          <w:sz w:val="24"/>
          <w:szCs w:val="24"/>
          <w:u w:val="single"/>
        </w:rPr>
        <w:t>Valori naturale protejate</w:t>
      </w:r>
    </w:p>
    <w:p w:rsidR="00EE1961" w:rsidRPr="005D1973" w:rsidRDefault="00EE1961" w:rsidP="00C625DB">
      <w:pPr>
        <w:tabs>
          <w:tab w:val="left" w:pos="180"/>
        </w:tabs>
        <w:spacing w:after="0" w:line="240" w:lineRule="auto"/>
        <w:jc w:val="both"/>
        <w:rPr>
          <w:rFonts w:ascii="Arial" w:hAnsi="Arial" w:cs="Arial"/>
          <w:sz w:val="24"/>
          <w:szCs w:val="24"/>
        </w:rPr>
      </w:pPr>
      <w:r w:rsidRPr="005D1973">
        <w:rPr>
          <w:rFonts w:ascii="Arial" w:hAnsi="Arial" w:cs="Arial"/>
          <w:sz w:val="24"/>
          <w:szCs w:val="24"/>
        </w:rPr>
        <w:t>Pădurea este un arboret natural de frasin - hi</w:t>
      </w:r>
      <w:r w:rsidR="00DC03E4">
        <w:rPr>
          <w:rFonts w:ascii="Arial" w:hAnsi="Arial" w:cs="Arial"/>
          <w:sz w:val="24"/>
          <w:szCs w:val="24"/>
        </w:rPr>
        <w:t>br</w:t>
      </w:r>
      <w:r w:rsidRPr="005D1973">
        <w:rPr>
          <w:rFonts w:ascii="Arial" w:hAnsi="Arial" w:cs="Arial"/>
          <w:sz w:val="24"/>
          <w:szCs w:val="24"/>
        </w:rPr>
        <w:t xml:space="preserve">izi de frasin de Pennsylvania (Fraxinus pennsylvanica şi Fraxinus angustifolia), în amestec cu salcâm, de origine necunoscută. A fost declarată rezervaţie pentru că frasinul constituie o raritate în peisajul judeţului </w:t>
      </w:r>
      <w:r w:rsidR="00217620">
        <w:rPr>
          <w:rFonts w:ascii="Arial" w:hAnsi="Arial" w:cs="Arial"/>
          <w:sz w:val="24"/>
          <w:szCs w:val="24"/>
        </w:rPr>
        <w:t>Brăila</w:t>
      </w:r>
      <w:r w:rsidRPr="005D1973">
        <w:rPr>
          <w:rFonts w:ascii="Arial" w:hAnsi="Arial" w:cs="Arial"/>
          <w:sz w:val="24"/>
          <w:szCs w:val="24"/>
        </w:rPr>
        <w:t>.</w:t>
      </w:r>
    </w:p>
    <w:p w:rsidR="00EE1961" w:rsidRPr="005D1973" w:rsidRDefault="00EE1961" w:rsidP="00C625DB">
      <w:pPr>
        <w:tabs>
          <w:tab w:val="left" w:pos="180"/>
        </w:tabs>
        <w:spacing w:after="0" w:line="240" w:lineRule="auto"/>
        <w:jc w:val="both"/>
        <w:rPr>
          <w:rFonts w:ascii="Arial" w:hAnsi="Arial" w:cs="Arial"/>
          <w:i/>
          <w:sz w:val="24"/>
          <w:szCs w:val="24"/>
          <w:u w:val="single"/>
        </w:rPr>
      </w:pPr>
      <w:r w:rsidRPr="005D1973">
        <w:rPr>
          <w:rFonts w:ascii="Arial" w:hAnsi="Arial" w:cs="Arial"/>
          <w:i/>
          <w:sz w:val="24"/>
          <w:szCs w:val="24"/>
          <w:u w:val="single"/>
        </w:rPr>
        <w:t>Anul declarării şi documentele prin care a fost declarată</w:t>
      </w:r>
    </w:p>
    <w:p w:rsidR="00EE1961" w:rsidRPr="005D1973" w:rsidRDefault="00EE1961" w:rsidP="00C625DB">
      <w:pPr>
        <w:tabs>
          <w:tab w:val="left" w:pos="180"/>
        </w:tabs>
        <w:spacing w:after="0" w:line="240" w:lineRule="auto"/>
        <w:jc w:val="both"/>
        <w:rPr>
          <w:rFonts w:ascii="Arial" w:hAnsi="Arial" w:cs="Arial"/>
          <w:sz w:val="24"/>
          <w:szCs w:val="24"/>
        </w:rPr>
      </w:pPr>
      <w:r w:rsidRPr="005D1973">
        <w:rPr>
          <w:rFonts w:ascii="Arial" w:hAnsi="Arial" w:cs="Arial"/>
          <w:sz w:val="24"/>
          <w:szCs w:val="24"/>
        </w:rPr>
        <w:tab/>
      </w:r>
      <w:r w:rsidRPr="005D1973">
        <w:rPr>
          <w:rFonts w:ascii="Arial" w:hAnsi="Arial" w:cs="Arial"/>
          <w:sz w:val="24"/>
          <w:szCs w:val="24"/>
        </w:rPr>
        <w:tab/>
        <w:t xml:space="preserve">1994 - H.C.J. </w:t>
      </w:r>
      <w:r w:rsidR="00217620">
        <w:rPr>
          <w:rFonts w:ascii="Arial" w:hAnsi="Arial" w:cs="Arial"/>
          <w:sz w:val="24"/>
          <w:szCs w:val="24"/>
        </w:rPr>
        <w:t>Brăila</w:t>
      </w:r>
      <w:r w:rsidRPr="005D1973">
        <w:rPr>
          <w:rFonts w:ascii="Arial" w:hAnsi="Arial" w:cs="Arial"/>
          <w:sz w:val="24"/>
          <w:szCs w:val="24"/>
        </w:rPr>
        <w:t xml:space="preserve"> nr. 20/1994 - rezervaţie forestieră</w:t>
      </w:r>
    </w:p>
    <w:p w:rsidR="00EE1961" w:rsidRPr="005D1973" w:rsidRDefault="00EE1961" w:rsidP="00C625DB">
      <w:pPr>
        <w:tabs>
          <w:tab w:val="left" w:pos="180"/>
        </w:tabs>
        <w:spacing w:after="0" w:line="240" w:lineRule="auto"/>
        <w:jc w:val="both"/>
        <w:rPr>
          <w:rFonts w:ascii="Arial" w:hAnsi="Arial" w:cs="Arial"/>
          <w:sz w:val="24"/>
          <w:szCs w:val="24"/>
        </w:rPr>
      </w:pPr>
      <w:r w:rsidRPr="005D1973">
        <w:rPr>
          <w:rFonts w:ascii="Arial" w:hAnsi="Arial" w:cs="Arial"/>
          <w:sz w:val="24"/>
          <w:szCs w:val="24"/>
        </w:rPr>
        <w:tab/>
      </w:r>
      <w:r w:rsidRPr="005D1973">
        <w:rPr>
          <w:rFonts w:ascii="Arial" w:hAnsi="Arial" w:cs="Arial"/>
          <w:sz w:val="24"/>
          <w:szCs w:val="24"/>
        </w:rPr>
        <w:tab/>
        <w:t xml:space="preserve">2000 - </w:t>
      </w:r>
      <w:r w:rsidRPr="005D1973">
        <w:rPr>
          <w:rFonts w:ascii="Arial" w:hAnsi="Arial" w:cs="Arial"/>
          <w:i/>
          <w:sz w:val="24"/>
          <w:szCs w:val="24"/>
        </w:rPr>
        <w:t>Legea nr. 5/2000 pentru aprobarea Planului de amenajare a teritoriului naţional</w:t>
      </w:r>
      <w:r w:rsidRPr="005D1973">
        <w:rPr>
          <w:rFonts w:ascii="Arial" w:hAnsi="Arial" w:cs="Arial"/>
          <w:sz w:val="24"/>
          <w:szCs w:val="24"/>
        </w:rPr>
        <w:t xml:space="preserve"> – secţiunea a III-a – zone protejate - rezervaţie naturală, cod 2259.</w:t>
      </w:r>
    </w:p>
    <w:p w:rsidR="00EE1961" w:rsidRPr="005D1973" w:rsidRDefault="00EE1961" w:rsidP="00C625DB">
      <w:pPr>
        <w:tabs>
          <w:tab w:val="left" w:pos="180"/>
        </w:tabs>
        <w:spacing w:after="0" w:line="240" w:lineRule="auto"/>
        <w:jc w:val="both"/>
        <w:rPr>
          <w:rFonts w:ascii="Arial" w:hAnsi="Arial" w:cs="Arial"/>
          <w:i/>
          <w:sz w:val="24"/>
          <w:szCs w:val="24"/>
          <w:u w:val="single"/>
        </w:rPr>
      </w:pPr>
      <w:r w:rsidRPr="005D1973">
        <w:rPr>
          <w:rFonts w:ascii="Arial" w:hAnsi="Arial" w:cs="Arial"/>
          <w:i/>
          <w:sz w:val="24"/>
          <w:szCs w:val="24"/>
          <w:u w:val="single"/>
        </w:rPr>
        <w:t>Starea ecosistemelor</w:t>
      </w:r>
    </w:p>
    <w:p w:rsidR="00EE1961" w:rsidRPr="005D1973" w:rsidRDefault="00EE1961" w:rsidP="00C625DB">
      <w:pPr>
        <w:suppressAutoHyphens/>
        <w:spacing w:after="0" w:line="240" w:lineRule="auto"/>
        <w:jc w:val="both"/>
        <w:rPr>
          <w:rFonts w:ascii="Arial" w:eastAsia="Times New Roman" w:hAnsi="Arial" w:cs="Arial"/>
          <w:sz w:val="24"/>
          <w:szCs w:val="24"/>
        </w:rPr>
      </w:pPr>
      <w:r w:rsidRPr="005D1973">
        <w:rPr>
          <w:rFonts w:ascii="Arial" w:hAnsi="Arial" w:cs="Arial"/>
          <w:sz w:val="24"/>
          <w:szCs w:val="24"/>
        </w:rPr>
        <w:t xml:space="preserve">În general această arie protejată nu este supusă unor influenţe antropice semnificative, conservarea acestui trup de pădure fiind afectată doar de climatul secetos al ultimilor ani. Menţinerea stării de conservare este favorizată şi de lipsa practicării turismului pe teritoriul rezervaţiei. </w:t>
      </w:r>
      <w:r w:rsidRPr="005D1973">
        <w:rPr>
          <w:rFonts w:ascii="Arial" w:eastAsia="Times New Roman" w:hAnsi="Arial" w:cs="Arial"/>
          <w:sz w:val="24"/>
          <w:szCs w:val="24"/>
          <w:lang w:val="it-IT"/>
        </w:rPr>
        <w:t>la nivelul anului 201</w:t>
      </w:r>
      <w:r w:rsidR="00217569" w:rsidRPr="005D1973">
        <w:rPr>
          <w:rFonts w:ascii="Arial" w:eastAsia="Times New Roman" w:hAnsi="Arial" w:cs="Arial"/>
          <w:sz w:val="24"/>
          <w:szCs w:val="24"/>
          <w:lang w:val="it-IT"/>
        </w:rPr>
        <w:t>6</w:t>
      </w:r>
      <w:r w:rsidRPr="005D1973">
        <w:rPr>
          <w:rFonts w:ascii="Arial" w:eastAsia="Times New Roman" w:hAnsi="Arial" w:cs="Arial"/>
          <w:sz w:val="24"/>
          <w:szCs w:val="24"/>
          <w:lang w:val="it-IT"/>
        </w:rPr>
        <w:t xml:space="preserve"> nu au fost semnalate evenimente deosebite care s</w:t>
      </w:r>
      <w:r w:rsidR="00217569" w:rsidRPr="005D1973">
        <w:rPr>
          <w:rFonts w:ascii="Arial" w:eastAsia="Times New Roman" w:hAnsi="Arial" w:cs="Arial"/>
          <w:sz w:val="24"/>
          <w:szCs w:val="24"/>
          <w:lang w:val="it-IT"/>
        </w:rPr>
        <w:t>ă</w:t>
      </w:r>
      <w:r w:rsidRPr="005D1973">
        <w:rPr>
          <w:rFonts w:ascii="Arial" w:eastAsia="Times New Roman" w:hAnsi="Arial" w:cs="Arial"/>
          <w:sz w:val="24"/>
          <w:szCs w:val="24"/>
          <w:lang w:val="it-IT"/>
        </w:rPr>
        <w:t xml:space="preserve"> afecteze negativ starea de conservare a ariei protejate</w:t>
      </w:r>
      <w:r w:rsidRPr="005D1973">
        <w:rPr>
          <w:rFonts w:ascii="Arial" w:eastAsia="Times New Roman" w:hAnsi="Arial" w:cs="Arial"/>
          <w:sz w:val="24"/>
          <w:szCs w:val="24"/>
        </w:rPr>
        <w:t>.</w:t>
      </w:r>
    </w:p>
    <w:p w:rsidR="00217569" w:rsidRPr="005D1973" w:rsidRDefault="00217569" w:rsidP="00C625DB">
      <w:pPr>
        <w:suppressAutoHyphens/>
        <w:spacing w:after="0" w:line="240" w:lineRule="auto"/>
        <w:jc w:val="both"/>
        <w:rPr>
          <w:rFonts w:ascii="Arial" w:eastAsia="Times New Roman" w:hAnsi="Arial" w:cs="Arial"/>
          <w:sz w:val="24"/>
          <w:szCs w:val="24"/>
        </w:rPr>
      </w:pPr>
    </w:p>
    <w:p w:rsidR="00EE1961" w:rsidRPr="005D1973" w:rsidRDefault="00EE1961" w:rsidP="00C625DB">
      <w:pPr>
        <w:pStyle w:val="Footer"/>
        <w:tabs>
          <w:tab w:val="left" w:pos="180"/>
        </w:tabs>
        <w:jc w:val="both"/>
        <w:rPr>
          <w:rFonts w:ascii="Arial" w:hAnsi="Arial" w:cs="Arial"/>
          <w:b/>
          <w:sz w:val="24"/>
          <w:szCs w:val="24"/>
          <w:u w:val="single"/>
        </w:rPr>
      </w:pPr>
      <w:r w:rsidRPr="005D1973">
        <w:rPr>
          <w:rFonts w:ascii="Arial" w:hAnsi="Arial" w:cs="Arial"/>
          <w:b/>
          <w:sz w:val="24"/>
          <w:szCs w:val="24"/>
          <w:u w:val="single"/>
        </w:rPr>
        <w:t>Rezervaţia Naturală Lacul Jirlău Vişani</w:t>
      </w:r>
    </w:p>
    <w:p w:rsidR="00EE1961" w:rsidRPr="005D1973" w:rsidRDefault="00EE1961" w:rsidP="00C625DB">
      <w:pPr>
        <w:tabs>
          <w:tab w:val="left" w:pos="180"/>
        </w:tabs>
        <w:spacing w:after="0" w:line="240" w:lineRule="auto"/>
        <w:jc w:val="both"/>
        <w:rPr>
          <w:rFonts w:ascii="Arial" w:hAnsi="Arial" w:cs="Arial"/>
          <w:i/>
          <w:sz w:val="24"/>
          <w:szCs w:val="24"/>
          <w:u w:val="single"/>
        </w:rPr>
      </w:pPr>
      <w:r w:rsidRPr="005D1973">
        <w:rPr>
          <w:rFonts w:ascii="Arial" w:hAnsi="Arial" w:cs="Arial"/>
          <w:i/>
          <w:sz w:val="24"/>
          <w:szCs w:val="24"/>
          <w:u w:val="single"/>
        </w:rPr>
        <w:t xml:space="preserve">Localizare </w:t>
      </w:r>
    </w:p>
    <w:p w:rsidR="00EE1961" w:rsidRPr="005D1973" w:rsidRDefault="00EE1961" w:rsidP="00C625DB">
      <w:pPr>
        <w:suppressAutoHyphens/>
        <w:spacing w:after="0" w:line="240" w:lineRule="auto"/>
        <w:jc w:val="both"/>
        <w:rPr>
          <w:rFonts w:ascii="Arial" w:hAnsi="Arial" w:cs="Arial"/>
          <w:sz w:val="24"/>
          <w:szCs w:val="24"/>
        </w:rPr>
      </w:pPr>
      <w:r w:rsidRPr="005D1973">
        <w:rPr>
          <w:rFonts w:ascii="Arial" w:hAnsi="Arial" w:cs="Arial"/>
          <w:sz w:val="24"/>
          <w:szCs w:val="24"/>
        </w:rPr>
        <w:t xml:space="preserve">Rezervaţia este situată în vestul judeţului </w:t>
      </w:r>
      <w:r w:rsidR="00217620">
        <w:rPr>
          <w:rFonts w:ascii="Arial" w:hAnsi="Arial" w:cs="Arial"/>
          <w:sz w:val="24"/>
          <w:szCs w:val="24"/>
        </w:rPr>
        <w:t>Brăila</w:t>
      </w:r>
      <w:r w:rsidRPr="005D1973">
        <w:rPr>
          <w:rFonts w:ascii="Arial" w:hAnsi="Arial" w:cs="Arial"/>
          <w:sz w:val="24"/>
          <w:szCs w:val="24"/>
        </w:rPr>
        <w:t xml:space="preserve">, pe malul stâng al râului Buzău, pe teritoriul comunelor Jirlău, Vişani şi Galbenu, având o  suprafaţă de </w:t>
      </w:r>
      <w:smartTag w:uri="urn:schemas-microsoft-com:office:smarttags" w:element="metricconverter">
        <w:smartTagPr>
          <w:attr w:name="ProductID" w:val="838,66 ha"/>
        </w:smartTagPr>
        <w:r w:rsidRPr="005D1973">
          <w:rPr>
            <w:rFonts w:ascii="Arial" w:hAnsi="Arial" w:cs="Arial"/>
            <w:sz w:val="24"/>
            <w:szCs w:val="24"/>
          </w:rPr>
          <w:t>838,66 ha</w:t>
        </w:r>
      </w:smartTag>
      <w:r w:rsidRPr="005D1973">
        <w:rPr>
          <w:rFonts w:ascii="Arial" w:hAnsi="Arial" w:cs="Arial"/>
          <w:sz w:val="24"/>
          <w:szCs w:val="24"/>
        </w:rPr>
        <w:t>.</w:t>
      </w:r>
    </w:p>
    <w:p w:rsidR="002D0189" w:rsidRPr="005D1973" w:rsidRDefault="002D0189" w:rsidP="00C625DB">
      <w:pPr>
        <w:suppressAutoHyphens/>
        <w:spacing w:after="0" w:line="240" w:lineRule="auto"/>
        <w:jc w:val="both"/>
        <w:rPr>
          <w:rFonts w:ascii="Arial" w:hAnsi="Arial" w:cs="Arial"/>
          <w:sz w:val="24"/>
          <w:szCs w:val="24"/>
        </w:rPr>
      </w:pPr>
      <w:r w:rsidRPr="005D1973">
        <w:rPr>
          <w:rFonts w:ascii="Arial" w:hAnsi="Arial" w:cs="Arial"/>
          <w:sz w:val="24"/>
          <w:szCs w:val="24"/>
        </w:rPr>
        <w:t>Rezervația este situată în perimetrul ariilor de interes comunitar ROSPA0004 Balta Albă-Amara-Jirlău și ROSCI0005 Balta Albă-Amara-Jirlău</w:t>
      </w:r>
      <w:r w:rsidRPr="005D1973">
        <w:rPr>
          <w:rFonts w:ascii="Arial" w:hAnsi="Arial" w:cs="Arial"/>
        </w:rPr>
        <w:t>-Lacul Sărat Câineni.</w:t>
      </w:r>
    </w:p>
    <w:p w:rsidR="00EE1961" w:rsidRPr="005D1973" w:rsidRDefault="00EE1961" w:rsidP="00C625DB">
      <w:pPr>
        <w:tabs>
          <w:tab w:val="left" w:pos="180"/>
        </w:tabs>
        <w:spacing w:after="0" w:line="240" w:lineRule="auto"/>
        <w:jc w:val="both"/>
        <w:rPr>
          <w:rFonts w:ascii="Arial" w:hAnsi="Arial" w:cs="Arial"/>
          <w:i/>
          <w:sz w:val="24"/>
          <w:szCs w:val="24"/>
          <w:u w:val="single"/>
        </w:rPr>
      </w:pPr>
      <w:r w:rsidRPr="005D1973">
        <w:rPr>
          <w:rFonts w:ascii="Arial" w:hAnsi="Arial" w:cs="Arial"/>
          <w:i/>
          <w:sz w:val="24"/>
          <w:szCs w:val="24"/>
          <w:u w:val="single"/>
        </w:rPr>
        <w:t>Anul declarării şi actele prin care a fost declarată</w:t>
      </w:r>
    </w:p>
    <w:p w:rsidR="00EE1961" w:rsidRPr="005D1973" w:rsidRDefault="00EE1961" w:rsidP="00C625DB">
      <w:pPr>
        <w:tabs>
          <w:tab w:val="left" w:pos="180"/>
        </w:tabs>
        <w:spacing w:after="0" w:line="240" w:lineRule="auto"/>
        <w:jc w:val="both"/>
        <w:rPr>
          <w:rFonts w:ascii="Arial" w:hAnsi="Arial" w:cs="Arial"/>
          <w:sz w:val="24"/>
          <w:szCs w:val="24"/>
        </w:rPr>
      </w:pPr>
      <w:r w:rsidRPr="005D1973">
        <w:rPr>
          <w:rFonts w:ascii="Arial" w:hAnsi="Arial" w:cs="Arial"/>
          <w:sz w:val="24"/>
          <w:szCs w:val="24"/>
        </w:rPr>
        <w:tab/>
      </w:r>
      <w:r w:rsidRPr="005D1973">
        <w:rPr>
          <w:rFonts w:ascii="Arial" w:hAnsi="Arial" w:cs="Arial"/>
          <w:sz w:val="24"/>
          <w:szCs w:val="24"/>
        </w:rPr>
        <w:tab/>
        <w:t xml:space="preserve">1994 - H.C.J. </w:t>
      </w:r>
      <w:r w:rsidR="00217620">
        <w:rPr>
          <w:rFonts w:ascii="Arial" w:hAnsi="Arial" w:cs="Arial"/>
          <w:sz w:val="24"/>
          <w:szCs w:val="24"/>
        </w:rPr>
        <w:t>Brăila</w:t>
      </w:r>
      <w:r w:rsidRPr="005D1973">
        <w:rPr>
          <w:rFonts w:ascii="Arial" w:hAnsi="Arial" w:cs="Arial"/>
          <w:sz w:val="24"/>
          <w:szCs w:val="24"/>
        </w:rPr>
        <w:t xml:space="preserve"> nr. 20/1994 - refugiu ornitologic</w:t>
      </w:r>
    </w:p>
    <w:p w:rsidR="00EE1961" w:rsidRPr="005D1973" w:rsidRDefault="00EE1961" w:rsidP="00C625DB">
      <w:pPr>
        <w:tabs>
          <w:tab w:val="left" w:pos="180"/>
        </w:tabs>
        <w:spacing w:after="0" w:line="240" w:lineRule="auto"/>
        <w:jc w:val="both"/>
        <w:rPr>
          <w:rFonts w:ascii="Arial" w:hAnsi="Arial" w:cs="Arial"/>
          <w:sz w:val="24"/>
          <w:szCs w:val="24"/>
        </w:rPr>
      </w:pPr>
      <w:r w:rsidRPr="005D1973">
        <w:rPr>
          <w:rFonts w:ascii="Arial" w:hAnsi="Arial" w:cs="Arial"/>
          <w:sz w:val="24"/>
          <w:szCs w:val="24"/>
        </w:rPr>
        <w:tab/>
      </w:r>
      <w:r w:rsidRPr="005D1973">
        <w:rPr>
          <w:rFonts w:ascii="Arial" w:hAnsi="Arial" w:cs="Arial"/>
          <w:sz w:val="24"/>
          <w:szCs w:val="24"/>
        </w:rPr>
        <w:tab/>
        <w:t xml:space="preserve">2000 - </w:t>
      </w:r>
      <w:r w:rsidRPr="005D1973">
        <w:rPr>
          <w:rFonts w:ascii="Arial" w:hAnsi="Arial" w:cs="Arial"/>
          <w:i/>
          <w:sz w:val="24"/>
          <w:szCs w:val="24"/>
        </w:rPr>
        <w:t>Legea nr. 5/2000 pentru aprobarea Planului de amenajare a teritoriului naţional</w:t>
      </w:r>
      <w:r w:rsidRPr="005D1973">
        <w:rPr>
          <w:rFonts w:ascii="Arial" w:hAnsi="Arial" w:cs="Arial"/>
          <w:sz w:val="24"/>
          <w:szCs w:val="24"/>
        </w:rPr>
        <w:t xml:space="preserve"> – secţiunea a III-a – zone protejate - rezervaţie naturală, cod 2260.</w:t>
      </w:r>
    </w:p>
    <w:p w:rsidR="00EE1961" w:rsidRPr="005D1973" w:rsidRDefault="00EE1961" w:rsidP="00C625DB">
      <w:pPr>
        <w:tabs>
          <w:tab w:val="left" w:pos="180"/>
        </w:tabs>
        <w:spacing w:after="0" w:line="240" w:lineRule="auto"/>
        <w:jc w:val="both"/>
        <w:rPr>
          <w:rFonts w:ascii="Arial" w:hAnsi="Arial" w:cs="Arial"/>
          <w:i/>
          <w:sz w:val="24"/>
          <w:szCs w:val="24"/>
          <w:u w:val="single"/>
        </w:rPr>
      </w:pPr>
      <w:r w:rsidRPr="005D1973">
        <w:rPr>
          <w:rFonts w:ascii="Arial" w:hAnsi="Arial" w:cs="Arial"/>
          <w:i/>
          <w:sz w:val="24"/>
          <w:szCs w:val="24"/>
          <w:u w:val="single"/>
        </w:rPr>
        <w:t>Valori naturale protejate</w:t>
      </w:r>
    </w:p>
    <w:p w:rsidR="00EE1961" w:rsidRPr="005D1973" w:rsidRDefault="00EE1961" w:rsidP="00C625DB">
      <w:pPr>
        <w:tabs>
          <w:tab w:val="left" w:pos="180"/>
        </w:tabs>
        <w:spacing w:after="0" w:line="240" w:lineRule="auto"/>
        <w:jc w:val="both"/>
        <w:rPr>
          <w:rFonts w:ascii="Arial" w:hAnsi="Arial" w:cs="Arial"/>
          <w:sz w:val="24"/>
          <w:szCs w:val="24"/>
        </w:rPr>
      </w:pPr>
      <w:r w:rsidRPr="005D1973">
        <w:rPr>
          <w:rFonts w:ascii="Arial" w:hAnsi="Arial" w:cs="Arial"/>
          <w:sz w:val="24"/>
          <w:szCs w:val="24"/>
        </w:rPr>
        <w:t xml:space="preserve">Rezervaţia este un lac eutrof, puţin adânc, cu vegetaţie tipică de baltă permanentă, cu asociaţii în care predomină stuful, papura şi pipirigul. Lacul asigură habitate de pasaj, </w:t>
      </w:r>
      <w:r w:rsidRPr="005D1973">
        <w:rPr>
          <w:rFonts w:ascii="Arial" w:hAnsi="Arial" w:cs="Arial"/>
          <w:sz w:val="24"/>
          <w:szCs w:val="24"/>
        </w:rPr>
        <w:lastRenderedPageBreak/>
        <w:t>hrănire, şi cuibărire pentru o serie de specii de păsări migratoare şi sedentare, de zonă umedă. Prezenţa unor habitate şi specii de interes comunitar a motivat includerea zonei în  aria de protecţie specială avifaunistică ROSPA0004 Balta Albă-Amara-Jirlău, precum şi în situl de importanţă comunitară ROSCI0005 Balta Albă-Amara-Jirlău-Lacul Sărat Câineni.</w:t>
      </w:r>
    </w:p>
    <w:p w:rsidR="00EE1961" w:rsidRPr="005D1973" w:rsidRDefault="00EE1961" w:rsidP="00C625DB">
      <w:pPr>
        <w:pStyle w:val="Heading3"/>
        <w:tabs>
          <w:tab w:val="left" w:pos="180"/>
        </w:tabs>
        <w:spacing w:before="0" w:after="0"/>
        <w:jc w:val="both"/>
        <w:rPr>
          <w:rFonts w:ascii="Arial" w:hAnsi="Arial" w:cs="Arial"/>
          <w:sz w:val="24"/>
          <w:szCs w:val="24"/>
          <w:u w:val="single"/>
        </w:rPr>
      </w:pPr>
      <w:r w:rsidRPr="005D1973">
        <w:rPr>
          <w:rFonts w:ascii="Arial" w:hAnsi="Arial" w:cs="Arial"/>
          <w:sz w:val="24"/>
          <w:szCs w:val="24"/>
          <w:u w:val="single"/>
        </w:rPr>
        <w:t>Starea ecosistemelor</w:t>
      </w:r>
    </w:p>
    <w:p w:rsidR="00EE1961" w:rsidRPr="005D1973" w:rsidRDefault="00EE1961" w:rsidP="00C625DB">
      <w:pPr>
        <w:spacing w:after="0" w:line="240" w:lineRule="auto"/>
        <w:jc w:val="both"/>
        <w:rPr>
          <w:rFonts w:ascii="Arial" w:hAnsi="Arial" w:cs="Arial"/>
          <w:sz w:val="24"/>
          <w:szCs w:val="24"/>
        </w:rPr>
      </w:pPr>
      <w:r w:rsidRPr="005D1973">
        <w:rPr>
          <w:rFonts w:ascii="Arial" w:hAnsi="Arial" w:cs="Arial"/>
          <w:sz w:val="24"/>
          <w:szCs w:val="24"/>
        </w:rPr>
        <w:t xml:space="preserve">Ecosistemele din aria protejată nu au fost afectate de eroziunea antropică (depozitări de deşeuri pe malul lacului, păşunat sau vânătoare) în schimb seceta reduce coonsiderabil luciul de apă mai ales în perioadele calde ale anului. </w:t>
      </w:r>
    </w:p>
    <w:p w:rsidR="00EE1961" w:rsidRPr="005D1973" w:rsidRDefault="00EE1961" w:rsidP="00C625DB">
      <w:pPr>
        <w:spacing w:after="0" w:line="240" w:lineRule="auto"/>
        <w:jc w:val="both"/>
        <w:rPr>
          <w:rFonts w:ascii="Arial" w:hAnsi="Arial" w:cs="Arial"/>
          <w:b/>
          <w:bCs/>
          <w:sz w:val="24"/>
          <w:szCs w:val="24"/>
        </w:rPr>
      </w:pPr>
    </w:p>
    <w:p w:rsidR="00EE1961" w:rsidRPr="005D1973" w:rsidRDefault="00EE1961" w:rsidP="00C625DB">
      <w:pPr>
        <w:tabs>
          <w:tab w:val="left" w:leader="dot" w:pos="8640"/>
        </w:tabs>
        <w:spacing w:after="0" w:line="240" w:lineRule="auto"/>
        <w:jc w:val="both"/>
        <w:rPr>
          <w:rFonts w:ascii="Arial" w:hAnsi="Arial" w:cs="Arial"/>
          <w:b/>
          <w:bCs/>
          <w:sz w:val="24"/>
          <w:szCs w:val="24"/>
        </w:rPr>
      </w:pPr>
      <w:r w:rsidRPr="005D1973">
        <w:rPr>
          <w:rFonts w:ascii="Arial" w:hAnsi="Arial" w:cs="Arial"/>
          <w:b/>
          <w:bCs/>
          <w:sz w:val="24"/>
          <w:szCs w:val="24"/>
        </w:rPr>
        <w:t xml:space="preserve">Arii naturale protejate de interes internaţional </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Potrivit OUG nr. 57/2007 privind regimul ariilor naturale protejate, conservarea habitatelor naturale, a florei şi faunei sălbatice, aprobată cu modificări şi completări prin Legea nr. 49/2011, cu completările ulterioare, ariile naturale protejate </w:t>
      </w:r>
      <w:r w:rsidRPr="005D1973">
        <w:rPr>
          <w:rStyle w:val="tli1"/>
          <w:rFonts w:ascii="Arial" w:hAnsi="Arial" w:cs="Arial"/>
          <w:sz w:val="24"/>
          <w:szCs w:val="24"/>
        </w:rPr>
        <w:t>de interes internaţional sunt reprezentate prin situri naturale ale patrimoniului natural universal, geoparcuri, zone umede de importanţă internaţională, rezervaţii ale biosferei.</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Conform Convenţiei Ramsar prin care se protejează zonele umede de importanţă internaţională ca habitat al păsărilor  acvatice, convenţie la care România este parte semnatară, în anul 2001 teritoriul declarat Parcul Natural Balta Mică a </w:t>
      </w:r>
      <w:r w:rsidR="007C1699">
        <w:rPr>
          <w:rFonts w:ascii="Arial" w:hAnsi="Arial" w:cs="Arial"/>
          <w:sz w:val="24"/>
          <w:szCs w:val="24"/>
        </w:rPr>
        <w:t>BR</w:t>
      </w:r>
      <w:r w:rsidRPr="005D1973">
        <w:rPr>
          <w:rFonts w:ascii="Arial" w:hAnsi="Arial" w:cs="Arial"/>
          <w:sz w:val="24"/>
          <w:szCs w:val="24"/>
        </w:rPr>
        <w:t xml:space="preserve">ăilei a fost declarată sit RAMSAR (poziţia 1074 pe lista Ramsar) sub denumirea de Insula Mică a </w:t>
      </w:r>
      <w:r w:rsidR="007C1699">
        <w:rPr>
          <w:rFonts w:ascii="Arial" w:hAnsi="Arial" w:cs="Arial"/>
          <w:sz w:val="24"/>
          <w:szCs w:val="24"/>
        </w:rPr>
        <w:t>BR</w:t>
      </w:r>
      <w:r w:rsidRPr="005D1973">
        <w:rPr>
          <w:rFonts w:ascii="Arial" w:hAnsi="Arial" w:cs="Arial"/>
          <w:sz w:val="24"/>
          <w:szCs w:val="24"/>
        </w:rPr>
        <w:t>ăilei.</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Această zonă este bine cunoscută pentru importanţa ei ornitologică, deoarece se situează pe cel mai important culoar de migraţie al păsărilor din bazinul inferior al Dunării de Jos, la jumătatea rutelor de migraţie între locurile de cuibărit din nordul Europei şi refugiile de iernat din Africa. Au fost inventariate 207 specii de păsări, reprezentând jumătate din speciile de păsări migratoare caracteristice României, dintre care 169 de specii protejate pe plan internaţional, prin Convenţiile de la Berna, Bonn şi Ramsar. </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Măsurile de protecţie ce derivă din legislaţia referitoare la siturile RAMSAR sunt integrate planului de management pe care îl implementează Administraţia Parcului Natural</w:t>
      </w:r>
      <w:r w:rsidR="00EB3F12" w:rsidRPr="005D1973">
        <w:rPr>
          <w:rFonts w:ascii="Arial" w:hAnsi="Arial" w:cs="Arial"/>
          <w:sz w:val="24"/>
          <w:szCs w:val="24"/>
        </w:rPr>
        <w:t xml:space="preserve"> Balta Mică a </w:t>
      </w:r>
      <w:r w:rsidR="007C1699">
        <w:rPr>
          <w:rFonts w:ascii="Arial" w:hAnsi="Arial" w:cs="Arial"/>
          <w:sz w:val="24"/>
          <w:szCs w:val="24"/>
        </w:rPr>
        <w:t>BR</w:t>
      </w:r>
      <w:r w:rsidR="00EB3F12" w:rsidRPr="005D1973">
        <w:rPr>
          <w:rFonts w:ascii="Arial" w:hAnsi="Arial" w:cs="Arial"/>
          <w:sz w:val="24"/>
          <w:szCs w:val="24"/>
        </w:rPr>
        <w:t xml:space="preserve">ăilei. </w:t>
      </w:r>
      <w:r w:rsidRPr="005D1973">
        <w:rPr>
          <w:rFonts w:ascii="Arial" w:hAnsi="Arial" w:cs="Arial"/>
          <w:sz w:val="24"/>
          <w:szCs w:val="24"/>
        </w:rPr>
        <w:t xml:space="preserve"> </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În </w:t>
      </w:r>
      <w:r w:rsidR="00274508" w:rsidRPr="005D1973">
        <w:rPr>
          <w:rFonts w:ascii="Arial" w:hAnsi="Arial" w:cs="Arial"/>
          <w:sz w:val="24"/>
          <w:szCs w:val="24"/>
        </w:rPr>
        <w:t xml:space="preserve">anul </w:t>
      </w:r>
      <w:r w:rsidRPr="005D1973">
        <w:rPr>
          <w:rFonts w:ascii="Arial" w:hAnsi="Arial" w:cs="Arial"/>
          <w:sz w:val="24"/>
          <w:szCs w:val="24"/>
        </w:rPr>
        <w:t xml:space="preserve">2013 a fost declarat și situl Ramsar Dunărea Veche </w:t>
      </w:r>
      <w:r w:rsidR="007C1699">
        <w:rPr>
          <w:rFonts w:ascii="Arial" w:hAnsi="Arial" w:cs="Arial"/>
          <w:sz w:val="24"/>
          <w:szCs w:val="24"/>
        </w:rPr>
        <w:t>BR</w:t>
      </w:r>
      <w:r w:rsidRPr="005D1973">
        <w:rPr>
          <w:rFonts w:ascii="Arial" w:hAnsi="Arial" w:cs="Arial"/>
          <w:sz w:val="24"/>
          <w:szCs w:val="24"/>
        </w:rPr>
        <w:t xml:space="preserve">ațul Măcin, (poziţia 2116 pe lista Ramsar) astfel încât județul </w:t>
      </w:r>
      <w:r w:rsidR="00217620">
        <w:rPr>
          <w:rFonts w:ascii="Arial" w:hAnsi="Arial" w:cs="Arial"/>
          <w:sz w:val="24"/>
          <w:szCs w:val="24"/>
        </w:rPr>
        <w:t>Brăila</w:t>
      </w:r>
      <w:r w:rsidRPr="005D1973">
        <w:rPr>
          <w:rFonts w:ascii="Arial" w:hAnsi="Arial" w:cs="Arial"/>
          <w:sz w:val="24"/>
          <w:szCs w:val="24"/>
        </w:rPr>
        <w:t xml:space="preserve"> contribuie semnificativ la conservarea păsărilor migratoare acvatice, pe teritoriul acestuia existând două din cele 12 situri desemnate în România. Acest sit  Ramsar are o suprafață totală de 26792ha  cuprinzând terenuri situate și în județele Tulcea și Constanța. Cu ecosisteme de râuri, lacuri, mlaștini, turbării, stepe, pajiști naturale, terenuri arabile cultivate, păduri de foioase situl asigură condiții de hrană, cuibărit și viețuire pentru mai multe specii de </w:t>
      </w:r>
      <w:hyperlink r:id="rId102" w:tooltip="Păsări migratoare" w:history="1">
        <w:r w:rsidRPr="005D1973">
          <w:rPr>
            <w:rFonts w:ascii="Arial" w:hAnsi="Arial" w:cs="Arial"/>
            <w:sz w:val="24"/>
            <w:szCs w:val="24"/>
          </w:rPr>
          <w:t>păsări migratoare</w:t>
        </w:r>
      </w:hyperlink>
      <w:r w:rsidRPr="005D1973">
        <w:rPr>
          <w:rFonts w:ascii="Arial" w:hAnsi="Arial" w:cs="Arial"/>
          <w:sz w:val="24"/>
          <w:szCs w:val="24"/>
        </w:rPr>
        <w:t>, de pasaj sau sedentare.</w:t>
      </w:r>
    </w:p>
    <w:p w:rsidR="00EE1961" w:rsidRPr="005D1973" w:rsidRDefault="00EE1961" w:rsidP="00C625DB">
      <w:pPr>
        <w:tabs>
          <w:tab w:val="left" w:leader="dot" w:pos="8640"/>
        </w:tabs>
        <w:spacing w:after="0" w:line="240" w:lineRule="auto"/>
        <w:jc w:val="both"/>
        <w:rPr>
          <w:rFonts w:ascii="Arial" w:hAnsi="Arial" w:cs="Arial"/>
          <w:b/>
          <w:bCs/>
          <w:sz w:val="24"/>
          <w:szCs w:val="24"/>
        </w:rPr>
      </w:pPr>
    </w:p>
    <w:p w:rsidR="00EE1961" w:rsidRPr="005D1973" w:rsidRDefault="00EE1961" w:rsidP="00C625DB">
      <w:pPr>
        <w:tabs>
          <w:tab w:val="left" w:leader="dot" w:pos="8640"/>
        </w:tabs>
        <w:spacing w:after="0" w:line="240" w:lineRule="auto"/>
        <w:jc w:val="both"/>
        <w:rPr>
          <w:rFonts w:ascii="Arial" w:hAnsi="Arial" w:cs="Arial"/>
          <w:b/>
          <w:bCs/>
          <w:sz w:val="24"/>
          <w:szCs w:val="24"/>
        </w:rPr>
      </w:pPr>
      <w:r w:rsidRPr="005D1973">
        <w:rPr>
          <w:rFonts w:ascii="Arial" w:hAnsi="Arial" w:cs="Arial"/>
          <w:b/>
          <w:bCs/>
          <w:sz w:val="24"/>
          <w:szCs w:val="24"/>
        </w:rPr>
        <w:t xml:space="preserve">Arii naturale protejate, de interes comunitar </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Conform OUG nr. 57/2007 privind regimul ariilor naturale protejate, conservarea habitatelor naturale, a florei şi faunei sălbatice, aprobată cu modificări şi completări prin Legea nr. 49/2011, cu completările ulterioare</w:t>
      </w:r>
      <w:r w:rsidR="0068294C" w:rsidRPr="005D1973">
        <w:rPr>
          <w:rFonts w:ascii="Arial" w:hAnsi="Arial" w:cs="Arial"/>
          <w:sz w:val="24"/>
          <w:szCs w:val="24"/>
        </w:rPr>
        <w:t>,</w:t>
      </w:r>
      <w:r w:rsidRPr="005D1973">
        <w:rPr>
          <w:rFonts w:ascii="Arial" w:hAnsi="Arial" w:cs="Arial"/>
          <w:sz w:val="24"/>
          <w:szCs w:val="24"/>
        </w:rPr>
        <w:t xml:space="preserve"> ariile naturale protejate de interes comunitar (siturile Natura 2000) sunt reprezentate prin ariile de protecţie specială avifaunistică, siturile de importanţă comunitară şi ariile speciale de conservare. Acestea formează reţeaua Natura 2000 creată la nivelul Uniunii Europene in vederea implementării Directivelor Habitate (Directiva CE 92/43 privind conservarea habitatelor naturale, a florei şi faunei sălbatice) şi Păsări (Directiva CE 2009/147 privind conservarea păsărilor sălbatice). Astfel, această reţea protejează habitatele naturale şi speciile de plante şi animale sălbatice vulnerabile, periclitate, rare sau endemice la nivel european.</w:t>
      </w:r>
    </w:p>
    <w:p w:rsidR="00A71189"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Ariile de protecţie specială avifaunistică (SPA) au drept scop conservarea, mentinerea şi, acolo unde este cazul, readucea într-o stare de conservare favorabilă a tuturor speciilor de păsări şi a habitatelor specifice. Desemnarea acestora în România s-a realizat prin H.G. nr. 1284/2007</w:t>
      </w:r>
      <w:r w:rsidR="00A71189" w:rsidRPr="005D1973">
        <w:rPr>
          <w:rFonts w:ascii="Arial" w:hAnsi="Arial" w:cs="Arial"/>
          <w:sz w:val="24"/>
          <w:szCs w:val="24"/>
        </w:rPr>
        <w:t xml:space="preserve"> cu modificările şi completările ulterioare</w:t>
      </w:r>
      <w:r w:rsidRPr="005D1973">
        <w:rPr>
          <w:rFonts w:ascii="Arial" w:hAnsi="Arial" w:cs="Arial"/>
          <w:sz w:val="24"/>
          <w:szCs w:val="24"/>
        </w:rPr>
        <w:t xml:space="preserve"> </w:t>
      </w:r>
      <w:r w:rsidR="00A71189" w:rsidRPr="005D1973">
        <w:rPr>
          <w:rFonts w:ascii="Arial" w:hAnsi="Arial" w:cs="Arial"/>
          <w:sz w:val="24"/>
          <w:szCs w:val="24"/>
        </w:rPr>
        <w:t xml:space="preserve">și HG 663/2016 privind instituirea </w:t>
      </w:r>
      <w:r w:rsidR="00A71189" w:rsidRPr="005D1973">
        <w:rPr>
          <w:rFonts w:ascii="Arial" w:hAnsi="Arial" w:cs="Arial"/>
          <w:sz w:val="24"/>
          <w:szCs w:val="24"/>
        </w:rPr>
        <w:lastRenderedPageBreak/>
        <w:t>regimului de arie naturală protejată și declararea ariilor de protecţie specială avifaunistică ca parte integrantă a reţelei ecologice europene Natura 2000 în România.</w:t>
      </w:r>
    </w:p>
    <w:p w:rsidR="00A71189" w:rsidRPr="005D1973" w:rsidRDefault="00A71189" w:rsidP="00C625DB">
      <w:pPr>
        <w:pStyle w:val="BodyTextIndent2"/>
        <w:spacing w:after="0" w:line="240" w:lineRule="auto"/>
        <w:ind w:left="0"/>
        <w:jc w:val="both"/>
        <w:rPr>
          <w:rFonts w:ascii="Arial" w:hAnsi="Arial" w:cs="Arial"/>
          <w:lang w:val="ro-RO" w:eastAsia="ro-RO"/>
        </w:rPr>
      </w:pPr>
    </w:p>
    <w:p w:rsidR="00EE1961" w:rsidRPr="005D1973" w:rsidRDefault="00A71189" w:rsidP="00C625DB">
      <w:pPr>
        <w:spacing w:after="0" w:line="240" w:lineRule="auto"/>
        <w:ind w:firstLine="426"/>
        <w:jc w:val="both"/>
        <w:rPr>
          <w:rFonts w:ascii="Arial" w:hAnsi="Arial" w:cs="Arial"/>
          <w:sz w:val="24"/>
          <w:szCs w:val="24"/>
        </w:rPr>
      </w:pPr>
      <w:r w:rsidRPr="005D1973">
        <w:rPr>
          <w:rFonts w:ascii="Arial" w:hAnsi="Arial" w:cs="Arial"/>
          <w:sz w:val="24"/>
          <w:szCs w:val="24"/>
        </w:rPr>
        <w:t xml:space="preserve">Astfel, pe </w:t>
      </w:r>
      <w:r w:rsidR="00EE1961" w:rsidRPr="005D1973">
        <w:rPr>
          <w:rFonts w:ascii="Arial" w:hAnsi="Arial" w:cs="Arial"/>
          <w:sz w:val="24"/>
          <w:szCs w:val="24"/>
        </w:rPr>
        <w:t xml:space="preserve">teritoriul judeţului </w:t>
      </w:r>
      <w:r w:rsidR="00217620">
        <w:rPr>
          <w:rFonts w:ascii="Arial" w:hAnsi="Arial" w:cs="Arial"/>
          <w:sz w:val="24"/>
          <w:szCs w:val="24"/>
        </w:rPr>
        <w:t>Brăila</w:t>
      </w:r>
      <w:r w:rsidR="00EE1961" w:rsidRPr="005D1973">
        <w:rPr>
          <w:rFonts w:ascii="Arial" w:hAnsi="Arial" w:cs="Arial"/>
          <w:sz w:val="24"/>
          <w:szCs w:val="24"/>
        </w:rPr>
        <w:t xml:space="preserve"> sunt desemnate </w:t>
      </w:r>
      <w:r w:rsidRPr="005D1973">
        <w:rPr>
          <w:rFonts w:ascii="Arial" w:hAnsi="Arial" w:cs="Arial"/>
          <w:sz w:val="24"/>
          <w:szCs w:val="24"/>
        </w:rPr>
        <w:t xml:space="preserve">10 </w:t>
      </w:r>
      <w:r w:rsidR="00EE1961" w:rsidRPr="005D1973">
        <w:rPr>
          <w:rFonts w:ascii="Arial" w:hAnsi="Arial" w:cs="Arial"/>
          <w:sz w:val="24"/>
          <w:szCs w:val="24"/>
        </w:rPr>
        <w:t xml:space="preserve">arii de protecţie specială avifaunistică, totalizând o suprafaţă de </w:t>
      </w:r>
      <w:smartTag w:uri="urn:schemas-microsoft-com:office:smarttags" w:element="metricconverter">
        <w:smartTagPr>
          <w:attr w:name="ProductID" w:val="59788,37 ha"/>
        </w:smartTagPr>
        <w:r w:rsidR="00EE1961" w:rsidRPr="005D1973">
          <w:rPr>
            <w:rFonts w:ascii="Arial" w:hAnsi="Arial" w:cs="Arial"/>
            <w:sz w:val="24"/>
            <w:szCs w:val="24"/>
          </w:rPr>
          <w:t>59788,37 ha</w:t>
        </w:r>
      </w:smartTag>
      <w:r w:rsidR="00EE1961" w:rsidRPr="005D1973">
        <w:rPr>
          <w:rFonts w:ascii="Arial" w:hAnsi="Arial" w:cs="Arial"/>
          <w:sz w:val="24"/>
          <w:szCs w:val="24"/>
        </w:rPr>
        <w:t xml:space="preserve"> şi reprezentând 12,54% din suprafaţa judeţului, aşa cum se poate observa în tabelul nr. V.2.1-2:</w:t>
      </w:r>
    </w:p>
    <w:p w:rsidR="002442D1" w:rsidRDefault="002442D1" w:rsidP="00C625DB">
      <w:pPr>
        <w:pStyle w:val="BodyTextIndent2"/>
        <w:spacing w:after="0" w:line="240" w:lineRule="auto"/>
        <w:ind w:left="0"/>
        <w:jc w:val="both"/>
        <w:rPr>
          <w:rFonts w:ascii="Arial" w:hAnsi="Arial" w:cs="Arial"/>
          <w:b/>
        </w:rPr>
      </w:pPr>
    </w:p>
    <w:p w:rsidR="00EE1961" w:rsidRPr="002442D1" w:rsidRDefault="00EE1961" w:rsidP="00C625DB">
      <w:pPr>
        <w:pStyle w:val="BodyTextIndent2"/>
        <w:spacing w:after="0" w:line="240" w:lineRule="auto"/>
        <w:ind w:left="0"/>
        <w:jc w:val="both"/>
        <w:rPr>
          <w:rStyle w:val="tpa1"/>
          <w:rFonts w:ascii="Arial" w:hAnsi="Arial" w:cs="Arial"/>
        </w:rPr>
      </w:pPr>
      <w:r w:rsidRPr="002442D1">
        <w:rPr>
          <w:rFonts w:ascii="Arial" w:hAnsi="Arial" w:cs="Arial"/>
        </w:rPr>
        <w:t>Tabel nr. V.2.1-</w:t>
      </w:r>
      <w:r w:rsidR="00464BFA" w:rsidRPr="002442D1">
        <w:rPr>
          <w:rFonts w:ascii="Arial" w:hAnsi="Arial" w:cs="Arial"/>
        </w:rPr>
        <w:t xml:space="preserve"> </w:t>
      </w:r>
      <w:r w:rsidRPr="002442D1">
        <w:rPr>
          <w:rFonts w:ascii="Arial" w:hAnsi="Arial" w:cs="Arial"/>
        </w:rPr>
        <w:t>2</w:t>
      </w:r>
      <w:r w:rsidRPr="002442D1">
        <w:rPr>
          <w:rFonts w:ascii="Arial" w:hAnsi="Arial" w:cs="Arial"/>
          <w:lang w:val="ro-RO" w:eastAsia="ro-RO"/>
        </w:rPr>
        <w:t xml:space="preserve">. - Arii de protecţie specială avifaunistică din judeţul </w:t>
      </w:r>
      <w:r w:rsidR="00217620" w:rsidRPr="002442D1">
        <w:rPr>
          <w:rFonts w:ascii="Arial" w:hAnsi="Arial" w:cs="Arial"/>
          <w:lang w:val="ro-RO" w:eastAsia="ro-RO"/>
        </w:rPr>
        <w:t>Brăila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1E0"/>
      </w:tblPr>
      <w:tblGrid>
        <w:gridCol w:w="567"/>
        <w:gridCol w:w="1990"/>
        <w:gridCol w:w="1620"/>
        <w:gridCol w:w="1323"/>
        <w:gridCol w:w="1329"/>
        <w:gridCol w:w="3094"/>
      </w:tblGrid>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b/>
              </w:rPr>
            </w:pPr>
            <w:r w:rsidRPr="005D1973">
              <w:rPr>
                <w:rFonts w:ascii="Arial" w:hAnsi="Arial" w:cs="Arial"/>
                <w:b/>
              </w:rPr>
              <w:t>Nr. crt.</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b/>
              </w:rPr>
            </w:pPr>
            <w:r w:rsidRPr="005D1973">
              <w:rPr>
                <w:rFonts w:ascii="Arial" w:hAnsi="Arial" w:cs="Arial"/>
                <w:b/>
              </w:rPr>
              <w:t>Denumire</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b/>
              </w:rPr>
            </w:pPr>
            <w:r w:rsidRPr="005D1973">
              <w:rPr>
                <w:rFonts w:ascii="Arial" w:hAnsi="Arial" w:cs="Arial"/>
                <w:b/>
              </w:rPr>
              <w:t>Cod</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b/>
              </w:rPr>
            </w:pPr>
            <w:r w:rsidRPr="005D1973">
              <w:rPr>
                <w:rFonts w:ascii="Arial" w:hAnsi="Arial" w:cs="Arial"/>
                <w:b/>
              </w:rPr>
              <w:t>Suprafaţă totală a ariei</w:t>
            </w:r>
          </w:p>
          <w:p w:rsidR="00EE1961" w:rsidRPr="005D1973" w:rsidRDefault="00EE1961" w:rsidP="00C625DB">
            <w:pPr>
              <w:pStyle w:val="BodyTextIndent2"/>
              <w:spacing w:after="0" w:line="240" w:lineRule="auto"/>
              <w:ind w:left="0"/>
              <w:jc w:val="center"/>
              <w:rPr>
                <w:rFonts w:ascii="Arial" w:hAnsi="Arial" w:cs="Arial"/>
                <w:b/>
              </w:rPr>
            </w:pPr>
            <w:r w:rsidRPr="005D1973">
              <w:rPr>
                <w:rFonts w:ascii="Arial" w:hAnsi="Arial" w:cs="Arial"/>
                <w:b/>
              </w:rPr>
              <w:t>(ha)</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b/>
                <w:lang w:val="es-ES"/>
              </w:rPr>
            </w:pPr>
            <w:r w:rsidRPr="005D1973">
              <w:rPr>
                <w:rFonts w:ascii="Arial" w:hAnsi="Arial" w:cs="Arial"/>
                <w:b/>
                <w:lang w:val="es-ES"/>
              </w:rPr>
              <w:t>Suprafaţa (ha)</w:t>
            </w:r>
          </w:p>
          <w:p w:rsidR="00EE1961" w:rsidRPr="005D1973" w:rsidRDefault="00EE1961" w:rsidP="00C625DB">
            <w:pPr>
              <w:pStyle w:val="BodyTextIndent2"/>
              <w:spacing w:after="0" w:line="240" w:lineRule="auto"/>
              <w:ind w:left="0"/>
              <w:jc w:val="center"/>
              <w:rPr>
                <w:rFonts w:ascii="Arial" w:hAnsi="Arial" w:cs="Arial"/>
                <w:b/>
                <w:lang w:val="es-ES"/>
              </w:rPr>
            </w:pPr>
            <w:r w:rsidRPr="005D1973">
              <w:rPr>
                <w:rFonts w:ascii="Arial" w:hAnsi="Arial" w:cs="Arial"/>
                <w:b/>
                <w:lang w:val="es-ES"/>
              </w:rPr>
              <w:t>la nivelul judeţului</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b/>
              </w:rPr>
            </w:pPr>
            <w:r w:rsidRPr="005D1973">
              <w:rPr>
                <w:rFonts w:ascii="Arial" w:hAnsi="Arial" w:cs="Arial"/>
                <w:b/>
              </w:rPr>
              <w:t xml:space="preserve">Unităţi administrativ teritoriale din judeţul </w:t>
            </w:r>
            <w:r w:rsidR="00217620">
              <w:rPr>
                <w:rFonts w:ascii="Arial" w:hAnsi="Arial" w:cs="Arial"/>
                <w:b/>
              </w:rPr>
              <w:t>Brăila</w:t>
            </w:r>
            <w:r w:rsidRPr="005D1973">
              <w:rPr>
                <w:rFonts w:ascii="Arial" w:hAnsi="Arial" w:cs="Arial"/>
                <w:b/>
              </w:rPr>
              <w:t xml:space="preserve"> în care este localizată aria</w:t>
            </w:r>
          </w:p>
        </w:tc>
      </w:tr>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1.</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lang w:val="it-IT" w:eastAsia="ro-RO"/>
              </w:rPr>
              <w:t>Balta Albă-Amara-Jirlău</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lang w:val="it-IT" w:eastAsia="ro-RO"/>
              </w:rPr>
              <w:t>ROSPA0004</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2023</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1213,8</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Galbenu, Gradiştea, Jirlău, Vişani</w:t>
            </w:r>
          </w:p>
        </w:tc>
      </w:tr>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2.</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 xml:space="preserve">Balta Mică a </w:t>
            </w:r>
            <w:r w:rsidR="007C1699">
              <w:rPr>
                <w:rFonts w:ascii="Arial" w:hAnsi="Arial" w:cs="Arial"/>
                <w:lang w:val="it-IT" w:eastAsia="ro-RO"/>
              </w:rPr>
              <w:t>BR</w:t>
            </w:r>
            <w:r w:rsidRPr="005D1973">
              <w:rPr>
                <w:rFonts w:ascii="Arial" w:hAnsi="Arial" w:cs="Arial"/>
                <w:lang w:val="it-IT" w:eastAsia="ro-RO"/>
              </w:rPr>
              <w:t>ăilei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ROSPA0005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25856</w:t>
            </w:r>
          </w:p>
          <w:p w:rsidR="00EE1961" w:rsidRPr="005D1973" w:rsidRDefault="00EE1961" w:rsidP="00C625DB">
            <w:pPr>
              <w:pStyle w:val="BodyTextIndent2"/>
              <w:spacing w:after="0" w:line="240" w:lineRule="auto"/>
              <w:ind w:left="0"/>
              <w:jc w:val="center"/>
              <w:rPr>
                <w:rFonts w:ascii="Arial" w:hAnsi="Arial" w:cs="Arial"/>
              </w:rPr>
            </w:pP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24821,76</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217620" w:rsidP="00C625DB">
            <w:pPr>
              <w:pStyle w:val="BodyTextIndent2"/>
              <w:spacing w:after="0" w:line="240" w:lineRule="auto"/>
              <w:ind w:left="0"/>
              <w:rPr>
                <w:rFonts w:ascii="Arial" w:hAnsi="Arial" w:cs="Arial"/>
              </w:rPr>
            </w:pPr>
            <w:r>
              <w:rPr>
                <w:rFonts w:ascii="Arial" w:hAnsi="Arial" w:cs="Arial"/>
              </w:rPr>
              <w:t>Brăila</w:t>
            </w:r>
            <w:r w:rsidR="00DE5170" w:rsidRPr="005D1973">
              <w:rPr>
                <w:rFonts w:ascii="Arial" w:hAnsi="Arial" w:cs="Arial"/>
              </w:rPr>
              <w:t xml:space="preserve">, Chiscani, Gropeni, Tichilești, </w:t>
            </w:r>
            <w:r w:rsidR="00EE1961" w:rsidRPr="005D1973">
              <w:rPr>
                <w:rFonts w:ascii="Arial" w:hAnsi="Arial" w:cs="Arial"/>
              </w:rPr>
              <w:t>Berteştii de Jos, Stăncuţa</w:t>
            </w:r>
            <w:r w:rsidR="00DE5170" w:rsidRPr="005D1973">
              <w:rPr>
                <w:rFonts w:ascii="Arial" w:hAnsi="Arial" w:cs="Arial"/>
              </w:rPr>
              <w:t>,  Măraşu</w:t>
            </w:r>
          </w:p>
        </w:tc>
      </w:tr>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3.</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Balta Tătaru</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ROSPA0006</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9981</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8583,66</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Bărăganul, Ciocile, Cireşu, Dudeşti, Roşiori, Ulmu, Însurăţei</w:t>
            </w:r>
          </w:p>
        </w:tc>
      </w:tr>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4.</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Dunărea Veche-</w:t>
            </w:r>
            <w:r w:rsidR="007C1699">
              <w:rPr>
                <w:rFonts w:ascii="Arial" w:hAnsi="Arial" w:cs="Arial"/>
                <w:lang w:val="it-IT" w:eastAsia="ro-RO"/>
              </w:rPr>
              <w:t>BR</w:t>
            </w:r>
            <w:r w:rsidRPr="005D1973">
              <w:rPr>
                <w:rFonts w:ascii="Arial" w:hAnsi="Arial" w:cs="Arial"/>
                <w:lang w:val="it-IT" w:eastAsia="ro-RO"/>
              </w:rPr>
              <w:t>aţul Măcin</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ROSPA0040</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18759</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6228,05</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Frecăţei, Măraşu</w:t>
            </w:r>
          </w:p>
        </w:tc>
      </w:tr>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5.</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Ianca-Plopu-Sărat</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ROSPA0048</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1982</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1982</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lang w:val="pt-BR"/>
              </w:rPr>
            </w:pPr>
            <w:r w:rsidRPr="005D1973">
              <w:rPr>
                <w:rFonts w:ascii="Arial" w:hAnsi="Arial" w:cs="Arial"/>
                <w:lang w:val="pt-BR"/>
              </w:rPr>
              <w:t>Ianca, Movila Miresii, Traian, Gemenele, Tudor Vladimirescu</w:t>
            </w:r>
          </w:p>
        </w:tc>
      </w:tr>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6.</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Lunca Siretului Inferior</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ROSPA0071</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36492</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1824,6</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Măxineni, Siliştea, Vădeni</w:t>
            </w:r>
          </w:p>
        </w:tc>
      </w:tr>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7.</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Măxineni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ROSPA0077</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1504</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1504</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Măxineni</w:t>
            </w:r>
          </w:p>
        </w:tc>
      </w:tr>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8.</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Berteştii de Sus - Gura Ialomiţei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ROSPA0111</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6890</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2962,7</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Berteştii de Jos, Victoria, Însurăţei</w:t>
            </w:r>
          </w:p>
        </w:tc>
      </w:tr>
      <w:tr w:rsidR="00EE1961"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9.</w:t>
            </w: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Valea Călmăţuiului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ROSPA0145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jc w:val="center"/>
              <w:rPr>
                <w:rFonts w:ascii="Arial" w:hAnsi="Arial" w:cs="Arial"/>
                <w:sz w:val="24"/>
                <w:szCs w:val="24"/>
              </w:rPr>
            </w:pPr>
            <w:r w:rsidRPr="005D1973">
              <w:rPr>
                <w:rFonts w:ascii="Arial" w:hAnsi="Arial" w:cs="Arial"/>
                <w:sz w:val="24"/>
                <w:szCs w:val="24"/>
              </w:rPr>
              <w:t>20515</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jc w:val="center"/>
              <w:rPr>
                <w:rFonts w:ascii="Arial" w:hAnsi="Arial" w:cs="Arial"/>
              </w:rPr>
            </w:pPr>
            <w:r w:rsidRPr="005D1973">
              <w:rPr>
                <w:rFonts w:ascii="Arial" w:hAnsi="Arial" w:cs="Arial"/>
              </w:rPr>
              <w:t>10667,8</w:t>
            </w: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Bordei Verde, Cireşu, Însurăţei, Surdila-Greci, Ulmu, Zăvoaia, Dudeşti</w:t>
            </w:r>
          </w:p>
        </w:tc>
      </w:tr>
      <w:tr w:rsidR="00A94DED"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A94DED" w:rsidP="00C625DB">
            <w:pPr>
              <w:pStyle w:val="BodyTextIndent2"/>
              <w:spacing w:after="0" w:line="240" w:lineRule="auto"/>
              <w:ind w:left="0"/>
              <w:rPr>
                <w:rFonts w:ascii="Arial" w:hAnsi="Arial" w:cs="Arial"/>
              </w:rPr>
            </w:pPr>
            <w:r w:rsidRPr="005D1973">
              <w:rPr>
                <w:rFonts w:ascii="Arial" w:hAnsi="Arial" w:cs="Arial"/>
              </w:rPr>
              <w:t>10</w:t>
            </w:r>
          </w:p>
          <w:p w:rsidR="00A94DED" w:rsidRPr="005D1973" w:rsidRDefault="00A94DED" w:rsidP="00C625DB">
            <w:pPr>
              <w:pStyle w:val="BodyTextIndent2"/>
              <w:spacing w:after="0" w:line="240" w:lineRule="auto"/>
              <w:ind w:left="0"/>
              <w:rPr>
                <w:rFonts w:ascii="Arial" w:hAnsi="Arial" w:cs="Arial"/>
              </w:rPr>
            </w:pP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A94DED" w:rsidP="00C625DB">
            <w:pPr>
              <w:spacing w:after="0" w:line="240" w:lineRule="auto"/>
              <w:rPr>
                <w:rFonts w:ascii="Arial" w:hAnsi="Arial" w:cs="Arial"/>
                <w:sz w:val="24"/>
                <w:szCs w:val="24"/>
              </w:rPr>
            </w:pPr>
            <w:r w:rsidRPr="005D1973">
              <w:rPr>
                <w:rFonts w:ascii="Arial" w:hAnsi="Arial" w:cs="Arial"/>
                <w:sz w:val="24"/>
                <w:szCs w:val="24"/>
              </w:rPr>
              <w:t>Lunca Buzăului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A94DED" w:rsidP="00C625DB">
            <w:pPr>
              <w:spacing w:after="0" w:line="240" w:lineRule="auto"/>
              <w:rPr>
                <w:rFonts w:ascii="Arial" w:hAnsi="Arial" w:cs="Arial"/>
                <w:sz w:val="24"/>
                <w:szCs w:val="24"/>
              </w:rPr>
            </w:pPr>
            <w:r w:rsidRPr="005D1973">
              <w:rPr>
                <w:rFonts w:ascii="Arial" w:eastAsia="Times New Roman" w:hAnsi="Arial" w:cs="Arial"/>
                <w:sz w:val="24"/>
                <w:szCs w:val="24"/>
              </w:rPr>
              <w:t>ROSPA0160</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0C7034" w:rsidP="00C625DB">
            <w:pPr>
              <w:spacing w:after="0" w:line="240" w:lineRule="auto"/>
              <w:jc w:val="center"/>
              <w:rPr>
                <w:rFonts w:ascii="Arial" w:hAnsi="Arial" w:cs="Arial"/>
                <w:sz w:val="24"/>
                <w:szCs w:val="24"/>
              </w:rPr>
            </w:pPr>
            <w:r w:rsidRPr="005D1973">
              <w:rPr>
                <w:rFonts w:ascii="Arial" w:hAnsi="Arial" w:cs="Arial"/>
                <w:sz w:val="24"/>
                <w:szCs w:val="24"/>
              </w:rPr>
              <w:t>9575</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A94DED" w:rsidP="00C625DB">
            <w:pPr>
              <w:pStyle w:val="BodyTextIndent2"/>
              <w:spacing w:after="0" w:line="240" w:lineRule="auto"/>
              <w:ind w:left="0"/>
              <w:jc w:val="center"/>
              <w:rPr>
                <w:rFonts w:ascii="Arial" w:hAnsi="Arial" w:cs="Arial"/>
              </w:rPr>
            </w:pP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94DED" w:rsidRPr="005D1973" w:rsidRDefault="000C7034" w:rsidP="00C625DB">
            <w:pPr>
              <w:pStyle w:val="BodyTextIndent2"/>
              <w:spacing w:after="0" w:line="240" w:lineRule="auto"/>
              <w:ind w:left="0"/>
              <w:rPr>
                <w:rFonts w:ascii="Arial" w:hAnsi="Arial" w:cs="Arial"/>
              </w:rPr>
            </w:pPr>
            <w:r w:rsidRPr="005D1973">
              <w:rPr>
                <w:rFonts w:ascii="Arial" w:hAnsi="Arial" w:cs="Arial"/>
              </w:rPr>
              <w:t>Făurei, Grădiştea, Jirlău, Racoviţa, Râmnicelu, Surdila-Greci, Şuţeşti, Vişani</w:t>
            </w:r>
          </w:p>
        </w:tc>
      </w:tr>
      <w:tr w:rsidR="00A94DED" w:rsidRPr="005D1973" w:rsidTr="00543526">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A94DED" w:rsidP="00C625DB">
            <w:pPr>
              <w:pStyle w:val="BodyTextIndent2"/>
              <w:spacing w:after="0" w:line="240" w:lineRule="auto"/>
              <w:ind w:left="0"/>
              <w:rPr>
                <w:rFonts w:ascii="Arial" w:hAnsi="Arial" w:cs="Arial"/>
              </w:rPr>
            </w:pPr>
          </w:p>
        </w:tc>
        <w:tc>
          <w:tcPr>
            <w:tcW w:w="1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A94DED" w:rsidP="00C625DB">
            <w:pPr>
              <w:spacing w:after="0" w:line="240" w:lineRule="auto"/>
              <w:rPr>
                <w:rFonts w:ascii="Arial" w:hAnsi="Arial" w:cs="Arial"/>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A94DED" w:rsidP="00C625DB">
            <w:pPr>
              <w:spacing w:after="0" w:line="240" w:lineRule="auto"/>
              <w:rPr>
                <w:rFonts w:ascii="Arial" w:hAnsi="Arial" w:cs="Arial"/>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A94DED" w:rsidP="00C625DB">
            <w:pPr>
              <w:spacing w:after="0" w:line="240" w:lineRule="auto"/>
              <w:jc w:val="center"/>
              <w:rPr>
                <w:rFonts w:ascii="Arial" w:hAnsi="Arial" w:cs="Arial"/>
                <w:sz w:val="24"/>
                <w:szCs w:val="24"/>
              </w:rPr>
            </w:pP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94DED" w:rsidRPr="005D1973" w:rsidRDefault="00A94DED" w:rsidP="00C625DB">
            <w:pPr>
              <w:pStyle w:val="BodyTextIndent2"/>
              <w:spacing w:after="0" w:line="240" w:lineRule="auto"/>
              <w:ind w:left="0"/>
              <w:jc w:val="center"/>
              <w:rPr>
                <w:rFonts w:ascii="Arial" w:hAnsi="Arial" w:cs="Arial"/>
              </w:rPr>
            </w:pPr>
          </w:p>
        </w:tc>
        <w:tc>
          <w:tcPr>
            <w:tcW w:w="309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94DED" w:rsidRPr="005D1973" w:rsidRDefault="00A94DED" w:rsidP="00C625DB">
            <w:pPr>
              <w:pStyle w:val="BodyTextIndent2"/>
              <w:spacing w:after="0" w:line="240" w:lineRule="auto"/>
              <w:ind w:left="0"/>
              <w:rPr>
                <w:rFonts w:ascii="Arial" w:hAnsi="Arial" w:cs="Arial"/>
              </w:rPr>
            </w:pPr>
          </w:p>
        </w:tc>
      </w:tr>
    </w:tbl>
    <w:p w:rsidR="00EE1961" w:rsidRPr="005D1973" w:rsidRDefault="00EE1961" w:rsidP="00C625DB">
      <w:pPr>
        <w:pStyle w:val="BodyTextIndent2"/>
        <w:spacing w:after="0" w:line="240" w:lineRule="auto"/>
        <w:ind w:left="0"/>
        <w:jc w:val="both"/>
        <w:rPr>
          <w:rFonts w:ascii="Arial" w:hAnsi="Arial" w:cs="Arial"/>
        </w:rPr>
      </w:pPr>
    </w:p>
    <w:p w:rsidR="00EE1961" w:rsidRPr="005D1973" w:rsidRDefault="00EE1961" w:rsidP="00C625DB">
      <w:pPr>
        <w:spacing w:after="0" w:line="240" w:lineRule="auto"/>
        <w:jc w:val="both"/>
        <w:rPr>
          <w:rFonts w:ascii="Arial" w:hAnsi="Arial" w:cs="Arial"/>
          <w:i/>
          <w:sz w:val="24"/>
          <w:szCs w:val="24"/>
          <w:u w:val="single"/>
        </w:rPr>
      </w:pP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Siturile de importanţă comunitară (SCI) reprezintă acele arii care, în regiunea sau în regiunile biogeografice în care există, contribuie semnificativ la menţinerea sau restaurarea la o stare de conservare favorabilă a habitatelor naturale sau a speciilor de interes comunitar şi care pot contribui astfel semnificativ la coerenţa reţelei "NATURA 2000" şi/sau contribuie semnificativ la menţinerea diversităţii biologice în regiunea ori regiunile biogeografice respective. Pentru speciile de animale cu areal larg de raspândire, siturile de importanţă comunitară ar trebui să corespundă zonelor din areal în care sunt prezenţi factori abiotici şi biotici esenţiali pentru existenţa şi reproducerea acestor specii.</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În România au fost desemnate prin Ord. M.M.D.D. nr. 1964/2007 privind instituirea regimului de arie naturală protejată a siturilor de importanţă comunitară, ca parte integrantă a reţelei ecologice europene Natura 2000 în România, cu modificările şi completările ulterioare - Ord. MMP 2387/2011</w:t>
      </w:r>
      <w:r w:rsidR="00E8083F" w:rsidRPr="005D1973">
        <w:rPr>
          <w:rFonts w:ascii="Arial" w:hAnsi="Arial" w:cs="Arial"/>
          <w:sz w:val="24"/>
          <w:szCs w:val="24"/>
        </w:rPr>
        <w:t xml:space="preserve"> și Ord. MMAP nr. 46/2016 privind instituirea regimului de arie naturală protejată şi declararea siturilor de importanţă comunitară ca parte integrantă a reţelei ecologice europene Natura 2000 în România, </w:t>
      </w:r>
      <w:r w:rsidRPr="005D1973">
        <w:rPr>
          <w:rFonts w:ascii="Arial" w:hAnsi="Arial" w:cs="Arial"/>
          <w:sz w:val="24"/>
          <w:szCs w:val="24"/>
        </w:rPr>
        <w:t xml:space="preserve">În baza recunoaşterii lor de către </w:t>
      </w:r>
      <w:r w:rsidRPr="005D1973">
        <w:rPr>
          <w:rFonts w:ascii="Arial" w:hAnsi="Arial" w:cs="Arial"/>
          <w:sz w:val="24"/>
          <w:szCs w:val="24"/>
        </w:rPr>
        <w:lastRenderedPageBreak/>
        <w:t>Comisia Europeană, siturile de importanţă comunitară vor fi declarate arii speciale de conservare prin hotărâre de guvern. Acestea au scopul de a conserva, menţine şi, acolo unde este cazul, de a readuce într-o stare de conservare favorabilă habitatele şi speciile de interes comunitar pentru care au fost desemnate</w:t>
      </w:r>
      <w:r w:rsidR="000E6941" w:rsidRPr="005D1973">
        <w:rPr>
          <w:rFonts w:ascii="Arial" w:hAnsi="Arial" w:cs="Arial"/>
          <w:sz w:val="24"/>
          <w:szCs w:val="24"/>
        </w:rPr>
        <w:t>.</w:t>
      </w:r>
    </w:p>
    <w:p w:rsidR="00EE1961" w:rsidRPr="005D1973" w:rsidRDefault="00EE1961" w:rsidP="00C625DB">
      <w:pPr>
        <w:spacing w:after="0" w:line="240" w:lineRule="auto"/>
        <w:ind w:firstLine="426"/>
        <w:jc w:val="both"/>
        <w:rPr>
          <w:rFonts w:ascii="Arial" w:hAnsi="Arial" w:cs="Arial"/>
          <w:sz w:val="24"/>
          <w:szCs w:val="24"/>
        </w:rPr>
      </w:pPr>
      <w:r w:rsidRPr="005D1973">
        <w:rPr>
          <w:rFonts w:ascii="Arial" w:hAnsi="Arial" w:cs="Arial"/>
          <w:sz w:val="24"/>
          <w:szCs w:val="24"/>
        </w:rPr>
        <w:t xml:space="preserve">Pe teritoriul judeţului </w:t>
      </w:r>
      <w:r w:rsidR="00217620">
        <w:rPr>
          <w:rFonts w:ascii="Arial" w:hAnsi="Arial" w:cs="Arial"/>
          <w:sz w:val="24"/>
          <w:szCs w:val="24"/>
        </w:rPr>
        <w:t>Brăila</w:t>
      </w:r>
      <w:r w:rsidRPr="005D1973">
        <w:rPr>
          <w:rFonts w:ascii="Arial" w:hAnsi="Arial" w:cs="Arial"/>
          <w:sz w:val="24"/>
          <w:szCs w:val="24"/>
        </w:rPr>
        <w:t xml:space="preserve"> au fost declarate 9 situri de importanţă comunitară, totalizând o suprafaţă de </w:t>
      </w:r>
      <w:smartTag w:uri="urn:schemas-microsoft-com:office:smarttags" w:element="metricconverter">
        <w:smartTagPr>
          <w:attr w:name="ProductID" w:val="43318,74 ha"/>
        </w:smartTagPr>
        <w:r w:rsidRPr="005D1973">
          <w:rPr>
            <w:rFonts w:ascii="Arial" w:hAnsi="Arial" w:cs="Arial"/>
            <w:sz w:val="24"/>
            <w:szCs w:val="24"/>
          </w:rPr>
          <w:t>43318,74 ha</w:t>
        </w:r>
      </w:smartTag>
      <w:r w:rsidRPr="005D1973">
        <w:rPr>
          <w:rFonts w:ascii="Arial" w:hAnsi="Arial" w:cs="Arial"/>
          <w:sz w:val="24"/>
          <w:szCs w:val="24"/>
        </w:rPr>
        <w:t xml:space="preserve"> şi reprezentând 9,08% din suprafaţa judeţului, aşa cum se poate observa în tabelul nr. tabelul nr. V.2.1-3.:</w:t>
      </w:r>
    </w:p>
    <w:p w:rsidR="00EE1961" w:rsidRPr="005D1973" w:rsidRDefault="00EE1961" w:rsidP="00C625DB">
      <w:pPr>
        <w:spacing w:after="0" w:line="240" w:lineRule="auto"/>
        <w:jc w:val="both"/>
        <w:rPr>
          <w:rFonts w:ascii="Arial" w:hAnsi="Arial" w:cs="Arial"/>
          <w:sz w:val="24"/>
          <w:szCs w:val="24"/>
        </w:rPr>
      </w:pPr>
    </w:p>
    <w:p w:rsidR="00EE1961" w:rsidRPr="002442D1" w:rsidRDefault="00EE1961" w:rsidP="00C625DB">
      <w:pPr>
        <w:pStyle w:val="BodyTextIndent2"/>
        <w:spacing w:after="0" w:line="240" w:lineRule="auto"/>
        <w:ind w:left="0"/>
        <w:jc w:val="both"/>
        <w:rPr>
          <w:rStyle w:val="tpa1"/>
          <w:rFonts w:ascii="Arial" w:hAnsi="Arial" w:cs="Arial"/>
        </w:rPr>
      </w:pPr>
      <w:r w:rsidRPr="002442D1">
        <w:rPr>
          <w:rFonts w:ascii="Arial" w:hAnsi="Arial" w:cs="Arial"/>
        </w:rPr>
        <w:t xml:space="preserve">Tabel nr. V.2.1- 3. - </w:t>
      </w:r>
      <w:r w:rsidRPr="002442D1">
        <w:rPr>
          <w:rFonts w:ascii="Arial" w:hAnsi="Arial" w:cs="Arial"/>
          <w:lang w:eastAsia="ro-RO"/>
        </w:rPr>
        <w:t xml:space="preserve">Situri de importanţă comunitară din judeţul </w:t>
      </w:r>
      <w:r w:rsidR="00217620" w:rsidRPr="002442D1">
        <w:rPr>
          <w:rFonts w:ascii="Arial" w:hAnsi="Arial" w:cs="Arial"/>
          <w:lang w:eastAsia="ro-RO"/>
        </w:rPr>
        <w:t>Brăila</w:t>
      </w:r>
    </w:p>
    <w:tbl>
      <w:tblPr>
        <w:tblW w:w="1005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1E0"/>
      </w:tblPr>
      <w:tblGrid>
        <w:gridCol w:w="658"/>
        <w:gridCol w:w="1610"/>
        <w:gridCol w:w="1512"/>
        <w:gridCol w:w="1281"/>
        <w:gridCol w:w="1313"/>
        <w:gridCol w:w="3677"/>
      </w:tblGrid>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b/>
              </w:rPr>
            </w:pPr>
            <w:r w:rsidRPr="005D1973">
              <w:rPr>
                <w:rFonts w:ascii="Arial" w:hAnsi="Arial" w:cs="Arial"/>
                <w:b/>
              </w:rPr>
              <w:t>Nr. crt.</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b/>
              </w:rPr>
            </w:pPr>
            <w:r w:rsidRPr="005D1973">
              <w:rPr>
                <w:rFonts w:ascii="Arial" w:hAnsi="Arial" w:cs="Arial"/>
                <w:b/>
              </w:rPr>
              <w:t>Denumire</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b/>
              </w:rPr>
            </w:pPr>
            <w:r w:rsidRPr="005D1973">
              <w:rPr>
                <w:rFonts w:ascii="Arial" w:hAnsi="Arial" w:cs="Arial"/>
                <w:b/>
              </w:rPr>
              <w:t>Cod</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b/>
              </w:rPr>
            </w:pPr>
            <w:r w:rsidRPr="005D1973">
              <w:rPr>
                <w:rFonts w:ascii="Arial" w:hAnsi="Arial" w:cs="Arial"/>
                <w:b/>
              </w:rPr>
              <w:t>Suprafaţă totală a sitului</w:t>
            </w:r>
          </w:p>
          <w:p w:rsidR="00EE1961" w:rsidRPr="005D1973" w:rsidRDefault="00EE1961" w:rsidP="00C625DB">
            <w:pPr>
              <w:pStyle w:val="BodyTextIndent2"/>
              <w:spacing w:after="0" w:line="240" w:lineRule="auto"/>
              <w:ind w:left="0"/>
              <w:rPr>
                <w:rFonts w:ascii="Arial" w:hAnsi="Arial" w:cs="Arial"/>
                <w:b/>
              </w:rPr>
            </w:pPr>
            <w:r w:rsidRPr="005D1973">
              <w:rPr>
                <w:rFonts w:ascii="Arial" w:hAnsi="Arial" w:cs="Arial"/>
                <w:b/>
              </w:rPr>
              <w:t>(ha)</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b/>
                <w:lang w:val="es-ES"/>
              </w:rPr>
            </w:pPr>
            <w:r w:rsidRPr="005D1973">
              <w:rPr>
                <w:rFonts w:ascii="Arial" w:hAnsi="Arial" w:cs="Arial"/>
                <w:b/>
                <w:lang w:val="es-ES"/>
              </w:rPr>
              <w:t>Suprafaţa (ha)</w:t>
            </w:r>
          </w:p>
          <w:p w:rsidR="00EE1961" w:rsidRPr="005D1973" w:rsidRDefault="00EE1961" w:rsidP="00C625DB">
            <w:pPr>
              <w:pStyle w:val="BodyTextIndent2"/>
              <w:spacing w:after="0" w:line="240" w:lineRule="auto"/>
              <w:ind w:left="0"/>
              <w:rPr>
                <w:rFonts w:ascii="Arial" w:hAnsi="Arial" w:cs="Arial"/>
                <w:b/>
                <w:lang w:val="es-ES"/>
              </w:rPr>
            </w:pPr>
            <w:r w:rsidRPr="005D1973">
              <w:rPr>
                <w:rFonts w:ascii="Arial" w:hAnsi="Arial" w:cs="Arial"/>
                <w:b/>
                <w:lang w:val="es-ES"/>
              </w:rPr>
              <w:t xml:space="preserve">la nivelul judeţului </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b/>
              </w:rPr>
            </w:pPr>
            <w:r w:rsidRPr="005D1973">
              <w:rPr>
                <w:rFonts w:ascii="Arial" w:hAnsi="Arial" w:cs="Arial"/>
                <w:b/>
              </w:rPr>
              <w:t xml:space="preserve">Unităţi administrativ teritoriale din judeţul </w:t>
            </w:r>
            <w:r w:rsidR="00217620">
              <w:rPr>
                <w:rFonts w:ascii="Arial" w:hAnsi="Arial" w:cs="Arial"/>
                <w:b/>
              </w:rPr>
              <w:t>Brăila</w:t>
            </w:r>
            <w:r w:rsidRPr="005D1973">
              <w:rPr>
                <w:rFonts w:ascii="Arial" w:hAnsi="Arial" w:cs="Arial"/>
                <w:b/>
              </w:rPr>
              <w:t xml:space="preserve"> în care este localizată aria</w:t>
            </w:r>
          </w:p>
        </w:tc>
      </w:tr>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1.</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lang w:eastAsia="ro-RO"/>
              </w:rPr>
              <w:t>Balta Albă-Amara-Jirlău</w:t>
            </w:r>
            <w:r w:rsidRPr="005D1973">
              <w:rPr>
                <w:rStyle w:val="tpt1"/>
                <w:rFonts w:ascii="Arial" w:hAnsi="Arial" w:cs="Arial"/>
              </w:rPr>
              <w:t>-Lacul Sărat Câineni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lang w:val="it-IT" w:eastAsia="ro-RO"/>
              </w:rPr>
              <w:t>ROSCI0005</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6300</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2835</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Galbenu, Gradiştea, Jirlău, Vişani</w:t>
            </w:r>
          </w:p>
        </w:tc>
      </w:tr>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2.</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eastAsia="ro-RO"/>
              </w:rPr>
            </w:pPr>
            <w:r w:rsidRPr="005D1973">
              <w:rPr>
                <w:rStyle w:val="tpt1"/>
                <w:rFonts w:ascii="Arial" w:hAnsi="Arial" w:cs="Arial"/>
                <w:lang w:val="it-IT"/>
              </w:rPr>
              <w:t xml:space="preserve">Balta Mică a </w:t>
            </w:r>
            <w:r w:rsidR="007C1699">
              <w:rPr>
                <w:rStyle w:val="tpt1"/>
                <w:rFonts w:ascii="Arial" w:hAnsi="Arial" w:cs="Arial"/>
                <w:lang w:val="it-IT"/>
              </w:rPr>
              <w:t>BR</w:t>
            </w:r>
            <w:r w:rsidRPr="005D1973">
              <w:rPr>
                <w:rStyle w:val="tpt1"/>
                <w:rFonts w:ascii="Arial" w:hAnsi="Arial" w:cs="Arial"/>
                <w:lang w:val="it-IT"/>
              </w:rPr>
              <w:t>ăilei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ROSCI0006</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20872</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20872</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 xml:space="preserve">Berteştii de Jos, </w:t>
            </w:r>
            <w:r w:rsidR="00217620">
              <w:rPr>
                <w:rFonts w:ascii="Arial" w:hAnsi="Arial" w:cs="Arial"/>
              </w:rPr>
              <w:t>Brăila</w:t>
            </w:r>
            <w:r w:rsidRPr="005D1973">
              <w:rPr>
                <w:rFonts w:ascii="Arial" w:hAnsi="Arial" w:cs="Arial"/>
              </w:rPr>
              <w:t>, Chiscani, Gropeni, Măraşu, Stăncuţa</w:t>
            </w:r>
          </w:p>
        </w:tc>
      </w:tr>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3.</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7C1699" w:rsidP="00C625DB">
            <w:pPr>
              <w:pStyle w:val="BodyTextIndent2"/>
              <w:spacing w:after="0" w:line="240" w:lineRule="auto"/>
              <w:ind w:left="0"/>
              <w:rPr>
                <w:rStyle w:val="tpt1"/>
                <w:rFonts w:ascii="Arial" w:hAnsi="Arial" w:cs="Arial"/>
                <w:lang w:val="it-IT"/>
              </w:rPr>
            </w:pPr>
            <w:r>
              <w:rPr>
                <w:rFonts w:ascii="Arial" w:hAnsi="Arial" w:cs="Arial"/>
                <w:lang w:val="it-IT" w:eastAsia="ro-RO"/>
              </w:rPr>
              <w:t>BR</w:t>
            </w:r>
            <w:r w:rsidR="00EE1961" w:rsidRPr="005D1973">
              <w:rPr>
                <w:rFonts w:ascii="Arial" w:hAnsi="Arial" w:cs="Arial"/>
                <w:lang w:val="it-IT" w:eastAsia="ro-RO"/>
              </w:rPr>
              <w:t>aţul Măcin</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ROSCI0012</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10235</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4503,4</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Frecăţei, Măraşu</w:t>
            </w:r>
          </w:p>
        </w:tc>
      </w:tr>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4.</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bCs/>
                <w:iCs/>
                <w:sz w:val="24"/>
                <w:szCs w:val="24"/>
              </w:rPr>
              <w:t>Lunca Buzăului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bCs/>
                <w:iCs/>
                <w:sz w:val="24"/>
                <w:szCs w:val="24"/>
              </w:rPr>
              <w:t>ROSCI0103</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0C7034" w:rsidP="00C625DB">
            <w:pPr>
              <w:spacing w:after="0" w:line="240" w:lineRule="auto"/>
              <w:rPr>
                <w:rFonts w:ascii="Arial" w:hAnsi="Arial" w:cs="Arial"/>
                <w:sz w:val="24"/>
                <w:szCs w:val="24"/>
              </w:rPr>
            </w:pPr>
            <w:r w:rsidRPr="005D1973">
              <w:rPr>
                <w:rFonts w:ascii="Arial" w:hAnsi="Arial" w:cs="Arial"/>
                <w:sz w:val="24"/>
                <w:szCs w:val="24"/>
              </w:rPr>
              <w:t>9575</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978,18</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0C7034" w:rsidP="00C625DB">
            <w:pPr>
              <w:spacing w:after="0" w:line="240" w:lineRule="auto"/>
              <w:rPr>
                <w:rFonts w:ascii="Arial" w:hAnsi="Arial" w:cs="Arial"/>
                <w:sz w:val="24"/>
                <w:szCs w:val="24"/>
                <w:lang w:val="it-IT"/>
              </w:rPr>
            </w:pPr>
            <w:r w:rsidRPr="005D1973">
              <w:rPr>
                <w:rFonts w:ascii="Arial" w:hAnsi="Arial" w:cs="Arial"/>
                <w:sz w:val="24"/>
                <w:szCs w:val="24"/>
                <w:lang w:val="it-IT"/>
              </w:rPr>
              <w:t>Făurei, Grădiştea, Jirlău, Racoviţa, Râmnicelu, Surdila-Greci, Şuţeşti,Vişani</w:t>
            </w:r>
          </w:p>
        </w:tc>
      </w:tr>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5.</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bCs/>
                <w:iCs/>
                <w:sz w:val="24"/>
                <w:szCs w:val="24"/>
              </w:rPr>
              <w:t>Lunca Siretului Inferior</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bCs/>
                <w:iCs/>
                <w:sz w:val="24"/>
                <w:szCs w:val="24"/>
              </w:rPr>
              <w:t>ROSCI0162</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25081</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1755,67</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Măxineni, Siliştea, Vădeni</w:t>
            </w:r>
          </w:p>
        </w:tc>
      </w:tr>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6.</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Valea Călmăţuiului</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lang w:val="it-IT" w:eastAsia="ro-RO"/>
              </w:rPr>
            </w:pPr>
            <w:r w:rsidRPr="005D1973">
              <w:rPr>
                <w:rFonts w:ascii="Arial" w:hAnsi="Arial" w:cs="Arial"/>
                <w:lang w:val="it-IT" w:eastAsia="ro-RO"/>
              </w:rPr>
              <w:t>ROSCI0259</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17923</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8603,04</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BordeiVerde, Cireşu, Însurăţei, Surdila-Greci, Ulmu, Zăvoaia</w:t>
            </w:r>
          </w:p>
        </w:tc>
      </w:tr>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7.</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bCs/>
                <w:iCs/>
                <w:sz w:val="24"/>
                <w:szCs w:val="24"/>
              </w:rPr>
              <w:t>Ianca - Plopu - Sărat - Comăneasca</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bCs/>
                <w:iCs/>
                <w:sz w:val="24"/>
                <w:szCs w:val="24"/>
              </w:rPr>
              <w:t>ROSCI0305</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3222</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3222</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lang w:val="pt-BR"/>
              </w:rPr>
            </w:pPr>
            <w:r w:rsidRPr="005D1973">
              <w:rPr>
                <w:rFonts w:ascii="Arial" w:hAnsi="Arial" w:cs="Arial"/>
                <w:sz w:val="24"/>
                <w:szCs w:val="24"/>
                <w:lang w:val="pt-BR"/>
              </w:rPr>
              <w:t>Ianca, Movila Miresii, Romanu, Traian, Tudor Vladimirescu</w:t>
            </w:r>
          </w:p>
        </w:tc>
      </w:tr>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 xml:space="preserve"> 8.</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bCs/>
                <w:iCs/>
                <w:sz w:val="24"/>
                <w:szCs w:val="24"/>
              </w:rPr>
              <w:t xml:space="preserve">Lacul Sărat – </w:t>
            </w:r>
            <w:r w:rsidR="00217620">
              <w:rPr>
                <w:rFonts w:ascii="Arial" w:hAnsi="Arial" w:cs="Arial"/>
                <w:bCs/>
                <w:iCs/>
                <w:sz w:val="24"/>
                <w:szCs w:val="24"/>
              </w:rPr>
              <w:t>Brăila</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bCs/>
                <w:iCs/>
                <w:sz w:val="24"/>
                <w:szCs w:val="24"/>
              </w:rPr>
              <w:t>ROSCI0307</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377</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377</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217620" w:rsidP="00C625DB">
            <w:pPr>
              <w:spacing w:after="0" w:line="240" w:lineRule="auto"/>
              <w:rPr>
                <w:rFonts w:ascii="Arial" w:hAnsi="Arial" w:cs="Arial"/>
                <w:sz w:val="24"/>
                <w:szCs w:val="24"/>
              </w:rPr>
            </w:pPr>
            <w:r>
              <w:rPr>
                <w:rFonts w:ascii="Arial" w:hAnsi="Arial" w:cs="Arial"/>
                <w:sz w:val="24"/>
                <w:szCs w:val="24"/>
              </w:rPr>
              <w:t>Brăila</w:t>
            </w:r>
            <w:r w:rsidR="00EE1961" w:rsidRPr="005D1973">
              <w:rPr>
                <w:rFonts w:ascii="Arial" w:hAnsi="Arial" w:cs="Arial"/>
                <w:sz w:val="24"/>
                <w:szCs w:val="24"/>
              </w:rPr>
              <w:t>, Chiscani, Tichileşti</w:t>
            </w:r>
          </w:p>
        </w:tc>
      </w:tr>
      <w:tr w:rsidR="00EE1961" w:rsidRPr="005D1973" w:rsidTr="00E71D51">
        <w:tc>
          <w:tcPr>
            <w:tcW w:w="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9.</w:t>
            </w:r>
          </w:p>
        </w:tc>
        <w:tc>
          <w:tcPr>
            <w:tcW w:w="16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lang w:val="it-IT"/>
              </w:rPr>
            </w:pPr>
            <w:r w:rsidRPr="005D1973">
              <w:rPr>
                <w:rFonts w:ascii="Arial" w:hAnsi="Arial" w:cs="Arial"/>
                <w:bCs/>
                <w:iCs/>
                <w:sz w:val="24"/>
                <w:szCs w:val="24"/>
                <w:lang w:val="it-IT"/>
              </w:rPr>
              <w:t xml:space="preserve">Sărăturile de la Gura Ialomiţei - Mihai </w:t>
            </w:r>
            <w:r w:rsidR="007C1699">
              <w:rPr>
                <w:rFonts w:ascii="Arial" w:hAnsi="Arial" w:cs="Arial"/>
                <w:bCs/>
                <w:iCs/>
                <w:sz w:val="24"/>
                <w:szCs w:val="24"/>
                <w:lang w:val="it-IT"/>
              </w:rPr>
              <w:t>BR</w:t>
            </w:r>
            <w:r w:rsidRPr="005D1973">
              <w:rPr>
                <w:rFonts w:ascii="Arial" w:hAnsi="Arial" w:cs="Arial"/>
                <w:bCs/>
                <w:iCs/>
                <w:sz w:val="24"/>
                <w:szCs w:val="24"/>
                <w:lang w:val="it-IT"/>
              </w:rPr>
              <w:t>avu</w:t>
            </w:r>
          </w:p>
        </w:tc>
        <w:tc>
          <w:tcPr>
            <w:tcW w:w="15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bCs/>
                <w:iCs/>
                <w:sz w:val="24"/>
                <w:szCs w:val="24"/>
              </w:rPr>
              <w:t>ROSCI0389</w:t>
            </w:r>
          </w:p>
        </w:tc>
        <w:tc>
          <w:tcPr>
            <w:tcW w:w="12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3449</w:t>
            </w:r>
          </w:p>
        </w:tc>
        <w:tc>
          <w:tcPr>
            <w:tcW w:w="131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pStyle w:val="BodyTextIndent2"/>
              <w:spacing w:after="0" w:line="240" w:lineRule="auto"/>
              <w:ind w:left="0"/>
              <w:rPr>
                <w:rFonts w:ascii="Arial" w:hAnsi="Arial" w:cs="Arial"/>
              </w:rPr>
            </w:pPr>
            <w:r w:rsidRPr="005D1973">
              <w:rPr>
                <w:rFonts w:ascii="Arial" w:hAnsi="Arial" w:cs="Arial"/>
              </w:rPr>
              <w:t>172,45</w:t>
            </w:r>
          </w:p>
        </w:tc>
        <w:tc>
          <w:tcPr>
            <w:tcW w:w="36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E1961" w:rsidRPr="005D1973" w:rsidRDefault="00EE1961" w:rsidP="00C625DB">
            <w:pPr>
              <w:spacing w:after="0" w:line="240" w:lineRule="auto"/>
              <w:rPr>
                <w:rFonts w:ascii="Arial" w:hAnsi="Arial" w:cs="Arial"/>
                <w:sz w:val="24"/>
                <w:szCs w:val="24"/>
              </w:rPr>
            </w:pPr>
            <w:r w:rsidRPr="005D1973">
              <w:rPr>
                <w:rFonts w:ascii="Arial" w:hAnsi="Arial" w:cs="Arial"/>
                <w:sz w:val="24"/>
                <w:szCs w:val="24"/>
              </w:rPr>
              <w:t>Berteştii de Jos, Victoria</w:t>
            </w:r>
          </w:p>
        </w:tc>
      </w:tr>
    </w:tbl>
    <w:p w:rsidR="00EE1961" w:rsidRPr="005D1973" w:rsidRDefault="00EE1961" w:rsidP="00C625DB">
      <w:pPr>
        <w:spacing w:after="0" w:line="240" w:lineRule="auto"/>
        <w:ind w:firstLine="720"/>
        <w:jc w:val="both"/>
        <w:rPr>
          <w:rFonts w:ascii="Arial" w:hAnsi="Arial" w:cs="Arial"/>
          <w:sz w:val="24"/>
          <w:szCs w:val="24"/>
        </w:rPr>
      </w:pPr>
    </w:p>
    <w:p w:rsidR="00EE1961" w:rsidRPr="005D1973" w:rsidRDefault="00EE1961" w:rsidP="00C625DB">
      <w:pPr>
        <w:pStyle w:val="BodyTextIndent2"/>
        <w:tabs>
          <w:tab w:val="left" w:pos="1080"/>
        </w:tabs>
        <w:spacing w:after="0" w:line="240" w:lineRule="auto"/>
        <w:ind w:left="990"/>
        <w:jc w:val="both"/>
        <w:rPr>
          <w:rStyle w:val="tpt1"/>
          <w:rFonts w:ascii="Arial" w:hAnsi="Arial" w:cs="Arial"/>
        </w:rPr>
      </w:pPr>
    </w:p>
    <w:p w:rsidR="00EE1961" w:rsidRPr="005D1973" w:rsidRDefault="00EE1961" w:rsidP="00C625DB">
      <w:pPr>
        <w:pStyle w:val="BodyTextIndent2"/>
        <w:spacing w:after="0" w:line="240" w:lineRule="auto"/>
        <w:ind w:left="0"/>
        <w:jc w:val="both"/>
        <w:rPr>
          <w:rFonts w:ascii="Arial" w:hAnsi="Arial" w:cs="Arial"/>
          <w:b/>
        </w:rPr>
      </w:pPr>
      <w:r w:rsidRPr="005D1973">
        <w:rPr>
          <w:rFonts w:ascii="Arial" w:hAnsi="Arial" w:cs="Arial"/>
          <w:b/>
        </w:rPr>
        <w:t>Managementul ariilor naturale protejate .</w:t>
      </w:r>
    </w:p>
    <w:p w:rsidR="00EE1961" w:rsidRPr="005D1973" w:rsidRDefault="00EE1961" w:rsidP="00C625DB">
      <w:pPr>
        <w:spacing w:after="0" w:line="240" w:lineRule="auto"/>
        <w:ind w:firstLine="708"/>
        <w:jc w:val="both"/>
        <w:rPr>
          <w:rFonts w:ascii="Arial" w:hAnsi="Arial" w:cs="Arial"/>
          <w:sz w:val="24"/>
          <w:szCs w:val="24"/>
          <w:shd w:val="clear" w:color="auto" w:fill="FFFFFF"/>
        </w:rPr>
      </w:pPr>
      <w:r w:rsidRPr="005D1973">
        <w:rPr>
          <w:rFonts w:ascii="Arial" w:hAnsi="Arial" w:cs="Arial"/>
          <w:sz w:val="24"/>
          <w:szCs w:val="24"/>
          <w:shd w:val="clear" w:color="auto" w:fill="FFFFFF"/>
        </w:rPr>
        <w:t xml:space="preserve">Conform OUG 57/2007 cu modificările ulterioare, administrarea ariilor naturale protejate se asigură prin structuri de administrare special constituite sau persoane fizice și juridice care au calitatea de custode. Conform </w:t>
      </w:r>
      <w:r w:rsidRPr="005D1973">
        <w:rPr>
          <w:rFonts w:ascii="Arial" w:hAnsi="Arial" w:cs="Arial"/>
          <w:i/>
          <w:sz w:val="24"/>
          <w:szCs w:val="24"/>
          <w:shd w:val="clear" w:color="auto" w:fill="FFFFFF"/>
        </w:rPr>
        <w:t xml:space="preserve">Ord. MMSC nr. 1052/2014 privind aprobarea </w:t>
      </w:r>
      <w:hyperlink r:id="rId103" w:history="1">
        <w:r w:rsidRPr="005D1973">
          <w:rPr>
            <w:rFonts w:ascii="Arial" w:hAnsi="Arial" w:cs="Arial"/>
            <w:i/>
            <w:sz w:val="24"/>
            <w:szCs w:val="24"/>
            <w:shd w:val="clear" w:color="auto" w:fill="FFFFFF"/>
          </w:rPr>
          <w:t>Metodologiei de atribuire a administrării şi a custodiei ariilor naturale protejate</w:t>
        </w:r>
      </w:hyperlink>
      <w:r w:rsidRPr="005D1973">
        <w:rPr>
          <w:rFonts w:ascii="Arial" w:eastAsia="Times New Roman" w:hAnsi="Arial" w:cs="Arial"/>
          <w:bCs/>
          <w:sz w:val="24"/>
          <w:szCs w:val="24"/>
          <w:lang w:val="en-US"/>
        </w:rPr>
        <w:t>, a</w:t>
      </w:r>
      <w:r w:rsidRPr="005D1973">
        <w:rPr>
          <w:rFonts w:ascii="Arial" w:hAnsi="Arial" w:cs="Arial"/>
          <w:sz w:val="24"/>
          <w:szCs w:val="24"/>
          <w:shd w:val="clear" w:color="auto" w:fill="FFFFFF"/>
        </w:rPr>
        <w:t>riile naturale protejate care necesită structuri de administrare proprii se atribuie în administrare de către autoritatea publică centrală pentru protecţia mediului, pe bază de contract de administrare, iar ariile care nu necesită structuri de administrare proprii se atribuie în custodie de către Agenţia Naţională pentru Protecţia Mediului, pe bază de convenţie de custodie.</w:t>
      </w:r>
    </w:p>
    <w:p w:rsidR="00EE1961" w:rsidRPr="005D1973" w:rsidRDefault="00EE1961" w:rsidP="00C625DB">
      <w:pPr>
        <w:spacing w:after="0" w:line="240" w:lineRule="auto"/>
        <w:ind w:firstLine="708"/>
        <w:jc w:val="both"/>
        <w:rPr>
          <w:rFonts w:ascii="Arial" w:hAnsi="Arial" w:cs="Arial"/>
          <w:sz w:val="24"/>
          <w:szCs w:val="24"/>
          <w:shd w:val="clear" w:color="auto" w:fill="FFFFFF"/>
        </w:rPr>
      </w:pPr>
      <w:r w:rsidRPr="005D1973">
        <w:rPr>
          <w:rFonts w:ascii="Arial" w:hAnsi="Arial" w:cs="Arial"/>
          <w:sz w:val="24"/>
          <w:szCs w:val="24"/>
          <w:shd w:val="clear" w:color="auto" w:fill="FFFFFF"/>
        </w:rPr>
        <w:lastRenderedPageBreak/>
        <w:t xml:space="preserve">În județul </w:t>
      </w:r>
      <w:r w:rsidR="00217620">
        <w:rPr>
          <w:rFonts w:ascii="Arial" w:hAnsi="Arial" w:cs="Arial"/>
          <w:sz w:val="24"/>
          <w:szCs w:val="24"/>
          <w:shd w:val="clear" w:color="auto" w:fill="FFFFFF"/>
        </w:rPr>
        <w:t>Brăila</w:t>
      </w:r>
      <w:r w:rsidR="000E6941" w:rsidRPr="005D1973">
        <w:rPr>
          <w:rFonts w:ascii="Arial" w:hAnsi="Arial" w:cs="Arial"/>
          <w:sz w:val="24"/>
          <w:szCs w:val="24"/>
          <w:shd w:val="clear" w:color="auto" w:fill="FFFFFF"/>
        </w:rPr>
        <w:t>,</w:t>
      </w:r>
      <w:r w:rsidRPr="005D1973">
        <w:rPr>
          <w:rFonts w:ascii="Arial" w:hAnsi="Arial" w:cs="Arial"/>
          <w:sz w:val="24"/>
          <w:szCs w:val="24"/>
          <w:shd w:val="clear" w:color="auto" w:fill="FFFFFF"/>
        </w:rPr>
        <w:t xml:space="preserve"> din 2</w:t>
      </w:r>
      <w:r w:rsidR="000E6941" w:rsidRPr="005D1973">
        <w:rPr>
          <w:rFonts w:ascii="Arial" w:hAnsi="Arial" w:cs="Arial"/>
          <w:sz w:val="24"/>
          <w:szCs w:val="24"/>
          <w:shd w:val="clear" w:color="auto" w:fill="FFFFFF"/>
        </w:rPr>
        <w:t>6</w:t>
      </w:r>
      <w:r w:rsidRPr="005D1973">
        <w:rPr>
          <w:rFonts w:ascii="Arial" w:hAnsi="Arial" w:cs="Arial"/>
          <w:sz w:val="24"/>
          <w:szCs w:val="24"/>
          <w:shd w:val="clear" w:color="auto" w:fill="FFFFFF"/>
        </w:rPr>
        <w:t xml:space="preserve"> arii protejate, numai 1</w:t>
      </w:r>
      <w:r w:rsidR="00E62C2F" w:rsidRPr="005D1973">
        <w:rPr>
          <w:rFonts w:ascii="Arial" w:hAnsi="Arial" w:cs="Arial"/>
          <w:sz w:val="24"/>
          <w:szCs w:val="24"/>
          <w:shd w:val="clear" w:color="auto" w:fill="FFFFFF"/>
        </w:rPr>
        <w:t>3</w:t>
      </w:r>
      <w:r w:rsidRPr="005D1973">
        <w:rPr>
          <w:rFonts w:ascii="Arial" w:hAnsi="Arial" w:cs="Arial"/>
          <w:sz w:val="24"/>
          <w:szCs w:val="24"/>
          <w:shd w:val="clear" w:color="auto" w:fill="FFFFFF"/>
        </w:rPr>
        <w:t xml:space="preserve"> sunt atribuite în administrare (conform tabelului nr. V.2.1-4): </w:t>
      </w:r>
      <w:r w:rsidR="00E62C2F" w:rsidRPr="005D1973">
        <w:rPr>
          <w:rFonts w:ascii="Arial" w:hAnsi="Arial" w:cs="Arial"/>
          <w:sz w:val="24"/>
          <w:szCs w:val="24"/>
          <w:shd w:val="clear" w:color="auto" w:fill="FFFFFF"/>
        </w:rPr>
        <w:t>două</w:t>
      </w:r>
      <w:r w:rsidRPr="005D1973">
        <w:rPr>
          <w:rFonts w:ascii="Arial" w:hAnsi="Arial" w:cs="Arial"/>
          <w:sz w:val="24"/>
          <w:szCs w:val="24"/>
          <w:shd w:val="clear" w:color="auto" w:fill="FFFFFF"/>
        </w:rPr>
        <w:t xml:space="preserve"> arii de interes naţional, </w:t>
      </w:r>
      <w:r w:rsidR="00E83B2E" w:rsidRPr="005D1973">
        <w:rPr>
          <w:rFonts w:ascii="Arial" w:hAnsi="Arial" w:cs="Arial"/>
          <w:sz w:val="24"/>
          <w:szCs w:val="24"/>
          <w:shd w:val="clear" w:color="auto" w:fill="FFFFFF"/>
        </w:rPr>
        <w:t>9</w:t>
      </w:r>
      <w:r w:rsidR="00E62C2F" w:rsidRPr="005D1973">
        <w:rPr>
          <w:rFonts w:ascii="Arial" w:hAnsi="Arial" w:cs="Arial"/>
          <w:sz w:val="24"/>
          <w:szCs w:val="24"/>
          <w:shd w:val="clear" w:color="auto" w:fill="FFFFFF"/>
        </w:rPr>
        <w:t xml:space="preserve"> arii de interes comunitar, </w:t>
      </w:r>
      <w:r w:rsidRPr="005D1973">
        <w:rPr>
          <w:rFonts w:ascii="Arial" w:hAnsi="Arial" w:cs="Arial"/>
          <w:sz w:val="24"/>
          <w:szCs w:val="24"/>
          <w:shd w:val="clear" w:color="auto" w:fill="FFFFFF"/>
        </w:rPr>
        <w:t>o</w:t>
      </w:r>
      <w:r w:rsidR="00E62C2F" w:rsidRPr="005D1973">
        <w:rPr>
          <w:rFonts w:ascii="Arial" w:hAnsi="Arial" w:cs="Arial"/>
          <w:sz w:val="24"/>
          <w:szCs w:val="24"/>
          <w:shd w:val="clear" w:color="auto" w:fill="FFFFFF"/>
        </w:rPr>
        <w:t xml:space="preserve"> arie de interes internaţional și o arie de interes județean, </w:t>
      </w:r>
      <w:r w:rsidRPr="005D1973">
        <w:rPr>
          <w:rFonts w:ascii="Arial" w:hAnsi="Arial" w:cs="Arial"/>
          <w:sz w:val="24"/>
          <w:szCs w:val="24"/>
          <w:shd w:val="clear" w:color="auto" w:fill="FFFFFF"/>
        </w:rPr>
        <w:t>existând 5 administratori (o structură de administrare și 4 custozi):</w:t>
      </w:r>
    </w:p>
    <w:p w:rsidR="00EE1961" w:rsidRPr="005D1973" w:rsidRDefault="00EE1961" w:rsidP="00252ED3">
      <w:pPr>
        <w:pStyle w:val="Implicit"/>
        <w:numPr>
          <w:ilvl w:val="0"/>
          <w:numId w:val="30"/>
        </w:numPr>
        <w:tabs>
          <w:tab w:val="left" w:pos="187"/>
        </w:tabs>
        <w:spacing w:after="0" w:line="240" w:lineRule="auto"/>
        <w:ind w:left="561" w:firstLine="0"/>
        <w:jc w:val="both"/>
        <w:rPr>
          <w:rFonts w:ascii="Arial" w:hAnsi="Arial" w:cs="Arial"/>
          <w:color w:val="auto"/>
          <w:lang w:val="ro-RO"/>
        </w:rPr>
      </w:pPr>
      <w:r w:rsidRPr="005D1973">
        <w:rPr>
          <w:rFonts w:ascii="Arial" w:hAnsi="Arial" w:cs="Arial"/>
          <w:color w:val="auto"/>
          <w:lang w:val="ro-RO"/>
        </w:rPr>
        <w:t xml:space="preserve">RNP Romsilva – Administraţie - pentru Parcul Natural Balta Mică a </w:t>
      </w:r>
      <w:r w:rsidR="007C1699">
        <w:rPr>
          <w:rFonts w:ascii="Arial" w:hAnsi="Arial" w:cs="Arial"/>
          <w:color w:val="auto"/>
          <w:lang w:val="ro-RO"/>
        </w:rPr>
        <w:t>BR</w:t>
      </w:r>
      <w:r w:rsidRPr="005D1973">
        <w:rPr>
          <w:rFonts w:ascii="Arial" w:hAnsi="Arial" w:cs="Arial"/>
          <w:color w:val="auto"/>
          <w:lang w:val="ro-RO"/>
        </w:rPr>
        <w:t xml:space="preserve">ăilei, situl Ramsar Insula Mică a </w:t>
      </w:r>
      <w:r w:rsidR="00DC03E4">
        <w:rPr>
          <w:rFonts w:ascii="Arial" w:hAnsi="Arial" w:cs="Arial"/>
          <w:color w:val="auto"/>
          <w:lang w:val="ro-RO"/>
        </w:rPr>
        <w:t>Br</w:t>
      </w:r>
      <w:r w:rsidRPr="005D1973">
        <w:rPr>
          <w:rFonts w:ascii="Arial" w:hAnsi="Arial" w:cs="Arial"/>
          <w:color w:val="auto"/>
          <w:lang w:val="ro-RO"/>
        </w:rPr>
        <w:t xml:space="preserve">ăilei, ROSPA0005 și ROSCI0006  Balta Mică a </w:t>
      </w:r>
      <w:r w:rsidR="007C1699">
        <w:rPr>
          <w:rFonts w:ascii="Arial" w:hAnsi="Arial" w:cs="Arial"/>
          <w:color w:val="auto"/>
          <w:lang w:val="ro-RO"/>
        </w:rPr>
        <w:t>BR</w:t>
      </w:r>
      <w:r w:rsidRPr="005D1973">
        <w:rPr>
          <w:rFonts w:ascii="Arial" w:hAnsi="Arial" w:cs="Arial"/>
          <w:color w:val="auto"/>
          <w:lang w:val="ro-RO"/>
        </w:rPr>
        <w:t xml:space="preserve">ăilei </w:t>
      </w:r>
    </w:p>
    <w:p w:rsidR="00EE1961" w:rsidRPr="005D1973" w:rsidRDefault="00EE1961" w:rsidP="00252ED3">
      <w:pPr>
        <w:pStyle w:val="Implicit"/>
        <w:numPr>
          <w:ilvl w:val="0"/>
          <w:numId w:val="30"/>
        </w:numPr>
        <w:tabs>
          <w:tab w:val="left" w:pos="187"/>
        </w:tabs>
        <w:spacing w:after="0" w:line="240" w:lineRule="auto"/>
        <w:ind w:left="561" w:firstLine="0"/>
        <w:jc w:val="both"/>
        <w:rPr>
          <w:rFonts w:ascii="Arial" w:hAnsi="Arial" w:cs="Arial"/>
          <w:color w:val="auto"/>
          <w:lang w:val="ro-RO"/>
        </w:rPr>
      </w:pPr>
      <w:r w:rsidRPr="005D1973">
        <w:rPr>
          <w:rFonts w:ascii="Arial" w:hAnsi="Arial" w:cs="Arial"/>
          <w:color w:val="auto"/>
          <w:lang w:val="ro-RO"/>
        </w:rPr>
        <w:t>Asociaţia pentru Conservarea Diversităţii Biologice Focșani custode pentru ROSPA0071 Lunca Siretului Inferior și ROSCI0162 Lunca Siretului Inferior;</w:t>
      </w:r>
    </w:p>
    <w:p w:rsidR="00EE1961" w:rsidRPr="005D1973" w:rsidRDefault="00EE1961" w:rsidP="00252ED3">
      <w:pPr>
        <w:pStyle w:val="Implicit"/>
        <w:numPr>
          <w:ilvl w:val="0"/>
          <w:numId w:val="30"/>
        </w:numPr>
        <w:tabs>
          <w:tab w:val="left" w:pos="187"/>
        </w:tabs>
        <w:spacing w:after="0" w:line="240" w:lineRule="auto"/>
        <w:ind w:left="561" w:firstLine="0"/>
        <w:jc w:val="both"/>
        <w:rPr>
          <w:rFonts w:ascii="Arial" w:hAnsi="Arial" w:cs="Arial"/>
          <w:color w:val="auto"/>
          <w:lang w:val="ro-RO"/>
        </w:rPr>
      </w:pPr>
      <w:r w:rsidRPr="005D1973">
        <w:rPr>
          <w:rFonts w:ascii="Arial" w:hAnsi="Arial" w:cs="Arial"/>
          <w:color w:val="auto"/>
          <w:lang w:val="ro-RO"/>
        </w:rPr>
        <w:t>Asociaţia Maximilian Buzău – custode pentru și ROSCI0005 Balta Albă-Amara-Jirlău-Lacul Sărat Câineni care include ROSPA0004 Balta Albă-Amara-Jirlău și Rezervația naturală Lacul Jirlău-Trup Vișani cod 2260</w:t>
      </w:r>
    </w:p>
    <w:p w:rsidR="00E83B2E" w:rsidRPr="005D1973" w:rsidRDefault="00E83B2E" w:rsidP="00252ED3">
      <w:pPr>
        <w:pStyle w:val="Implicit"/>
        <w:numPr>
          <w:ilvl w:val="0"/>
          <w:numId w:val="30"/>
        </w:numPr>
        <w:tabs>
          <w:tab w:val="left" w:pos="187"/>
        </w:tabs>
        <w:spacing w:after="0" w:line="240" w:lineRule="auto"/>
        <w:ind w:left="561" w:firstLine="0"/>
        <w:jc w:val="both"/>
        <w:rPr>
          <w:rFonts w:ascii="Arial" w:hAnsi="Arial" w:cs="Arial"/>
          <w:color w:val="auto"/>
          <w:lang w:val="ro-RO"/>
        </w:rPr>
      </w:pPr>
      <w:r w:rsidRPr="005D1973">
        <w:rPr>
          <w:rFonts w:ascii="Arial" w:hAnsi="Arial" w:cs="Arial"/>
          <w:color w:val="auto"/>
          <w:lang w:val="ro-RO"/>
        </w:rPr>
        <w:t xml:space="preserve">Societatea Ornitologica Romană –custode pentru ROSPA0077 Măxineni și ROSCI0389 Sărăturile de la Gura Ialomiţei - Mihai </w:t>
      </w:r>
      <w:r w:rsidR="007C1699">
        <w:rPr>
          <w:rFonts w:ascii="Arial" w:hAnsi="Arial" w:cs="Arial"/>
          <w:color w:val="auto"/>
          <w:lang w:val="ro-RO"/>
        </w:rPr>
        <w:t>BR</w:t>
      </w:r>
      <w:r w:rsidRPr="005D1973">
        <w:rPr>
          <w:rFonts w:ascii="Arial" w:hAnsi="Arial" w:cs="Arial"/>
          <w:color w:val="auto"/>
          <w:lang w:val="ro-RO"/>
        </w:rPr>
        <w:t>avu împreună cu ROSPA0111 Berteştii de Sus - Gura Ialomiţei</w:t>
      </w:r>
      <w:r w:rsidR="00E62C2F" w:rsidRPr="005D1973">
        <w:rPr>
          <w:rFonts w:ascii="Arial" w:hAnsi="Arial" w:cs="Arial"/>
          <w:color w:val="auto"/>
          <w:lang w:val="ro-RO"/>
        </w:rPr>
        <w:t xml:space="preserve"> care include și Rezervația forestieră Pădurea Viișoara.</w:t>
      </w:r>
    </w:p>
    <w:p w:rsidR="00E62C2F" w:rsidRPr="005D1973" w:rsidRDefault="00E62C2F" w:rsidP="00252ED3">
      <w:pPr>
        <w:pStyle w:val="Implicit"/>
        <w:numPr>
          <w:ilvl w:val="0"/>
          <w:numId w:val="30"/>
        </w:numPr>
        <w:tabs>
          <w:tab w:val="left" w:pos="187"/>
        </w:tabs>
        <w:spacing w:after="0" w:line="240" w:lineRule="auto"/>
        <w:ind w:left="561" w:firstLine="0"/>
        <w:jc w:val="both"/>
        <w:rPr>
          <w:rFonts w:ascii="Arial" w:hAnsi="Arial" w:cs="Arial"/>
          <w:color w:val="auto"/>
          <w:lang w:val="ro-RO"/>
        </w:rPr>
      </w:pPr>
      <w:r w:rsidRPr="005D1973">
        <w:rPr>
          <w:rFonts w:ascii="Arial" w:hAnsi="Arial" w:cs="Arial"/>
          <w:color w:val="auto"/>
          <w:lang w:val="ro-RO"/>
        </w:rPr>
        <w:t xml:space="preserve">Asociaţia Community Aid România pentru </w:t>
      </w:r>
      <w:hyperlink r:id="rId104" w:tgtFrame="_blank" w:history="1">
        <w:r w:rsidRPr="005D1973">
          <w:rPr>
            <w:rFonts w:ascii="Arial" w:hAnsi="Arial" w:cs="Arial"/>
            <w:color w:val="auto"/>
            <w:lang w:val="ro-RO"/>
          </w:rPr>
          <w:t>ROSCI0307</w:t>
        </w:r>
      </w:hyperlink>
      <w:r w:rsidRPr="005D1973">
        <w:rPr>
          <w:rFonts w:ascii="Arial" w:hAnsi="Arial" w:cs="Arial"/>
          <w:color w:val="auto"/>
          <w:lang w:val="ro-RO"/>
        </w:rPr>
        <w:t xml:space="preserve"> Lacu Sărat – </w:t>
      </w:r>
      <w:r w:rsidR="00217620">
        <w:rPr>
          <w:rFonts w:ascii="Arial" w:hAnsi="Arial" w:cs="Arial"/>
          <w:color w:val="auto"/>
          <w:lang w:val="ro-RO"/>
        </w:rPr>
        <w:t>Brăila</w:t>
      </w:r>
      <w:r w:rsidRPr="005D1973">
        <w:rPr>
          <w:rFonts w:ascii="Arial" w:hAnsi="Arial" w:cs="Arial"/>
          <w:color w:val="auto"/>
          <w:lang w:val="ro-RO"/>
        </w:rPr>
        <w:t>.</w:t>
      </w:r>
    </w:p>
    <w:p w:rsidR="00D65FC4" w:rsidRPr="005D1973" w:rsidRDefault="00D65FC4" w:rsidP="00C625DB">
      <w:pPr>
        <w:spacing w:after="0" w:line="240" w:lineRule="auto"/>
        <w:ind w:firstLine="708"/>
        <w:jc w:val="both"/>
        <w:rPr>
          <w:rFonts w:ascii="Arial" w:hAnsi="Arial" w:cs="Arial"/>
          <w:sz w:val="24"/>
          <w:szCs w:val="24"/>
          <w:shd w:val="clear" w:color="auto" w:fill="FFFFFF"/>
        </w:rPr>
      </w:pPr>
    </w:p>
    <w:p w:rsidR="00D65FC4" w:rsidRPr="005D1973" w:rsidRDefault="00D65FC4" w:rsidP="00C625DB">
      <w:pPr>
        <w:spacing w:after="0" w:line="240" w:lineRule="auto"/>
        <w:ind w:firstLine="708"/>
        <w:jc w:val="both"/>
        <w:rPr>
          <w:rFonts w:ascii="Arial" w:hAnsi="Arial" w:cs="Arial"/>
          <w:sz w:val="24"/>
          <w:szCs w:val="24"/>
          <w:shd w:val="clear" w:color="auto" w:fill="FFFFFF"/>
        </w:rPr>
      </w:pPr>
      <w:r w:rsidRPr="005D1973">
        <w:rPr>
          <w:rFonts w:ascii="Arial" w:hAnsi="Arial" w:cs="Arial"/>
          <w:sz w:val="24"/>
          <w:szCs w:val="24"/>
          <w:shd w:val="clear" w:color="auto" w:fill="FFFFFF"/>
        </w:rPr>
        <w:t>Situația elaborării</w:t>
      </w:r>
      <w:r w:rsidR="00E939D3" w:rsidRPr="005D1973">
        <w:rPr>
          <w:rFonts w:ascii="Arial" w:hAnsi="Arial" w:cs="Arial"/>
          <w:sz w:val="24"/>
          <w:szCs w:val="24"/>
          <w:shd w:val="clear" w:color="auto" w:fill="FFFFFF"/>
        </w:rPr>
        <w:t xml:space="preserve"> și implementării</w:t>
      </w:r>
      <w:r w:rsidRPr="005D1973">
        <w:rPr>
          <w:rFonts w:ascii="Arial" w:hAnsi="Arial" w:cs="Arial"/>
          <w:sz w:val="24"/>
          <w:szCs w:val="24"/>
          <w:shd w:val="clear" w:color="auto" w:fill="FFFFFF"/>
        </w:rPr>
        <w:t xml:space="preserve"> planurilor de management și a regulamentelor:</w:t>
      </w:r>
    </w:p>
    <w:p w:rsidR="00D65FC4" w:rsidRPr="005D1973" w:rsidRDefault="00D65FC4" w:rsidP="00252ED3">
      <w:pPr>
        <w:pStyle w:val="BodyTextIndent2"/>
        <w:numPr>
          <w:ilvl w:val="0"/>
          <w:numId w:val="68"/>
        </w:numPr>
        <w:spacing w:after="0" w:line="240" w:lineRule="auto"/>
        <w:jc w:val="both"/>
        <w:rPr>
          <w:rStyle w:val="tpt1"/>
          <w:rFonts w:ascii="Arial" w:hAnsi="Arial" w:cs="Arial"/>
        </w:rPr>
      </w:pPr>
      <w:r w:rsidRPr="005D1973">
        <w:rPr>
          <w:rFonts w:ascii="Arial" w:hAnsi="Arial" w:cs="Arial"/>
        </w:rPr>
        <w:t xml:space="preserve">Pentru Parcul Natural Balta Mică a </w:t>
      </w:r>
      <w:r w:rsidR="007C1699">
        <w:rPr>
          <w:rFonts w:ascii="Arial" w:hAnsi="Arial" w:cs="Arial"/>
        </w:rPr>
        <w:t>BR</w:t>
      </w:r>
      <w:r w:rsidRPr="005D1973">
        <w:rPr>
          <w:rFonts w:ascii="Arial" w:hAnsi="Arial" w:cs="Arial"/>
        </w:rPr>
        <w:t xml:space="preserve">ăilei care se suprapune cu  ROSPA0005 Balta Mică a </w:t>
      </w:r>
      <w:r w:rsidR="007C1699">
        <w:rPr>
          <w:rFonts w:ascii="Arial" w:hAnsi="Arial" w:cs="Arial"/>
        </w:rPr>
        <w:t>BR</w:t>
      </w:r>
      <w:r w:rsidRPr="005D1973">
        <w:rPr>
          <w:rFonts w:ascii="Arial" w:hAnsi="Arial" w:cs="Arial"/>
        </w:rPr>
        <w:t xml:space="preserve">ăilei şi ROSCI0006 </w:t>
      </w:r>
      <w:r w:rsidRPr="005D1973">
        <w:rPr>
          <w:rStyle w:val="tpt1"/>
          <w:rFonts w:ascii="Arial" w:hAnsi="Arial" w:cs="Arial"/>
        </w:rPr>
        <w:t xml:space="preserve">Balta Mică a </w:t>
      </w:r>
      <w:r w:rsidR="007C1699">
        <w:rPr>
          <w:rStyle w:val="tpt1"/>
          <w:rFonts w:ascii="Arial" w:hAnsi="Arial" w:cs="Arial"/>
        </w:rPr>
        <w:t>BR</w:t>
      </w:r>
      <w:r w:rsidRPr="005D1973">
        <w:rPr>
          <w:rStyle w:val="tpt1"/>
          <w:rFonts w:ascii="Arial" w:hAnsi="Arial" w:cs="Arial"/>
        </w:rPr>
        <w:t>ăilei și cu Situl Ramsar cu aceeași denumire, există plan de management aprobat prin HG 538/2011.</w:t>
      </w:r>
    </w:p>
    <w:p w:rsidR="000A4BED" w:rsidRPr="005D1973" w:rsidRDefault="000A4BED" w:rsidP="00252ED3">
      <w:pPr>
        <w:pStyle w:val="ListParagraph"/>
        <w:numPr>
          <w:ilvl w:val="0"/>
          <w:numId w:val="68"/>
        </w:numPr>
        <w:jc w:val="both"/>
        <w:rPr>
          <w:rFonts w:ascii="Arial" w:hAnsi="Arial" w:cs="Arial"/>
        </w:rPr>
      </w:pPr>
      <w:r w:rsidRPr="005D1973">
        <w:rPr>
          <w:rFonts w:ascii="Arial" w:hAnsi="Arial" w:cs="Arial"/>
        </w:rPr>
        <w:t>Prin proiectul ”</w:t>
      </w:r>
      <w:r w:rsidRPr="005D1973">
        <w:rPr>
          <w:rFonts w:ascii="Arial" w:hAnsi="Arial" w:cs="Arial"/>
          <w:bCs/>
        </w:rPr>
        <w:t>Evaluarea stării de conservare a ariilor de protecţie speciale avifaunistice ROSPA0006, ROSPA0038, ROSPA0048, ROSPA0077, ROSPA0058 şi ROSPA0064</w:t>
      </w:r>
      <w:r w:rsidRPr="005D1973">
        <w:rPr>
          <w:rFonts w:ascii="Arial" w:hAnsi="Arial" w:cs="Arial"/>
          <w:iCs/>
        </w:rPr>
        <w:t xml:space="preserve">” </w:t>
      </w:r>
      <w:r w:rsidR="009C1C9F" w:rsidRPr="005D1973">
        <w:rPr>
          <w:rFonts w:ascii="Arial" w:hAnsi="Arial" w:cs="Arial"/>
          <w:iCs/>
        </w:rPr>
        <w:t>A</w:t>
      </w:r>
      <w:r w:rsidRPr="005D1973">
        <w:rPr>
          <w:rFonts w:ascii="Arial" w:hAnsi="Arial" w:cs="Arial"/>
        </w:rPr>
        <w:t xml:space="preserve">sociația OTUS a realizat planuri de management  pentru 3  arii protejate din Județul </w:t>
      </w:r>
      <w:r w:rsidR="00217620">
        <w:rPr>
          <w:rFonts w:ascii="Arial" w:hAnsi="Arial" w:cs="Arial"/>
        </w:rPr>
        <w:t>Brăila</w:t>
      </w:r>
      <w:r w:rsidRPr="005D1973">
        <w:rPr>
          <w:rFonts w:ascii="Arial" w:hAnsi="Arial" w:cs="Arial"/>
        </w:rPr>
        <w:t>: ROSPA0006 Balta Tătaru, ROSPA0048 Ianca-Plopu-Sărat şi ROSPA0077 Măxineni .</w:t>
      </w:r>
    </w:p>
    <w:p w:rsidR="000A4BED" w:rsidRPr="005D1973" w:rsidRDefault="000A4BED" w:rsidP="00252ED3">
      <w:pPr>
        <w:pStyle w:val="ListParagraph"/>
        <w:numPr>
          <w:ilvl w:val="0"/>
          <w:numId w:val="68"/>
        </w:numPr>
        <w:tabs>
          <w:tab w:val="left" w:pos="720"/>
        </w:tabs>
        <w:suppressAutoHyphens/>
        <w:contextualSpacing w:val="0"/>
        <w:jc w:val="both"/>
        <w:rPr>
          <w:rFonts w:ascii="Arial" w:hAnsi="Arial" w:cs="Arial"/>
        </w:rPr>
      </w:pPr>
      <w:r w:rsidRPr="005D1973">
        <w:rPr>
          <w:rFonts w:ascii="Arial" w:hAnsi="Arial" w:cs="Arial"/>
        </w:rPr>
        <w:t xml:space="preserve">Prin proiectul ”Conservarea biodiversităţii în ariile naturale protejate Pădurea </w:t>
      </w:r>
      <w:r w:rsidR="007C1699">
        <w:rPr>
          <w:rFonts w:ascii="Arial" w:hAnsi="Arial" w:cs="Arial"/>
        </w:rPr>
        <w:t>BR</w:t>
      </w:r>
      <w:r w:rsidRPr="005D1973">
        <w:rPr>
          <w:rFonts w:ascii="Arial" w:hAnsi="Arial" w:cs="Arial"/>
        </w:rPr>
        <w:t xml:space="preserve">eana Roșcani, Pădurea Pogănești, Pădurea Fundeanu, Pădurea Tălășmani, Pădurea Camniţa”,  cod SMIS-CSNR 35635 </w:t>
      </w:r>
      <w:r w:rsidR="009C1C9F" w:rsidRPr="005D1973">
        <w:rPr>
          <w:rFonts w:ascii="Arial" w:hAnsi="Arial" w:cs="Arial"/>
        </w:rPr>
        <w:t xml:space="preserve">Asociaţia Judeţeană a Pescarilor Sportivi </w:t>
      </w:r>
      <w:r w:rsidR="00871BA3" w:rsidRPr="005D1973">
        <w:rPr>
          <w:rFonts w:ascii="Arial" w:hAnsi="Arial" w:cs="Arial"/>
        </w:rPr>
        <w:t xml:space="preserve">(AJPS) </w:t>
      </w:r>
      <w:r w:rsidR="009C1C9F" w:rsidRPr="005D1973">
        <w:rPr>
          <w:rFonts w:ascii="Arial" w:hAnsi="Arial" w:cs="Arial"/>
        </w:rPr>
        <w:t xml:space="preserve">Galaţi </w:t>
      </w:r>
      <w:r w:rsidRPr="005D1973">
        <w:rPr>
          <w:rFonts w:ascii="Arial" w:hAnsi="Arial" w:cs="Arial"/>
        </w:rPr>
        <w:t xml:space="preserve">a elaborat planul de management pentru Rezervația Naturală Camnița </w:t>
      </w:r>
      <w:r w:rsidR="008E2396" w:rsidRPr="005D1973">
        <w:rPr>
          <w:rFonts w:ascii="Arial" w:hAnsi="Arial" w:cs="Arial"/>
        </w:rPr>
        <w:t>(care este inclusă inclusă în ariile protejate ROSCI0103 și ROSPA0160 Lunca Buzăului)</w:t>
      </w:r>
      <w:r w:rsidR="009C1C9F" w:rsidRPr="005D1973">
        <w:rPr>
          <w:rFonts w:ascii="Arial" w:hAnsi="Arial" w:cs="Arial"/>
        </w:rPr>
        <w:t>.</w:t>
      </w:r>
    </w:p>
    <w:p w:rsidR="00D65FC4" w:rsidRPr="005D1973" w:rsidRDefault="00D65FC4" w:rsidP="00252ED3">
      <w:pPr>
        <w:pStyle w:val="ListParagraph"/>
        <w:numPr>
          <w:ilvl w:val="0"/>
          <w:numId w:val="68"/>
        </w:numPr>
        <w:tabs>
          <w:tab w:val="left" w:pos="720"/>
        </w:tabs>
        <w:suppressAutoHyphens/>
        <w:contextualSpacing w:val="0"/>
        <w:jc w:val="both"/>
        <w:rPr>
          <w:rFonts w:ascii="Arial" w:hAnsi="Arial" w:cs="Arial"/>
        </w:rPr>
      </w:pPr>
      <w:r w:rsidRPr="005D1973">
        <w:rPr>
          <w:rFonts w:ascii="Arial" w:hAnsi="Arial" w:cs="Arial"/>
        </w:rPr>
        <w:t xml:space="preserve">În anul 2016 au fost aprobate </w:t>
      </w:r>
      <w:r w:rsidR="009C1C9F" w:rsidRPr="005D1973">
        <w:rPr>
          <w:rFonts w:ascii="Arial" w:hAnsi="Arial" w:cs="Arial"/>
        </w:rPr>
        <w:t xml:space="preserve">prin ordin al ministrului </w:t>
      </w:r>
      <w:r w:rsidR="00803E3E" w:rsidRPr="005D1973">
        <w:rPr>
          <w:rFonts w:ascii="Arial" w:hAnsi="Arial" w:cs="Arial"/>
        </w:rPr>
        <w:t>m</w:t>
      </w:r>
      <w:r w:rsidR="009C1C9F" w:rsidRPr="005D1973">
        <w:rPr>
          <w:rFonts w:ascii="Arial" w:hAnsi="Arial" w:cs="Arial"/>
        </w:rPr>
        <w:t>ediului 6</w:t>
      </w:r>
      <w:r w:rsidR="000A4BED" w:rsidRPr="005D1973">
        <w:rPr>
          <w:rFonts w:ascii="Arial" w:hAnsi="Arial" w:cs="Arial"/>
        </w:rPr>
        <w:t xml:space="preserve"> </w:t>
      </w:r>
      <w:r w:rsidRPr="005D1973">
        <w:rPr>
          <w:rFonts w:ascii="Arial" w:hAnsi="Arial" w:cs="Arial"/>
        </w:rPr>
        <w:t>planuri de management pentru 7 arii : Rezervația Naturală Camnița, ROSPA0071 și ROSCI0162 ambele  denumite Lunca Siretului Inferior,  ROSCI0103 Lunca Buzăului, ROSPA0006 Balta Tătaru, ROSPA0048 Ianca-Plopu-Săr</w:t>
      </w:r>
      <w:r w:rsidR="000A4BED" w:rsidRPr="005D1973">
        <w:rPr>
          <w:rFonts w:ascii="Arial" w:hAnsi="Arial" w:cs="Arial"/>
        </w:rPr>
        <w:t>at şi ROSPA0077 Măxineni.</w:t>
      </w:r>
    </w:p>
    <w:p w:rsidR="009C1C9F" w:rsidRPr="005D1973" w:rsidRDefault="009C1C9F" w:rsidP="00252ED3">
      <w:pPr>
        <w:pStyle w:val="ListParagraph"/>
        <w:numPr>
          <w:ilvl w:val="0"/>
          <w:numId w:val="68"/>
        </w:numPr>
        <w:tabs>
          <w:tab w:val="left" w:pos="720"/>
        </w:tabs>
        <w:suppressAutoHyphens/>
        <w:contextualSpacing w:val="0"/>
        <w:jc w:val="both"/>
        <w:rPr>
          <w:rFonts w:ascii="Arial" w:hAnsi="Arial" w:cs="Arial"/>
        </w:rPr>
      </w:pPr>
      <w:r w:rsidRPr="005D1973">
        <w:rPr>
          <w:rFonts w:ascii="Arial" w:hAnsi="Arial" w:cs="Arial"/>
        </w:rPr>
        <w:t>Pentru ROSPA0004 Balta Albă-Amara-Jirlău și ROSCI0005 Balta Albă-Amara-Jirlău-Lacul Sărat Câineni care sunt din anul 2014 în custodia Asociației Maximilian Buzău custodele  a elaborat în 2016 Regulamentul și l-a trimis spre aprobare la ANPM.</w:t>
      </w:r>
    </w:p>
    <w:p w:rsidR="00803E3E" w:rsidRPr="005D1973" w:rsidRDefault="00803E3E" w:rsidP="00252ED3">
      <w:pPr>
        <w:pStyle w:val="ListParagraph"/>
        <w:numPr>
          <w:ilvl w:val="0"/>
          <w:numId w:val="68"/>
        </w:numPr>
        <w:tabs>
          <w:tab w:val="left" w:pos="720"/>
        </w:tabs>
        <w:suppressAutoHyphens/>
        <w:contextualSpacing w:val="0"/>
        <w:jc w:val="both"/>
        <w:rPr>
          <w:rFonts w:ascii="Arial" w:hAnsi="Arial" w:cs="Arial"/>
        </w:rPr>
      </w:pPr>
      <w:r w:rsidRPr="005D1973">
        <w:rPr>
          <w:rFonts w:ascii="Arial" w:hAnsi="Arial" w:cs="Arial"/>
        </w:rPr>
        <w:t xml:space="preserve">S-au încheiat protocoale de colaborare între APM </w:t>
      </w:r>
      <w:r w:rsidR="00217620">
        <w:rPr>
          <w:rFonts w:ascii="Arial" w:hAnsi="Arial" w:cs="Arial"/>
        </w:rPr>
        <w:t>Brăila</w:t>
      </w:r>
      <w:r w:rsidRPr="005D1973">
        <w:rPr>
          <w:rFonts w:ascii="Arial" w:hAnsi="Arial" w:cs="Arial"/>
        </w:rPr>
        <w:t xml:space="preserve"> și Societatea Ornitologică Română în vederea administrării ariilor ei naturale protejate ROSPA0077Măxineni  și ROSCI0389 Sărăturile de la Gura Ialomiţei - Mihai </w:t>
      </w:r>
      <w:r w:rsidR="007C1699">
        <w:rPr>
          <w:rFonts w:ascii="Arial" w:hAnsi="Arial" w:cs="Arial"/>
        </w:rPr>
        <w:t>BR</w:t>
      </w:r>
      <w:r w:rsidRPr="005D1973">
        <w:rPr>
          <w:rFonts w:ascii="Arial" w:hAnsi="Arial" w:cs="Arial"/>
        </w:rPr>
        <w:t>avu împreună cu  ROSPA0111 Berteştii de Sus - Gura Ialomiţei pănă la încredințarea în custodie.</w:t>
      </w:r>
    </w:p>
    <w:p w:rsidR="00803E3E" w:rsidRPr="005D1973" w:rsidRDefault="00803E3E" w:rsidP="00252ED3">
      <w:pPr>
        <w:pStyle w:val="ListParagraph"/>
        <w:numPr>
          <w:ilvl w:val="0"/>
          <w:numId w:val="68"/>
        </w:numPr>
        <w:tabs>
          <w:tab w:val="left" w:pos="720"/>
        </w:tabs>
        <w:suppressAutoHyphens/>
        <w:contextualSpacing w:val="0"/>
        <w:jc w:val="both"/>
        <w:rPr>
          <w:rFonts w:ascii="Arial" w:hAnsi="Arial" w:cs="Arial"/>
        </w:rPr>
      </w:pPr>
      <w:r w:rsidRPr="005D1973">
        <w:rPr>
          <w:rFonts w:ascii="Arial" w:hAnsi="Arial" w:cs="Arial"/>
        </w:rPr>
        <w:t xml:space="preserve">S-au încheiat contracte între APM </w:t>
      </w:r>
      <w:r w:rsidR="00217620">
        <w:rPr>
          <w:rFonts w:ascii="Arial" w:hAnsi="Arial" w:cs="Arial"/>
        </w:rPr>
        <w:t>Brăila</w:t>
      </w:r>
      <w:r w:rsidRPr="005D1973">
        <w:rPr>
          <w:rFonts w:ascii="Arial" w:hAnsi="Arial" w:cs="Arial"/>
        </w:rPr>
        <w:t xml:space="preserve"> și titularii proiectelor prin care s-au elaborat planurile de management, respectiv Asociația Otus </w:t>
      </w:r>
      <w:r w:rsidR="00871BA3" w:rsidRPr="005D1973">
        <w:rPr>
          <w:rFonts w:ascii="Arial" w:hAnsi="Arial" w:cs="Arial"/>
        </w:rPr>
        <w:t xml:space="preserve">și AJPS Galați </w:t>
      </w:r>
      <w:r w:rsidRPr="005D1973">
        <w:rPr>
          <w:rFonts w:ascii="Arial" w:hAnsi="Arial" w:cs="Arial"/>
        </w:rPr>
        <w:t xml:space="preserve">pentru implementarea rezultatelor </w:t>
      </w:r>
      <w:r w:rsidR="00871BA3" w:rsidRPr="005D1973">
        <w:rPr>
          <w:rFonts w:ascii="Arial" w:hAnsi="Arial" w:cs="Arial"/>
        </w:rPr>
        <w:t xml:space="preserve">acestor proiecte. </w:t>
      </w:r>
    </w:p>
    <w:p w:rsidR="00E62C2F" w:rsidRPr="005D1973" w:rsidRDefault="00E62C2F" w:rsidP="00C625DB">
      <w:pPr>
        <w:pStyle w:val="Implicit"/>
        <w:spacing w:after="0" w:line="240" w:lineRule="auto"/>
        <w:ind w:left="720"/>
        <w:jc w:val="both"/>
        <w:rPr>
          <w:rFonts w:ascii="Arial" w:hAnsi="Arial" w:cs="Arial"/>
          <w:b/>
          <w:color w:val="auto"/>
          <w:lang w:val="ro-RO"/>
        </w:rPr>
      </w:pPr>
    </w:p>
    <w:p w:rsidR="00EE1961" w:rsidRPr="005D1973" w:rsidRDefault="00EE1961" w:rsidP="00C625DB">
      <w:pPr>
        <w:pStyle w:val="Footer"/>
        <w:ind w:right="-402" w:firstLine="720"/>
        <w:jc w:val="both"/>
        <w:rPr>
          <w:rFonts w:ascii="Arial" w:hAnsi="Arial" w:cs="Arial"/>
          <w:b/>
          <w:sz w:val="24"/>
          <w:szCs w:val="24"/>
          <w:u w:val="single"/>
        </w:rPr>
      </w:pPr>
    </w:p>
    <w:p w:rsidR="00EE1961" w:rsidRPr="005D1973" w:rsidRDefault="00EE1961" w:rsidP="00C625DB">
      <w:pPr>
        <w:spacing w:after="0" w:line="240" w:lineRule="auto"/>
        <w:ind w:firstLine="708"/>
        <w:jc w:val="both"/>
        <w:rPr>
          <w:rFonts w:ascii="Arial" w:hAnsi="Arial" w:cs="Arial"/>
          <w:sz w:val="24"/>
          <w:szCs w:val="24"/>
          <w:shd w:val="clear" w:color="auto" w:fill="FFFFFF"/>
        </w:rPr>
      </w:pPr>
      <w:r w:rsidRPr="005D1973">
        <w:rPr>
          <w:rFonts w:ascii="Arial" w:hAnsi="Arial" w:cs="Arial"/>
          <w:b/>
          <w:sz w:val="24"/>
          <w:szCs w:val="24"/>
          <w:u w:val="single"/>
          <w:shd w:val="clear" w:color="auto" w:fill="FFFFFF"/>
        </w:rPr>
        <w:t xml:space="preserve">Balta Mică a </w:t>
      </w:r>
      <w:r w:rsidR="007C1699">
        <w:rPr>
          <w:rFonts w:ascii="Arial" w:hAnsi="Arial" w:cs="Arial"/>
          <w:b/>
          <w:sz w:val="24"/>
          <w:szCs w:val="24"/>
          <w:u w:val="single"/>
          <w:shd w:val="clear" w:color="auto" w:fill="FFFFFF"/>
        </w:rPr>
        <w:t>B</w:t>
      </w:r>
      <w:r w:rsidR="00DC03E4">
        <w:rPr>
          <w:rFonts w:ascii="Arial" w:hAnsi="Arial" w:cs="Arial"/>
          <w:b/>
          <w:sz w:val="24"/>
          <w:szCs w:val="24"/>
          <w:u w:val="single"/>
          <w:shd w:val="clear" w:color="auto" w:fill="FFFFFF"/>
        </w:rPr>
        <w:t>r</w:t>
      </w:r>
      <w:r w:rsidRPr="005D1973">
        <w:rPr>
          <w:rFonts w:ascii="Arial" w:hAnsi="Arial" w:cs="Arial"/>
          <w:b/>
          <w:sz w:val="24"/>
          <w:szCs w:val="24"/>
          <w:u w:val="single"/>
          <w:shd w:val="clear" w:color="auto" w:fill="FFFFFF"/>
        </w:rPr>
        <w:t xml:space="preserve">ăilei </w:t>
      </w:r>
      <w:r w:rsidRPr="005D1973">
        <w:rPr>
          <w:rFonts w:ascii="Arial" w:hAnsi="Arial" w:cs="Arial"/>
          <w:sz w:val="24"/>
          <w:szCs w:val="24"/>
          <w:shd w:val="clear" w:color="auto" w:fill="FFFFFF"/>
        </w:rPr>
        <w:t>- parc natural, arie de protecţie specială avifaunistică ROSPA0005, sit de importanţă comunitară ROSCI0006, zonă umedă de importanţă comunitară (Sit Ramsar).</w:t>
      </w:r>
    </w:p>
    <w:p w:rsidR="00EE1961" w:rsidRPr="005D1973" w:rsidRDefault="00EE1961" w:rsidP="00C625DB">
      <w:pPr>
        <w:spacing w:after="0" w:line="240" w:lineRule="auto"/>
        <w:ind w:firstLine="708"/>
        <w:jc w:val="both"/>
        <w:rPr>
          <w:rFonts w:ascii="Arial" w:hAnsi="Arial" w:cs="Arial"/>
          <w:sz w:val="24"/>
          <w:szCs w:val="24"/>
          <w:shd w:val="clear" w:color="auto" w:fill="FFFFFF"/>
        </w:rPr>
      </w:pPr>
      <w:r w:rsidRPr="005D1973">
        <w:rPr>
          <w:rFonts w:ascii="Arial" w:hAnsi="Arial" w:cs="Arial"/>
          <w:sz w:val="24"/>
          <w:szCs w:val="24"/>
          <w:shd w:val="clear" w:color="auto" w:fill="FFFFFF"/>
        </w:rPr>
        <w:t xml:space="preserve">Administrarea parcului a fost încredinţată </w:t>
      </w:r>
      <w:r w:rsidR="000D2B8F" w:rsidRPr="005D1973">
        <w:rPr>
          <w:rFonts w:ascii="Arial" w:hAnsi="Arial" w:cs="Arial"/>
          <w:sz w:val="24"/>
          <w:szCs w:val="24"/>
          <w:shd w:val="clear" w:color="auto" w:fill="FFFFFF"/>
        </w:rPr>
        <w:t xml:space="preserve">spre administrare </w:t>
      </w:r>
      <w:r w:rsidRPr="005D1973">
        <w:rPr>
          <w:rFonts w:ascii="Arial" w:hAnsi="Arial" w:cs="Arial"/>
          <w:sz w:val="24"/>
          <w:szCs w:val="24"/>
          <w:shd w:val="clear" w:color="auto" w:fill="FFFFFF"/>
        </w:rPr>
        <w:t xml:space="preserve">de către Ministerul Mediului şi Gospodăririi Apelor Regiei Naţionale a Pădurilor „Romsilva” (RNP) în anul 2003. Structura de administrare a parcului natural este stabilită prin HG 230/2003 privind delimitarea rezervaţiilor biosferei, parcurilor naţionale şi parcurilor naturale şi constituirea </w:t>
      </w:r>
      <w:r w:rsidRPr="005D1973">
        <w:rPr>
          <w:rFonts w:ascii="Arial" w:hAnsi="Arial" w:cs="Arial"/>
          <w:sz w:val="24"/>
          <w:szCs w:val="24"/>
          <w:shd w:val="clear" w:color="auto" w:fill="FFFFFF"/>
        </w:rPr>
        <w:lastRenderedPageBreak/>
        <w:t>administraţiilor acestora şi cuprinde 13 posturi. Această structură este funcţională, îndeplinindu-şi atribuţiile conform "Regulamentului de organizare şi funcţionare al structurii de administrare", avizat de către R.N.P. Romsilva.</w:t>
      </w:r>
      <w:r w:rsidR="00E62C2F" w:rsidRPr="005D1973">
        <w:rPr>
          <w:rFonts w:ascii="Arial" w:hAnsi="Arial" w:cs="Arial"/>
          <w:sz w:val="24"/>
          <w:szCs w:val="24"/>
          <w:shd w:val="clear" w:color="auto" w:fill="FFFFFF"/>
        </w:rPr>
        <w:t xml:space="preserve"> </w:t>
      </w:r>
      <w:r w:rsidRPr="005D1973">
        <w:rPr>
          <w:rFonts w:ascii="Arial" w:hAnsi="Arial" w:cs="Arial"/>
          <w:sz w:val="24"/>
          <w:szCs w:val="24"/>
          <w:shd w:val="clear" w:color="auto" w:fill="FFFFFF"/>
        </w:rPr>
        <w:t xml:space="preserve">Regulamentul şi planul de management realizate în cadrul proiectului LIFE 99NAT/RO/006400 şi aprobate prin Ord. MAPM nr. 1456/2003 au fost revizuite, iar noua formă a acestora a fost aprobată prin H.G. nr. 538/2011. </w:t>
      </w:r>
    </w:p>
    <w:p w:rsidR="00EE1961" w:rsidRPr="005D1973" w:rsidRDefault="00323572" w:rsidP="00C625DB">
      <w:pPr>
        <w:spacing w:after="0" w:line="240" w:lineRule="auto"/>
        <w:ind w:firstLine="708"/>
        <w:jc w:val="both"/>
        <w:rPr>
          <w:rFonts w:ascii="Arial" w:hAnsi="Arial" w:cs="Arial"/>
          <w:sz w:val="24"/>
          <w:szCs w:val="24"/>
          <w:shd w:val="clear" w:color="auto" w:fill="FFFFFF"/>
        </w:rPr>
      </w:pPr>
      <w:r w:rsidRPr="005D1973">
        <w:rPr>
          <w:rFonts w:ascii="Arial" w:hAnsi="Arial" w:cs="Arial"/>
          <w:sz w:val="24"/>
          <w:szCs w:val="24"/>
          <w:shd w:val="clear" w:color="auto" w:fill="FFFFFF"/>
        </w:rPr>
        <w:t>În perioada 2011-2015</w:t>
      </w:r>
      <w:r w:rsidR="00EE1961" w:rsidRPr="005D1973">
        <w:rPr>
          <w:rFonts w:ascii="Arial" w:hAnsi="Arial" w:cs="Arial"/>
          <w:sz w:val="24"/>
          <w:szCs w:val="24"/>
          <w:shd w:val="clear" w:color="auto" w:fill="FFFFFF"/>
        </w:rPr>
        <w:t xml:space="preserve">  administraţia parcului a implementat proiectul ”Managementul capitalului natural din Balta Mică a </w:t>
      </w:r>
      <w:r w:rsidR="007C1699">
        <w:rPr>
          <w:rFonts w:ascii="Arial" w:hAnsi="Arial" w:cs="Arial"/>
          <w:sz w:val="24"/>
          <w:szCs w:val="24"/>
          <w:shd w:val="clear" w:color="auto" w:fill="FFFFFF"/>
        </w:rPr>
        <w:t>BR</w:t>
      </w:r>
      <w:r w:rsidR="00EE1961" w:rsidRPr="005D1973">
        <w:rPr>
          <w:rFonts w:ascii="Arial" w:hAnsi="Arial" w:cs="Arial"/>
          <w:sz w:val="24"/>
          <w:szCs w:val="24"/>
          <w:shd w:val="clear" w:color="auto" w:fill="FFFFFF"/>
        </w:rPr>
        <w:t>ăilei prin abordare integrată, evaluare şi conştientizare” finanţat în cadrul Programului Operaţional Sectorial Mediu, Axa 4, care a avut ca obiective:</w:t>
      </w:r>
    </w:p>
    <w:p w:rsidR="00EE1961" w:rsidRPr="005D1973" w:rsidRDefault="00EE1961" w:rsidP="00252ED3">
      <w:pPr>
        <w:pStyle w:val="ListParagraph"/>
        <w:numPr>
          <w:ilvl w:val="0"/>
          <w:numId w:val="46"/>
        </w:numPr>
        <w:tabs>
          <w:tab w:val="num" w:pos="1476"/>
        </w:tabs>
        <w:jc w:val="both"/>
        <w:rPr>
          <w:rFonts w:ascii="Arial" w:hAnsi="Arial" w:cs="Arial"/>
        </w:rPr>
      </w:pPr>
      <w:r w:rsidRPr="005D1973">
        <w:rPr>
          <w:rFonts w:ascii="Arial" w:hAnsi="Arial" w:cs="Arial"/>
          <w:noProof/>
        </w:rPr>
        <w:t xml:space="preserve">Îmbunătăţirea managementului Parcului Natural Balta Mică a </w:t>
      </w:r>
      <w:r w:rsidR="007C1699">
        <w:rPr>
          <w:rFonts w:ascii="Arial" w:hAnsi="Arial" w:cs="Arial"/>
          <w:noProof/>
        </w:rPr>
        <w:t>BR</w:t>
      </w:r>
      <w:r w:rsidRPr="005D1973">
        <w:rPr>
          <w:rFonts w:ascii="Arial" w:hAnsi="Arial" w:cs="Arial"/>
          <w:noProof/>
        </w:rPr>
        <w:t>ăilei în contextul instituirii statutului de sit de importanţă comunitară şi arie de protecţie specială avifaunistică pentru această arie naturală protejată şi creşterea capacităţii instituţionale de gestionare a reţelei Natura 2000;</w:t>
      </w:r>
    </w:p>
    <w:p w:rsidR="00EE1961" w:rsidRPr="005D1973" w:rsidRDefault="00EE1961" w:rsidP="00252ED3">
      <w:pPr>
        <w:pStyle w:val="ListParagraph"/>
        <w:numPr>
          <w:ilvl w:val="0"/>
          <w:numId w:val="46"/>
        </w:numPr>
        <w:tabs>
          <w:tab w:val="num" w:pos="1476"/>
        </w:tabs>
        <w:jc w:val="both"/>
        <w:rPr>
          <w:rFonts w:ascii="Arial" w:hAnsi="Arial" w:cs="Arial"/>
        </w:rPr>
      </w:pPr>
      <w:r w:rsidRPr="005D1973">
        <w:rPr>
          <w:rFonts w:ascii="Arial" w:hAnsi="Arial" w:cs="Arial"/>
          <w:noProof/>
        </w:rPr>
        <w:t xml:space="preserve">Creşterea magnitudinii biodiversităţii Parcului Natural Balta Mică a </w:t>
      </w:r>
      <w:r w:rsidR="007C1699">
        <w:rPr>
          <w:rFonts w:ascii="Arial" w:hAnsi="Arial" w:cs="Arial"/>
          <w:noProof/>
        </w:rPr>
        <w:t>BR</w:t>
      </w:r>
      <w:r w:rsidRPr="005D1973">
        <w:rPr>
          <w:rFonts w:ascii="Arial" w:hAnsi="Arial" w:cs="Arial"/>
          <w:noProof/>
        </w:rPr>
        <w:t>ăilei după modelul complexelor de ecosisteme acvatice şi terestre existente înainte de deceniul 6 şi îmbunătăţirea serviciilor oferite de ecosisteme;</w:t>
      </w:r>
    </w:p>
    <w:p w:rsidR="00EE1961" w:rsidRPr="005D1973" w:rsidRDefault="00EE1961" w:rsidP="00252ED3">
      <w:pPr>
        <w:pStyle w:val="ListParagraph"/>
        <w:numPr>
          <w:ilvl w:val="0"/>
          <w:numId w:val="46"/>
        </w:numPr>
        <w:tabs>
          <w:tab w:val="num" w:pos="1476"/>
        </w:tabs>
        <w:jc w:val="both"/>
        <w:rPr>
          <w:rFonts w:ascii="Arial" w:hAnsi="Arial" w:cs="Arial"/>
        </w:rPr>
      </w:pPr>
      <w:r w:rsidRPr="005D1973">
        <w:rPr>
          <w:rFonts w:ascii="Arial" w:hAnsi="Arial" w:cs="Arial"/>
          <w:noProof/>
        </w:rPr>
        <w:t xml:space="preserve">Îmbunătăţirea percepţiei în rândul celor 4 grupuri ţintă-comunităţile locale, elevi, vizitatori, utilizatori de resurse şi servicii oferite de ecosistemele din parc,despre valoarea patrimoniului natural din Parcul Natural Balta Mică a </w:t>
      </w:r>
      <w:r w:rsidR="007C1699">
        <w:rPr>
          <w:rFonts w:ascii="Arial" w:hAnsi="Arial" w:cs="Arial"/>
          <w:noProof/>
        </w:rPr>
        <w:t>BR</w:t>
      </w:r>
      <w:r w:rsidRPr="005D1973">
        <w:rPr>
          <w:rFonts w:ascii="Arial" w:hAnsi="Arial" w:cs="Arial"/>
          <w:noProof/>
        </w:rPr>
        <w:t>ăilei.</w:t>
      </w:r>
    </w:p>
    <w:p w:rsidR="00323572" w:rsidRPr="005D1973" w:rsidRDefault="00323572" w:rsidP="00C625DB">
      <w:pPr>
        <w:pStyle w:val="ListParagraph"/>
        <w:jc w:val="both"/>
        <w:rPr>
          <w:rFonts w:ascii="Arial" w:hAnsi="Arial" w:cs="Arial"/>
        </w:rPr>
      </w:pPr>
    </w:p>
    <w:p w:rsidR="00EE1961" w:rsidRPr="005D1973" w:rsidRDefault="00EE1961" w:rsidP="005D1973">
      <w:pPr>
        <w:spacing w:after="0" w:line="240" w:lineRule="auto"/>
        <w:ind w:firstLine="360"/>
        <w:jc w:val="both"/>
        <w:rPr>
          <w:rFonts w:ascii="Arial" w:hAnsi="Arial" w:cs="Arial"/>
          <w:sz w:val="24"/>
          <w:szCs w:val="24"/>
          <w:shd w:val="clear" w:color="auto" w:fill="FFFFFF"/>
        </w:rPr>
      </w:pPr>
      <w:r w:rsidRPr="005D1973">
        <w:rPr>
          <w:rFonts w:ascii="Arial" w:hAnsi="Arial" w:cs="Arial"/>
          <w:sz w:val="24"/>
          <w:szCs w:val="24"/>
          <w:shd w:val="clear" w:color="auto" w:fill="FFFFFF"/>
        </w:rPr>
        <w:t xml:space="preserve">Beneficiarul proiectului </w:t>
      </w:r>
      <w:r w:rsidR="00323572" w:rsidRPr="005D1973">
        <w:rPr>
          <w:rFonts w:ascii="Arial" w:hAnsi="Arial" w:cs="Arial"/>
          <w:sz w:val="24"/>
          <w:szCs w:val="24"/>
          <w:shd w:val="clear" w:color="auto" w:fill="FFFFFF"/>
        </w:rPr>
        <w:t xml:space="preserve">a fost </w:t>
      </w:r>
      <w:r w:rsidRPr="005D1973">
        <w:rPr>
          <w:rFonts w:ascii="Arial" w:hAnsi="Arial" w:cs="Arial"/>
          <w:sz w:val="24"/>
          <w:szCs w:val="24"/>
          <w:shd w:val="clear" w:color="auto" w:fill="FFFFFF"/>
        </w:rPr>
        <w:t xml:space="preserve">administraţia parcului , iar APM </w:t>
      </w:r>
      <w:r w:rsidR="00217620">
        <w:rPr>
          <w:rFonts w:ascii="Arial" w:hAnsi="Arial" w:cs="Arial"/>
          <w:sz w:val="24"/>
          <w:szCs w:val="24"/>
          <w:shd w:val="clear" w:color="auto" w:fill="FFFFFF"/>
        </w:rPr>
        <w:t>Brăila</w:t>
      </w:r>
      <w:r w:rsidRPr="005D1973">
        <w:rPr>
          <w:rFonts w:ascii="Arial" w:hAnsi="Arial" w:cs="Arial"/>
          <w:sz w:val="24"/>
          <w:szCs w:val="24"/>
          <w:shd w:val="clear" w:color="auto" w:fill="FFFFFF"/>
        </w:rPr>
        <w:t xml:space="preserve"> şi Muzeul </w:t>
      </w:r>
      <w:r w:rsidR="007C1699">
        <w:rPr>
          <w:rFonts w:ascii="Arial" w:hAnsi="Arial" w:cs="Arial"/>
          <w:sz w:val="24"/>
          <w:szCs w:val="24"/>
          <w:shd w:val="clear" w:color="auto" w:fill="FFFFFF"/>
        </w:rPr>
        <w:t>BR</w:t>
      </w:r>
      <w:r w:rsidRPr="005D1973">
        <w:rPr>
          <w:rFonts w:ascii="Arial" w:hAnsi="Arial" w:cs="Arial"/>
          <w:sz w:val="24"/>
          <w:szCs w:val="24"/>
          <w:shd w:val="clear" w:color="auto" w:fill="FFFFFF"/>
        </w:rPr>
        <w:t xml:space="preserve">ăilei </w:t>
      </w:r>
      <w:r w:rsidR="00323572" w:rsidRPr="005D1973">
        <w:rPr>
          <w:rFonts w:ascii="Arial" w:hAnsi="Arial" w:cs="Arial"/>
          <w:sz w:val="24"/>
          <w:szCs w:val="24"/>
          <w:shd w:val="clear" w:color="auto" w:fill="FFFFFF"/>
        </w:rPr>
        <w:t xml:space="preserve">au fost </w:t>
      </w:r>
      <w:r w:rsidRPr="005D1973">
        <w:rPr>
          <w:rFonts w:ascii="Arial" w:hAnsi="Arial" w:cs="Arial"/>
          <w:sz w:val="24"/>
          <w:szCs w:val="24"/>
          <w:shd w:val="clear" w:color="auto" w:fill="FFFFFF"/>
        </w:rPr>
        <w:t>parteneri în implementarea acestuia.</w:t>
      </w:r>
      <w:r w:rsidR="00323572" w:rsidRPr="005D1973">
        <w:rPr>
          <w:rFonts w:ascii="Arial" w:hAnsi="Arial" w:cs="Arial"/>
          <w:sz w:val="24"/>
          <w:szCs w:val="24"/>
          <w:shd w:val="clear" w:color="auto" w:fill="FFFFFF"/>
        </w:rPr>
        <w:t>În cadrul proiectului s-a realizat un centru de vizitare plutitor cu spații amenajate destinate administrării ariei protejate și informării (sală de conferințe și muzeu ).</w:t>
      </w:r>
    </w:p>
    <w:p w:rsidR="000029FA" w:rsidRPr="005D1973" w:rsidRDefault="000029FA" w:rsidP="00C625DB">
      <w:pPr>
        <w:tabs>
          <w:tab w:val="left" w:pos="1276"/>
        </w:tabs>
        <w:spacing w:after="0" w:line="240" w:lineRule="auto"/>
        <w:rPr>
          <w:rFonts w:ascii="Arial" w:hAnsi="Arial" w:cs="Arial"/>
          <w:sz w:val="24"/>
          <w:szCs w:val="24"/>
        </w:rPr>
      </w:pPr>
      <w:r w:rsidRPr="005D1973">
        <w:rPr>
          <w:rFonts w:ascii="Arial" w:hAnsi="Arial" w:cs="Arial"/>
          <w:sz w:val="24"/>
          <w:szCs w:val="24"/>
        </w:rPr>
        <w:t xml:space="preserve">Din anul 2016 au mai fost atribuite în custodie: </w:t>
      </w:r>
    </w:p>
    <w:p w:rsidR="000029FA" w:rsidRPr="005D1973" w:rsidRDefault="000029FA" w:rsidP="00252ED3">
      <w:pPr>
        <w:pStyle w:val="ListParagraph"/>
        <w:numPr>
          <w:ilvl w:val="0"/>
          <w:numId w:val="71"/>
        </w:numPr>
        <w:tabs>
          <w:tab w:val="left" w:pos="187"/>
          <w:tab w:val="left" w:pos="1276"/>
        </w:tabs>
        <w:ind w:left="851"/>
        <w:jc w:val="both"/>
        <w:rPr>
          <w:rFonts w:ascii="Arial" w:hAnsi="Arial" w:cs="Arial"/>
        </w:rPr>
      </w:pPr>
      <w:r w:rsidRPr="005D1973">
        <w:rPr>
          <w:rFonts w:ascii="Arial" w:hAnsi="Arial" w:cs="Arial"/>
        </w:rPr>
        <w:t>ROSPA0111 Berteştii de Sus-Gura Ialomiţei</w:t>
      </w:r>
      <w:r w:rsidRPr="005D1973">
        <w:rPr>
          <w:rFonts w:ascii="Arial" w:hAnsi="Arial" w:cs="Arial"/>
          <w:bCs/>
          <w:iCs/>
        </w:rPr>
        <w:t xml:space="preserve">, ROSCI0389 </w:t>
      </w:r>
      <w:r w:rsidRPr="005D1973">
        <w:rPr>
          <w:rFonts w:ascii="Arial" w:hAnsi="Arial" w:cs="Arial"/>
        </w:rPr>
        <w:t xml:space="preserve">Sărăturile de la Gura Ialomiţei - Mihai </w:t>
      </w:r>
      <w:r w:rsidR="007C1699">
        <w:rPr>
          <w:rFonts w:ascii="Arial" w:hAnsi="Arial" w:cs="Arial"/>
        </w:rPr>
        <w:t>BR</w:t>
      </w:r>
      <w:r w:rsidRPr="005D1973">
        <w:rPr>
          <w:rFonts w:ascii="Arial" w:hAnsi="Arial" w:cs="Arial"/>
        </w:rPr>
        <w:t xml:space="preserve">avu și </w:t>
      </w:r>
      <w:r w:rsidRPr="005D1973">
        <w:rPr>
          <w:rFonts w:ascii="Arial" w:hAnsi="Arial" w:cs="Arial"/>
          <w:lang w:val="it-IT"/>
        </w:rPr>
        <w:t xml:space="preserve">ROSPA0077 </w:t>
      </w:r>
      <w:r w:rsidRPr="005D1973">
        <w:rPr>
          <w:rFonts w:ascii="Arial" w:hAnsi="Arial" w:cs="Arial"/>
        </w:rPr>
        <w:t xml:space="preserve">Măxineni  - Societatea Ornitologica Romană </w:t>
      </w:r>
    </w:p>
    <w:p w:rsidR="000029FA" w:rsidRPr="005D1973" w:rsidRDefault="000A4BED" w:rsidP="00252ED3">
      <w:pPr>
        <w:pStyle w:val="ListParagraph"/>
        <w:numPr>
          <w:ilvl w:val="0"/>
          <w:numId w:val="71"/>
        </w:numPr>
        <w:tabs>
          <w:tab w:val="left" w:pos="187"/>
          <w:tab w:val="left" w:pos="1276"/>
        </w:tabs>
        <w:ind w:left="851"/>
        <w:jc w:val="both"/>
        <w:rPr>
          <w:rFonts w:ascii="Arial" w:hAnsi="Arial" w:cs="Arial"/>
        </w:rPr>
      </w:pPr>
      <w:r w:rsidRPr="005D1973">
        <w:rPr>
          <w:rFonts w:ascii="Arial" w:hAnsi="Arial" w:cs="Arial"/>
          <w:bCs/>
          <w:iCs/>
        </w:rPr>
        <w:t xml:space="preserve">ROSCI0307 </w:t>
      </w:r>
      <w:r w:rsidRPr="005D1973">
        <w:rPr>
          <w:rFonts w:ascii="Arial" w:hAnsi="Arial" w:cs="Arial"/>
        </w:rPr>
        <w:t xml:space="preserve">Lacul Sărat- </w:t>
      </w:r>
      <w:r w:rsidR="000029FA" w:rsidRPr="005D1973">
        <w:rPr>
          <w:rFonts w:ascii="Arial" w:hAnsi="Arial" w:cs="Arial"/>
        </w:rPr>
        <w:t xml:space="preserve">Asociaţia Community Aid România </w:t>
      </w:r>
      <w:r w:rsidR="00217620">
        <w:rPr>
          <w:rFonts w:ascii="Arial" w:hAnsi="Arial" w:cs="Arial"/>
        </w:rPr>
        <w:t>Brăila</w:t>
      </w:r>
    </w:p>
    <w:p w:rsidR="00E939D3" w:rsidRPr="005D1973" w:rsidRDefault="00E939D3" w:rsidP="00C625DB">
      <w:pPr>
        <w:spacing w:after="0" w:line="240" w:lineRule="auto"/>
        <w:ind w:firstLine="708"/>
        <w:jc w:val="both"/>
        <w:rPr>
          <w:rFonts w:ascii="Arial" w:hAnsi="Arial" w:cs="Arial"/>
          <w:sz w:val="24"/>
          <w:szCs w:val="24"/>
          <w:shd w:val="clear" w:color="auto" w:fill="FFFFFF"/>
        </w:rPr>
      </w:pPr>
      <w:r w:rsidRPr="005D1973">
        <w:rPr>
          <w:rFonts w:ascii="Arial" w:hAnsi="Arial" w:cs="Arial"/>
          <w:sz w:val="24"/>
          <w:szCs w:val="24"/>
          <w:shd w:val="clear" w:color="auto" w:fill="FFFFFF"/>
        </w:rPr>
        <w:t>Până la elaborarea planului de management, custozii au obligația de a aplica planul de acțiuni prevăzut în dosarul de candidatură cu care au participat la sesiunea de atribuire în custodie.</w:t>
      </w:r>
    </w:p>
    <w:p w:rsidR="00E939D3" w:rsidRPr="005D1973" w:rsidRDefault="00E939D3" w:rsidP="00C625DB">
      <w:pPr>
        <w:spacing w:after="0" w:line="240" w:lineRule="auto"/>
        <w:ind w:firstLine="708"/>
        <w:jc w:val="both"/>
        <w:rPr>
          <w:rFonts w:ascii="Arial" w:hAnsi="Arial" w:cs="Arial"/>
          <w:b/>
          <w:sz w:val="24"/>
          <w:szCs w:val="24"/>
        </w:rPr>
      </w:pPr>
      <w:r w:rsidRPr="005D1973">
        <w:rPr>
          <w:rFonts w:ascii="Arial" w:hAnsi="Arial" w:cs="Arial"/>
          <w:b/>
          <w:sz w:val="24"/>
          <w:szCs w:val="24"/>
        </w:rPr>
        <w:t>Situația la sfărșitul anului 2016 pentru ariile neatribuite:</w:t>
      </w:r>
    </w:p>
    <w:p w:rsidR="00EE1961" w:rsidRPr="005D1973" w:rsidRDefault="00EE1961" w:rsidP="00C625DB">
      <w:pPr>
        <w:spacing w:after="0" w:line="240" w:lineRule="auto"/>
        <w:ind w:firstLine="708"/>
        <w:jc w:val="both"/>
        <w:rPr>
          <w:rFonts w:ascii="Arial" w:hAnsi="Arial" w:cs="Arial"/>
          <w:sz w:val="24"/>
          <w:szCs w:val="24"/>
        </w:rPr>
      </w:pPr>
      <w:r w:rsidRPr="005D1973">
        <w:rPr>
          <w:rFonts w:ascii="Arial" w:hAnsi="Arial" w:cs="Arial"/>
          <w:sz w:val="24"/>
          <w:szCs w:val="24"/>
        </w:rPr>
        <w:t xml:space="preserve">Conform deciziei Agenţiei Naţionale pentru Protecţia Mediului pentru ariile naturale protejate de interes comunitar neatribuite în custodie, competenţa de management </w:t>
      </w:r>
      <w:r w:rsidR="000029FA" w:rsidRPr="005D1973">
        <w:rPr>
          <w:rFonts w:ascii="Arial" w:hAnsi="Arial" w:cs="Arial"/>
          <w:sz w:val="24"/>
          <w:szCs w:val="24"/>
        </w:rPr>
        <w:t xml:space="preserve">a </w:t>
      </w:r>
      <w:r w:rsidRPr="005D1973">
        <w:rPr>
          <w:rFonts w:ascii="Arial" w:hAnsi="Arial" w:cs="Arial"/>
          <w:sz w:val="24"/>
          <w:szCs w:val="24"/>
        </w:rPr>
        <w:t>rev</w:t>
      </w:r>
      <w:r w:rsidR="00E939D3" w:rsidRPr="005D1973">
        <w:rPr>
          <w:rFonts w:ascii="Arial" w:hAnsi="Arial" w:cs="Arial"/>
          <w:sz w:val="24"/>
          <w:szCs w:val="24"/>
        </w:rPr>
        <w:t>e</w:t>
      </w:r>
      <w:r w:rsidRPr="005D1973">
        <w:rPr>
          <w:rFonts w:ascii="Arial" w:hAnsi="Arial" w:cs="Arial"/>
          <w:sz w:val="24"/>
          <w:szCs w:val="24"/>
        </w:rPr>
        <w:t>n</w:t>
      </w:r>
      <w:r w:rsidR="000029FA" w:rsidRPr="005D1973">
        <w:rPr>
          <w:rFonts w:ascii="Arial" w:hAnsi="Arial" w:cs="Arial"/>
          <w:sz w:val="24"/>
          <w:szCs w:val="24"/>
        </w:rPr>
        <w:t>it</w:t>
      </w:r>
      <w:r w:rsidRPr="005D1973">
        <w:rPr>
          <w:rFonts w:ascii="Arial" w:hAnsi="Arial" w:cs="Arial"/>
          <w:sz w:val="24"/>
          <w:szCs w:val="24"/>
        </w:rPr>
        <w:t xml:space="preserve"> Agenţiei pentru Protecţia Mediului (APM) pe al cărui judeţ se regăseşte cea mai mare suprafaţă din arie. Pentru judeţul </w:t>
      </w:r>
      <w:r w:rsidR="00217620">
        <w:rPr>
          <w:rFonts w:ascii="Arial" w:hAnsi="Arial" w:cs="Arial"/>
          <w:sz w:val="24"/>
          <w:szCs w:val="24"/>
        </w:rPr>
        <w:t>Brăila</w:t>
      </w:r>
      <w:r w:rsidRPr="005D1973">
        <w:rPr>
          <w:rFonts w:ascii="Arial" w:hAnsi="Arial" w:cs="Arial"/>
          <w:sz w:val="24"/>
          <w:szCs w:val="24"/>
        </w:rPr>
        <w:t xml:space="preserve"> situaţia </w:t>
      </w:r>
      <w:r w:rsidR="000029FA" w:rsidRPr="005D1973">
        <w:rPr>
          <w:rFonts w:ascii="Arial" w:hAnsi="Arial" w:cs="Arial"/>
          <w:sz w:val="24"/>
          <w:szCs w:val="24"/>
        </w:rPr>
        <w:t xml:space="preserve">a fost </w:t>
      </w:r>
      <w:r w:rsidRPr="005D1973">
        <w:rPr>
          <w:rFonts w:ascii="Arial" w:hAnsi="Arial" w:cs="Arial"/>
          <w:sz w:val="24"/>
          <w:szCs w:val="24"/>
        </w:rPr>
        <w:t>următoarea:</w:t>
      </w:r>
    </w:p>
    <w:p w:rsidR="00E939D3" w:rsidRPr="005D1973" w:rsidRDefault="00EE1961" w:rsidP="00252ED3">
      <w:pPr>
        <w:pStyle w:val="Implicit"/>
        <w:numPr>
          <w:ilvl w:val="0"/>
          <w:numId w:val="31"/>
        </w:numPr>
        <w:tabs>
          <w:tab w:val="clear" w:pos="720"/>
          <w:tab w:val="left" w:pos="374"/>
          <w:tab w:val="left" w:pos="1094"/>
        </w:tabs>
        <w:spacing w:after="0" w:line="240" w:lineRule="auto"/>
        <w:ind w:left="748" w:firstLine="0"/>
        <w:jc w:val="both"/>
        <w:rPr>
          <w:rFonts w:ascii="Arial" w:hAnsi="Arial" w:cs="Arial"/>
          <w:bCs/>
          <w:color w:val="auto"/>
          <w:lang w:val="ro-RO"/>
        </w:rPr>
      </w:pPr>
      <w:r w:rsidRPr="005D1973">
        <w:rPr>
          <w:rFonts w:ascii="Arial" w:hAnsi="Arial" w:cs="Arial"/>
          <w:bCs/>
          <w:color w:val="auto"/>
          <w:lang w:val="ro-RO"/>
        </w:rPr>
        <w:t xml:space="preserve">APM </w:t>
      </w:r>
      <w:r w:rsidR="00217620">
        <w:rPr>
          <w:rFonts w:ascii="Arial" w:hAnsi="Arial" w:cs="Arial"/>
          <w:bCs/>
          <w:color w:val="auto"/>
          <w:lang w:val="ro-RO"/>
        </w:rPr>
        <w:t>Brăila</w:t>
      </w:r>
      <w:r w:rsidRPr="005D1973">
        <w:rPr>
          <w:rFonts w:ascii="Arial" w:hAnsi="Arial" w:cs="Arial"/>
          <w:bCs/>
          <w:color w:val="auto"/>
          <w:lang w:val="ro-RO"/>
        </w:rPr>
        <w:t xml:space="preserve"> pentru </w:t>
      </w:r>
      <w:r w:rsidR="00E939D3" w:rsidRPr="005D1973">
        <w:rPr>
          <w:rFonts w:ascii="Arial" w:hAnsi="Arial" w:cs="Arial"/>
          <w:bCs/>
          <w:color w:val="auto"/>
          <w:lang w:val="ro-RO"/>
        </w:rPr>
        <w:t>3</w:t>
      </w:r>
      <w:r w:rsidRPr="005D1973">
        <w:rPr>
          <w:rFonts w:ascii="Arial" w:hAnsi="Arial" w:cs="Arial"/>
          <w:bCs/>
          <w:color w:val="auto"/>
          <w:lang w:val="ro-RO"/>
        </w:rPr>
        <w:t xml:space="preserve"> arii: </w:t>
      </w:r>
      <w:r w:rsidRPr="005D1973">
        <w:rPr>
          <w:rFonts w:ascii="Arial" w:hAnsi="Arial" w:cs="Arial"/>
          <w:color w:val="auto"/>
          <w:lang w:val="ro-RO"/>
        </w:rPr>
        <w:t xml:space="preserve">ROSPA0048 Ianca-Plopu-Sărat, </w:t>
      </w:r>
      <w:r w:rsidRPr="005D1973">
        <w:rPr>
          <w:rFonts w:ascii="Arial" w:hAnsi="Arial" w:cs="Arial"/>
          <w:bCs/>
          <w:iCs/>
          <w:color w:val="auto"/>
          <w:lang w:val="ro-RO"/>
        </w:rPr>
        <w:t>ROSCI0305 Ianc</w:t>
      </w:r>
      <w:r w:rsidR="00E939D3" w:rsidRPr="005D1973">
        <w:rPr>
          <w:rFonts w:ascii="Arial" w:hAnsi="Arial" w:cs="Arial"/>
          <w:bCs/>
          <w:iCs/>
          <w:color w:val="auto"/>
          <w:lang w:val="ro-RO"/>
        </w:rPr>
        <w:t>a - Plopu - Sărat – Comăneasca şi</w:t>
      </w:r>
      <w:r w:rsidR="00E939D3" w:rsidRPr="005D1973">
        <w:rPr>
          <w:rFonts w:ascii="Arial" w:hAnsi="Arial" w:cs="Arial"/>
          <w:color w:val="auto"/>
          <w:lang w:val="ro-RO"/>
        </w:rPr>
        <w:t xml:space="preserve"> </w:t>
      </w:r>
      <w:r w:rsidRPr="005D1973">
        <w:rPr>
          <w:rFonts w:ascii="Arial" w:hAnsi="Arial" w:cs="Arial"/>
          <w:color w:val="auto"/>
          <w:lang w:val="ro-RO"/>
        </w:rPr>
        <w:t xml:space="preserve">ROSPA0006 Balta Tătaru, </w:t>
      </w:r>
    </w:p>
    <w:p w:rsidR="00EE1961" w:rsidRPr="005D1973" w:rsidRDefault="00EE1961" w:rsidP="00252ED3">
      <w:pPr>
        <w:pStyle w:val="Implicit"/>
        <w:numPr>
          <w:ilvl w:val="0"/>
          <w:numId w:val="31"/>
        </w:numPr>
        <w:tabs>
          <w:tab w:val="clear" w:pos="720"/>
          <w:tab w:val="left" w:pos="374"/>
          <w:tab w:val="left" w:pos="1094"/>
        </w:tabs>
        <w:spacing w:after="0" w:line="240" w:lineRule="auto"/>
        <w:ind w:left="748" w:firstLine="0"/>
        <w:jc w:val="both"/>
        <w:rPr>
          <w:rFonts w:ascii="Arial" w:hAnsi="Arial" w:cs="Arial"/>
          <w:bCs/>
          <w:color w:val="auto"/>
          <w:lang w:val="ro-RO"/>
        </w:rPr>
      </w:pPr>
      <w:r w:rsidRPr="005D1973">
        <w:rPr>
          <w:rFonts w:ascii="Arial" w:hAnsi="Arial" w:cs="Arial"/>
          <w:bCs/>
          <w:color w:val="auto"/>
          <w:lang w:val="ro-RO"/>
        </w:rPr>
        <w:t>APM Buzău pentru 2 arii:</w:t>
      </w:r>
      <w:r w:rsidRPr="005D1973">
        <w:rPr>
          <w:rFonts w:ascii="Arial" w:hAnsi="Arial" w:cs="Arial"/>
          <w:bCs/>
          <w:color w:val="auto"/>
        </w:rPr>
        <w:t xml:space="preserve"> </w:t>
      </w:r>
      <w:r w:rsidRPr="005D1973">
        <w:rPr>
          <w:rFonts w:ascii="Arial" w:hAnsi="Arial" w:cs="Arial"/>
          <w:bCs/>
          <w:color w:val="auto"/>
          <w:lang w:val="ro-RO"/>
        </w:rPr>
        <w:t xml:space="preserve">ROSPA0145 Valea Călmăţuiului şi ROSCI0259 Valea Călmăţuiului </w:t>
      </w:r>
    </w:p>
    <w:p w:rsidR="00E939D3" w:rsidRPr="005D1973" w:rsidRDefault="00EE1961" w:rsidP="00252ED3">
      <w:pPr>
        <w:pStyle w:val="Implicit"/>
        <w:numPr>
          <w:ilvl w:val="0"/>
          <w:numId w:val="31"/>
        </w:numPr>
        <w:tabs>
          <w:tab w:val="clear" w:pos="720"/>
          <w:tab w:val="left" w:pos="374"/>
          <w:tab w:val="left" w:pos="1094"/>
        </w:tabs>
        <w:spacing w:after="0" w:line="240" w:lineRule="auto"/>
        <w:ind w:left="748" w:firstLine="0"/>
        <w:jc w:val="both"/>
        <w:rPr>
          <w:rFonts w:ascii="Arial" w:hAnsi="Arial" w:cs="Arial"/>
          <w:bCs/>
          <w:color w:val="auto"/>
          <w:lang w:val="ro-RO"/>
        </w:rPr>
      </w:pPr>
      <w:r w:rsidRPr="005D1973">
        <w:rPr>
          <w:rFonts w:ascii="Arial" w:hAnsi="Arial" w:cs="Arial"/>
          <w:bCs/>
          <w:color w:val="auto"/>
          <w:lang w:val="ro-RO"/>
        </w:rPr>
        <w:t xml:space="preserve">APM Tulcea  pentru </w:t>
      </w:r>
      <w:r w:rsidR="00E939D3" w:rsidRPr="005D1973">
        <w:rPr>
          <w:rFonts w:ascii="Arial" w:hAnsi="Arial" w:cs="Arial"/>
          <w:bCs/>
          <w:color w:val="auto"/>
          <w:lang w:val="ro-RO"/>
        </w:rPr>
        <w:t>ROSPA0040 Dunărea Veche-</w:t>
      </w:r>
      <w:r w:rsidR="007C1699">
        <w:rPr>
          <w:rFonts w:ascii="Arial" w:hAnsi="Arial" w:cs="Arial"/>
          <w:bCs/>
          <w:color w:val="auto"/>
          <w:lang w:val="ro-RO"/>
        </w:rPr>
        <w:t>BR</w:t>
      </w:r>
      <w:r w:rsidR="00E939D3" w:rsidRPr="005D1973">
        <w:rPr>
          <w:rFonts w:ascii="Arial" w:hAnsi="Arial" w:cs="Arial"/>
          <w:bCs/>
          <w:color w:val="auto"/>
          <w:lang w:val="ro-RO"/>
        </w:rPr>
        <w:t xml:space="preserve">aţul Măcin și ROSCI0012 </w:t>
      </w:r>
      <w:r w:rsidR="007C1699">
        <w:rPr>
          <w:rFonts w:ascii="Arial" w:hAnsi="Arial" w:cs="Arial"/>
          <w:bCs/>
          <w:color w:val="auto"/>
          <w:lang w:val="ro-RO"/>
        </w:rPr>
        <w:t>BR</w:t>
      </w:r>
      <w:r w:rsidR="00E939D3" w:rsidRPr="005D1973">
        <w:rPr>
          <w:rFonts w:ascii="Arial" w:hAnsi="Arial" w:cs="Arial"/>
          <w:bCs/>
          <w:color w:val="auto"/>
          <w:lang w:val="ro-RO"/>
        </w:rPr>
        <w:t>aţul Măcin, și sit Ramsar</w:t>
      </w:r>
    </w:p>
    <w:p w:rsidR="00EE1961" w:rsidRPr="005D1973" w:rsidRDefault="00EE1961" w:rsidP="00C625DB">
      <w:pPr>
        <w:pStyle w:val="BodyTextIndent2"/>
        <w:spacing w:after="0" w:line="240" w:lineRule="auto"/>
        <w:ind w:left="0" w:firstLine="737"/>
        <w:jc w:val="both"/>
        <w:rPr>
          <w:rFonts w:ascii="Arial" w:hAnsi="Arial" w:cs="Arial"/>
          <w:lang w:val="it-IT"/>
        </w:rPr>
      </w:pPr>
    </w:p>
    <w:p w:rsidR="00EE1961" w:rsidRPr="005D1973" w:rsidRDefault="00EE1961" w:rsidP="00C625DB">
      <w:pPr>
        <w:pStyle w:val="BodyTextIndent2"/>
        <w:spacing w:after="0" w:line="240" w:lineRule="auto"/>
        <w:ind w:left="0" w:firstLine="708"/>
        <w:jc w:val="both"/>
        <w:rPr>
          <w:rFonts w:ascii="Arial" w:hAnsi="Arial" w:cs="Arial"/>
        </w:rPr>
      </w:pPr>
      <w:r w:rsidRPr="005D1973">
        <w:rPr>
          <w:rFonts w:ascii="Arial" w:hAnsi="Arial" w:cs="Arial"/>
          <w:lang w:val="it-IT"/>
        </w:rPr>
        <w:t xml:space="preserve">Pentru ariile protejate de interes comunitar care nu au custode </w:t>
      </w:r>
      <w:r w:rsidR="0017373D" w:rsidRPr="005D1973">
        <w:rPr>
          <w:rFonts w:ascii="Arial" w:hAnsi="Arial" w:cs="Arial"/>
          <w:lang w:val="it-IT"/>
        </w:rPr>
        <w:t xml:space="preserve">se aplică </w:t>
      </w:r>
      <w:r w:rsidR="0017373D" w:rsidRPr="005D1973">
        <w:rPr>
          <w:rFonts w:ascii="Arial" w:hAnsi="Arial" w:cs="Arial"/>
          <w:b/>
          <w:lang w:val="it-IT"/>
        </w:rPr>
        <w:t>măsurile minime de conservare</w:t>
      </w:r>
      <w:r w:rsidR="0017373D" w:rsidRPr="005D1973">
        <w:rPr>
          <w:rFonts w:ascii="Arial" w:hAnsi="Arial" w:cs="Arial"/>
          <w:lang w:val="it-IT"/>
        </w:rPr>
        <w:t xml:space="preserve"> </w:t>
      </w:r>
      <w:r w:rsidRPr="005D1973">
        <w:rPr>
          <w:rFonts w:ascii="Arial" w:hAnsi="Arial" w:cs="Arial"/>
          <w:lang w:val="it-IT"/>
        </w:rPr>
        <w:t xml:space="preserve">elaborate </w:t>
      </w:r>
      <w:r w:rsidR="0017373D" w:rsidRPr="005D1973">
        <w:rPr>
          <w:rFonts w:ascii="Arial" w:hAnsi="Arial" w:cs="Arial"/>
          <w:lang w:val="it-IT"/>
        </w:rPr>
        <w:t xml:space="preserve">de autoritățile de mediu teritoriale în a căror competență de management intră. </w:t>
      </w:r>
    </w:p>
    <w:p w:rsidR="00452FDD" w:rsidRPr="00C625DB" w:rsidRDefault="00452FDD" w:rsidP="00C625DB">
      <w:pPr>
        <w:tabs>
          <w:tab w:val="left" w:pos="1204"/>
          <w:tab w:val="left" w:leader="dot" w:pos="9356"/>
        </w:tabs>
        <w:spacing w:after="0" w:line="240" w:lineRule="auto"/>
        <w:ind w:left="426"/>
        <w:jc w:val="both"/>
        <w:rPr>
          <w:rFonts w:ascii="Arial" w:hAnsi="Arial" w:cs="Arial"/>
          <w:b/>
          <w:i/>
          <w:sz w:val="24"/>
          <w:szCs w:val="24"/>
        </w:rPr>
      </w:pPr>
    </w:p>
    <w:p w:rsidR="0017373D" w:rsidRPr="00C625DB" w:rsidRDefault="0017373D" w:rsidP="00C625DB">
      <w:pPr>
        <w:tabs>
          <w:tab w:val="left" w:pos="1204"/>
          <w:tab w:val="left" w:leader="dot" w:pos="9356"/>
        </w:tabs>
        <w:spacing w:after="0" w:line="240" w:lineRule="auto"/>
        <w:ind w:left="426"/>
        <w:jc w:val="both"/>
        <w:rPr>
          <w:rFonts w:ascii="Arial" w:hAnsi="Arial" w:cs="Arial"/>
          <w:b/>
          <w:i/>
          <w:sz w:val="24"/>
          <w:szCs w:val="24"/>
        </w:rPr>
      </w:pPr>
      <w:r w:rsidRPr="00C625DB">
        <w:rPr>
          <w:rFonts w:ascii="Arial" w:hAnsi="Arial" w:cs="Arial"/>
          <w:b/>
          <w:i/>
          <w:sz w:val="24"/>
          <w:szCs w:val="24"/>
        </w:rPr>
        <w:br w:type="textWrapping" w:clear="all"/>
      </w:r>
    </w:p>
    <w:p w:rsidR="0017373D" w:rsidRPr="00C625DB" w:rsidRDefault="0017373D" w:rsidP="00C625DB">
      <w:pPr>
        <w:tabs>
          <w:tab w:val="left" w:pos="1204"/>
          <w:tab w:val="left" w:leader="dot" w:pos="9356"/>
        </w:tabs>
        <w:spacing w:after="0" w:line="240" w:lineRule="auto"/>
        <w:ind w:left="426"/>
        <w:jc w:val="both"/>
        <w:rPr>
          <w:rFonts w:ascii="Arial" w:hAnsi="Arial" w:cs="Arial"/>
          <w:b/>
          <w:i/>
          <w:sz w:val="24"/>
          <w:szCs w:val="24"/>
        </w:rPr>
      </w:pPr>
    </w:p>
    <w:p w:rsidR="00EE1961" w:rsidRPr="00C625DB" w:rsidRDefault="00EE1961" w:rsidP="00C625DB">
      <w:pPr>
        <w:tabs>
          <w:tab w:val="left" w:pos="1204"/>
          <w:tab w:val="left" w:leader="dot" w:pos="9356"/>
        </w:tabs>
        <w:spacing w:after="0" w:line="240" w:lineRule="auto"/>
        <w:ind w:left="426"/>
        <w:jc w:val="both"/>
        <w:rPr>
          <w:rFonts w:ascii="Arial" w:hAnsi="Arial" w:cs="Arial"/>
          <w:b/>
          <w:i/>
          <w:sz w:val="24"/>
          <w:szCs w:val="24"/>
        </w:rPr>
      </w:pPr>
    </w:p>
    <w:p w:rsidR="00EE1961" w:rsidRPr="00C625DB" w:rsidRDefault="00EE1961" w:rsidP="00C625DB">
      <w:pPr>
        <w:tabs>
          <w:tab w:val="left" w:pos="1204"/>
          <w:tab w:val="left" w:leader="dot" w:pos="9356"/>
        </w:tabs>
        <w:spacing w:after="0" w:line="240" w:lineRule="auto"/>
        <w:ind w:left="426"/>
        <w:jc w:val="both"/>
        <w:rPr>
          <w:rFonts w:ascii="Arial" w:hAnsi="Arial" w:cs="Arial"/>
          <w:b/>
          <w:sz w:val="24"/>
          <w:szCs w:val="24"/>
        </w:rPr>
        <w:sectPr w:rsidR="00EE1961" w:rsidRPr="00C625DB" w:rsidSect="00156E35">
          <w:footerReference w:type="default" r:id="rId105"/>
          <w:pgSz w:w="11907" w:h="16840" w:code="9"/>
          <w:pgMar w:top="851" w:right="851" w:bottom="851" w:left="1134" w:header="680" w:footer="680" w:gutter="0"/>
          <w:cols w:space="720"/>
          <w:docGrid w:linePitch="360"/>
        </w:sectPr>
      </w:pPr>
    </w:p>
    <w:p w:rsidR="00EE1961" w:rsidRPr="00C625DB" w:rsidRDefault="00EE1961" w:rsidP="00C625DB">
      <w:pPr>
        <w:pStyle w:val="Footer"/>
        <w:jc w:val="both"/>
        <w:rPr>
          <w:rFonts w:ascii="Arial" w:hAnsi="Arial" w:cs="Arial"/>
          <w:b/>
          <w:sz w:val="24"/>
          <w:szCs w:val="24"/>
        </w:rPr>
      </w:pPr>
      <w:r w:rsidRPr="00C625DB">
        <w:rPr>
          <w:rFonts w:ascii="Arial" w:hAnsi="Arial" w:cs="Arial"/>
          <w:b/>
          <w:sz w:val="24"/>
          <w:szCs w:val="24"/>
        </w:rPr>
        <w:lastRenderedPageBreak/>
        <w:t xml:space="preserve">Tabel nr. V.2.1- 4- Asigurarea managementului ariilor naturale protejate din judeţul </w:t>
      </w:r>
      <w:r w:rsidR="00217620">
        <w:rPr>
          <w:rFonts w:ascii="Arial" w:hAnsi="Arial" w:cs="Arial"/>
          <w:b/>
          <w:sz w:val="24"/>
          <w:szCs w:val="24"/>
        </w:rPr>
        <w:t>Brăila</w:t>
      </w:r>
    </w:p>
    <w:p w:rsidR="00EE1961" w:rsidRPr="00C625DB" w:rsidRDefault="00EE1961" w:rsidP="00C625DB">
      <w:pPr>
        <w:pStyle w:val="Footer"/>
        <w:jc w:val="both"/>
        <w:rPr>
          <w:rFonts w:ascii="Arial" w:hAnsi="Arial" w:cs="Arial"/>
          <w:b/>
          <w:sz w:val="24"/>
          <w:szCs w:val="24"/>
        </w:rPr>
      </w:pPr>
      <w:r w:rsidRPr="00C625DB">
        <w:rPr>
          <w:rFonts w:ascii="Arial" w:hAnsi="Arial" w:cs="Arial"/>
          <w:b/>
          <w:sz w:val="24"/>
          <w:szCs w:val="24"/>
        </w:rPr>
        <w:t>Legendă:</w:t>
      </w:r>
    </w:p>
    <w:p w:rsidR="00EE1961" w:rsidRPr="00C625DB" w:rsidRDefault="00EE1961" w:rsidP="00C625DB">
      <w:pPr>
        <w:pStyle w:val="Footer"/>
        <w:jc w:val="both"/>
        <w:rPr>
          <w:rFonts w:ascii="Arial" w:hAnsi="Arial" w:cs="Arial"/>
          <w:color w:val="0070C0"/>
          <w:sz w:val="24"/>
          <w:szCs w:val="24"/>
        </w:rPr>
      </w:pPr>
      <w:r w:rsidRPr="00C625DB">
        <w:rPr>
          <w:rFonts w:ascii="Arial" w:hAnsi="Arial" w:cs="Arial"/>
          <w:color w:val="0070C0"/>
          <w:sz w:val="24"/>
          <w:szCs w:val="24"/>
        </w:rPr>
        <w:t>Albastru-SCI - situri de importanţă comunitară</w:t>
      </w:r>
    </w:p>
    <w:p w:rsidR="00EE1961" w:rsidRPr="00C625DB" w:rsidRDefault="00EE1961" w:rsidP="00C625DB">
      <w:pPr>
        <w:spacing w:after="0" w:line="240" w:lineRule="auto"/>
        <w:rPr>
          <w:rFonts w:ascii="Arial" w:hAnsi="Arial" w:cs="Arial"/>
          <w:color w:val="00B050"/>
          <w:sz w:val="24"/>
          <w:szCs w:val="24"/>
        </w:rPr>
      </w:pPr>
      <w:r w:rsidRPr="00C625DB">
        <w:rPr>
          <w:rFonts w:ascii="Arial" w:hAnsi="Arial" w:cs="Arial"/>
          <w:color w:val="00B050"/>
          <w:sz w:val="24"/>
          <w:szCs w:val="24"/>
        </w:rPr>
        <w:t>Verde-SPA arii de protecție specială avifaunistică</w:t>
      </w:r>
    </w:p>
    <w:p w:rsidR="00EE1961" w:rsidRPr="00C625DB" w:rsidRDefault="00EE1961" w:rsidP="00C625DB">
      <w:pPr>
        <w:spacing w:after="0" w:line="240" w:lineRule="auto"/>
        <w:rPr>
          <w:rFonts w:ascii="Arial" w:hAnsi="Arial" w:cs="Arial"/>
          <w:color w:val="FF0000"/>
          <w:sz w:val="24"/>
          <w:szCs w:val="24"/>
        </w:rPr>
      </w:pPr>
      <w:r w:rsidRPr="00C625DB">
        <w:rPr>
          <w:rFonts w:ascii="Arial" w:hAnsi="Arial" w:cs="Arial"/>
          <w:color w:val="FF0000"/>
          <w:sz w:val="24"/>
          <w:szCs w:val="24"/>
        </w:rPr>
        <w:t>Roșu- arii protejate de interes național</w:t>
      </w:r>
    </w:p>
    <w:p w:rsidR="00EE1961" w:rsidRPr="00C625DB" w:rsidRDefault="00EE1961" w:rsidP="00C625DB">
      <w:pPr>
        <w:spacing w:after="0" w:line="240" w:lineRule="auto"/>
        <w:rPr>
          <w:rFonts w:ascii="Arial" w:hAnsi="Arial" w:cs="Arial"/>
          <w:color w:val="7030A0"/>
          <w:sz w:val="24"/>
          <w:szCs w:val="24"/>
        </w:rPr>
      </w:pPr>
      <w:r w:rsidRPr="00C625DB">
        <w:rPr>
          <w:rFonts w:ascii="Arial" w:hAnsi="Arial" w:cs="Arial"/>
          <w:color w:val="7030A0"/>
          <w:sz w:val="24"/>
          <w:szCs w:val="24"/>
        </w:rPr>
        <w:t>Mov-arii protejate de interes internațional</w:t>
      </w:r>
    </w:p>
    <w:p w:rsidR="00EE1961" w:rsidRPr="00C625DB" w:rsidRDefault="00EE1961" w:rsidP="00C625DB">
      <w:pPr>
        <w:pStyle w:val="Footer"/>
        <w:jc w:val="both"/>
        <w:rPr>
          <w:rFonts w:ascii="Arial" w:hAnsi="Arial" w:cs="Arial"/>
          <w:sz w:val="24"/>
          <w:szCs w:val="24"/>
        </w:rPr>
      </w:pPr>
    </w:p>
    <w:tbl>
      <w:tblPr>
        <w:tblW w:w="13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1"/>
        <w:gridCol w:w="2140"/>
        <w:gridCol w:w="3026"/>
        <w:gridCol w:w="1819"/>
        <w:gridCol w:w="850"/>
        <w:gridCol w:w="851"/>
        <w:gridCol w:w="708"/>
        <w:gridCol w:w="709"/>
        <w:gridCol w:w="992"/>
        <w:gridCol w:w="709"/>
      </w:tblGrid>
      <w:tr w:rsidR="00E55412" w:rsidRPr="00E55412" w:rsidTr="002375D1">
        <w:trPr>
          <w:cantSplit/>
          <w:trHeight w:val="277"/>
          <w:tblHeader/>
          <w:jc w:val="center"/>
        </w:trPr>
        <w:tc>
          <w:tcPr>
            <w:tcW w:w="1501" w:type="dxa"/>
            <w:vMerge w:val="restart"/>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Denumirea ariei naturale protejate</w:t>
            </w:r>
          </w:p>
        </w:tc>
        <w:tc>
          <w:tcPr>
            <w:tcW w:w="2140" w:type="dxa"/>
            <w:vMerge w:val="restart"/>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Categoria ariei naturale protejate</w:t>
            </w:r>
          </w:p>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cod</w:t>
            </w:r>
          </w:p>
        </w:tc>
        <w:tc>
          <w:tcPr>
            <w:tcW w:w="3026" w:type="dxa"/>
            <w:vMerge w:val="restart"/>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pStyle w:val="Footer"/>
              <w:jc w:val="center"/>
              <w:rPr>
                <w:rFonts w:ascii="Arial" w:hAnsi="Arial" w:cs="Arial"/>
                <w:sz w:val="20"/>
                <w:szCs w:val="20"/>
              </w:rPr>
            </w:pPr>
            <w:r w:rsidRPr="00E55412">
              <w:rPr>
                <w:rFonts w:ascii="Arial" w:hAnsi="Arial" w:cs="Arial"/>
                <w:b/>
                <w:bCs/>
                <w:sz w:val="20"/>
                <w:szCs w:val="20"/>
              </w:rPr>
              <w:t>Aria naturală protejată cu care se suprapune</w:t>
            </w:r>
          </w:p>
        </w:tc>
        <w:tc>
          <w:tcPr>
            <w:tcW w:w="1819" w:type="dxa"/>
            <w:vMerge w:val="restart"/>
            <w:tcBorders>
              <w:top w:val="single" w:sz="4" w:space="0" w:color="auto"/>
              <w:left w:val="single" w:sz="4" w:space="0" w:color="auto"/>
              <w:bottom w:val="single" w:sz="4" w:space="0" w:color="auto"/>
              <w:right w:val="single" w:sz="4" w:space="0" w:color="auto"/>
            </w:tcBorders>
            <w:vAlign w:val="center"/>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Nume administrator</w:t>
            </w:r>
          </w:p>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/custode</w:t>
            </w:r>
          </w:p>
        </w:tc>
        <w:tc>
          <w:tcPr>
            <w:tcW w:w="2409" w:type="dxa"/>
            <w:gridSpan w:val="3"/>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Regulament</w:t>
            </w:r>
          </w:p>
        </w:tc>
        <w:tc>
          <w:tcPr>
            <w:tcW w:w="2410" w:type="dxa"/>
            <w:gridSpan w:val="3"/>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Plan de management</w:t>
            </w:r>
          </w:p>
        </w:tc>
      </w:tr>
      <w:tr w:rsidR="00E55412" w:rsidRPr="00E55412" w:rsidTr="002375D1">
        <w:trPr>
          <w:cantSplit/>
          <w:trHeight w:val="603"/>
          <w:tblHeader/>
          <w:jc w:val="center"/>
        </w:trPr>
        <w:tc>
          <w:tcPr>
            <w:tcW w:w="1501" w:type="dxa"/>
            <w:vMerge/>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bCs/>
                <w:sz w:val="20"/>
                <w:szCs w:val="20"/>
              </w:rPr>
            </w:pPr>
          </w:p>
        </w:tc>
        <w:tc>
          <w:tcPr>
            <w:tcW w:w="2140" w:type="dxa"/>
            <w:vMerge/>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bCs/>
                <w:sz w:val="20"/>
                <w:szCs w:val="20"/>
              </w:rPr>
            </w:pPr>
          </w:p>
        </w:tc>
        <w:tc>
          <w:tcPr>
            <w:tcW w:w="3026" w:type="dxa"/>
            <w:vMerge/>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jc w:val="both"/>
              <w:rPr>
                <w:rFonts w:ascii="Arial" w:eastAsia="Times New Roman" w:hAnsi="Arial" w:cs="Arial"/>
                <w:sz w:val="20"/>
                <w:szCs w:val="20"/>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55412" w:rsidRPr="00E55412" w:rsidRDefault="00E55412" w:rsidP="00E55412">
            <w:pPr>
              <w:spacing w:after="0" w:line="240" w:lineRule="auto"/>
              <w:jc w:val="center"/>
              <w:rPr>
                <w:rFonts w:ascii="Arial" w:hAnsi="Arial" w:cs="Arial"/>
                <w:b/>
                <w:bCs/>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Elabo-rat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Apro-</w:t>
            </w:r>
          </w:p>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bat</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Ne-elaborat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Elabo-rat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Apro-</w:t>
            </w:r>
          </w:p>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bat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b/>
                <w:bCs/>
                <w:sz w:val="20"/>
                <w:szCs w:val="20"/>
              </w:rPr>
            </w:pPr>
            <w:r w:rsidRPr="00E55412">
              <w:rPr>
                <w:rFonts w:ascii="Arial" w:hAnsi="Arial" w:cs="Arial"/>
                <w:b/>
                <w:bCs/>
                <w:sz w:val="20"/>
                <w:szCs w:val="20"/>
              </w:rPr>
              <w:t>Ne-elaborat</w:t>
            </w: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7030A0"/>
                <w:sz w:val="20"/>
                <w:szCs w:val="20"/>
              </w:rPr>
            </w:pPr>
            <w:r w:rsidRPr="00E55412">
              <w:rPr>
                <w:rFonts w:ascii="Arial" w:hAnsi="Arial" w:cs="Arial"/>
                <w:b/>
                <w:color w:val="7030A0"/>
                <w:sz w:val="20"/>
                <w:szCs w:val="20"/>
              </w:rPr>
              <w:t xml:space="preserve">Insula Mică a </w:t>
            </w:r>
            <w:r w:rsidR="007C1699">
              <w:rPr>
                <w:rFonts w:ascii="Arial" w:hAnsi="Arial" w:cs="Arial"/>
                <w:b/>
                <w:color w:val="7030A0"/>
                <w:sz w:val="20"/>
                <w:szCs w:val="20"/>
              </w:rPr>
              <w:t>BR</w:t>
            </w:r>
            <w:r w:rsidRPr="00E55412">
              <w:rPr>
                <w:rFonts w:ascii="Arial" w:hAnsi="Arial" w:cs="Arial"/>
                <w:b/>
                <w:color w:val="7030A0"/>
                <w:sz w:val="20"/>
                <w:szCs w:val="20"/>
              </w:rPr>
              <w:t>ăilei</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7030A0"/>
                <w:sz w:val="20"/>
                <w:szCs w:val="20"/>
              </w:rPr>
            </w:pPr>
            <w:r w:rsidRPr="00E55412">
              <w:rPr>
                <w:rFonts w:ascii="Arial" w:hAnsi="Arial" w:cs="Arial"/>
                <w:color w:val="7030A0"/>
                <w:sz w:val="20"/>
                <w:szCs w:val="20"/>
              </w:rPr>
              <w:t>de interes internaţional</w:t>
            </w:r>
          </w:p>
          <w:p w:rsidR="00E55412" w:rsidRPr="00E55412" w:rsidRDefault="00E55412" w:rsidP="00E55412">
            <w:pPr>
              <w:spacing w:after="0" w:line="240" w:lineRule="auto"/>
              <w:rPr>
                <w:rFonts w:ascii="Arial" w:hAnsi="Arial" w:cs="Arial"/>
                <w:color w:val="7030A0"/>
                <w:sz w:val="20"/>
                <w:szCs w:val="20"/>
              </w:rPr>
            </w:pPr>
            <w:r w:rsidRPr="00E55412">
              <w:rPr>
                <w:rFonts w:ascii="Arial" w:hAnsi="Arial" w:cs="Arial"/>
                <w:color w:val="7030A0"/>
                <w:sz w:val="20"/>
                <w:szCs w:val="20"/>
              </w:rPr>
              <w:t>Sit Ramsar</w:t>
            </w:r>
          </w:p>
          <w:p w:rsidR="00E55412" w:rsidRPr="00E55412" w:rsidRDefault="00E55412" w:rsidP="00E55412">
            <w:pPr>
              <w:spacing w:after="0" w:line="240" w:lineRule="auto"/>
              <w:rPr>
                <w:rFonts w:ascii="Arial" w:hAnsi="Arial" w:cs="Arial"/>
                <w:color w:val="7030A0"/>
                <w:sz w:val="20"/>
                <w:szCs w:val="20"/>
              </w:rPr>
            </w:pPr>
            <w:r w:rsidRPr="00E55412">
              <w:rPr>
                <w:rFonts w:ascii="Arial" w:hAnsi="Arial" w:cs="Arial"/>
                <w:color w:val="7030A0"/>
                <w:sz w:val="20"/>
                <w:szCs w:val="20"/>
              </w:rPr>
              <w:t>1074</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pStyle w:val="BodyTextIndent2"/>
              <w:spacing w:after="0" w:line="240" w:lineRule="auto"/>
              <w:ind w:left="0"/>
              <w:rPr>
                <w:rFonts w:ascii="Arial" w:hAnsi="Arial" w:cs="Arial"/>
                <w:color w:val="7030A0"/>
                <w:sz w:val="20"/>
                <w:szCs w:val="20"/>
                <w:lang w:val="pt-BR" w:eastAsia="ro-RO"/>
              </w:rPr>
            </w:pPr>
            <w:r w:rsidRPr="00E55412">
              <w:rPr>
                <w:rFonts w:ascii="Arial" w:hAnsi="Arial" w:cs="Arial"/>
                <w:color w:val="7030A0"/>
                <w:sz w:val="20"/>
                <w:szCs w:val="20"/>
                <w:lang w:val="pt-BR"/>
              </w:rPr>
              <w:t xml:space="preserve">Parcul Natural </w:t>
            </w:r>
            <w:r w:rsidRPr="00E55412">
              <w:rPr>
                <w:rStyle w:val="tpt1"/>
                <w:rFonts w:ascii="Arial" w:hAnsi="Arial" w:cs="Arial"/>
                <w:color w:val="7030A0"/>
                <w:sz w:val="20"/>
                <w:szCs w:val="20"/>
                <w:lang w:val="pt-BR"/>
              </w:rPr>
              <w:t xml:space="preserve">Balta Mică a </w:t>
            </w:r>
            <w:r w:rsidR="007C1699">
              <w:rPr>
                <w:rStyle w:val="tpt1"/>
                <w:rFonts w:ascii="Arial" w:hAnsi="Arial" w:cs="Arial"/>
                <w:color w:val="7030A0"/>
                <w:sz w:val="20"/>
                <w:szCs w:val="20"/>
                <w:lang w:val="pt-BR"/>
              </w:rPr>
              <w:t>BR</w:t>
            </w:r>
            <w:r w:rsidRPr="00E55412">
              <w:rPr>
                <w:rStyle w:val="tpt1"/>
                <w:rFonts w:ascii="Arial" w:hAnsi="Arial" w:cs="Arial"/>
                <w:color w:val="7030A0"/>
                <w:sz w:val="20"/>
                <w:szCs w:val="20"/>
                <w:lang w:val="pt-BR"/>
              </w:rPr>
              <w:t>ăilei</w:t>
            </w:r>
            <w:r w:rsidRPr="00E55412">
              <w:rPr>
                <w:rFonts w:ascii="Arial" w:hAnsi="Arial" w:cs="Arial"/>
                <w:color w:val="7030A0"/>
                <w:sz w:val="20"/>
                <w:szCs w:val="20"/>
                <w:lang w:val="pt-BR" w:eastAsia="ro-RO"/>
              </w:rPr>
              <w:t>,</w:t>
            </w:r>
          </w:p>
          <w:p w:rsidR="00E55412" w:rsidRPr="00E55412" w:rsidRDefault="00E55412" w:rsidP="00E55412">
            <w:pPr>
              <w:pStyle w:val="BodyTextIndent2"/>
              <w:spacing w:after="0" w:line="240" w:lineRule="auto"/>
              <w:ind w:left="0"/>
              <w:rPr>
                <w:rStyle w:val="tpt1"/>
                <w:rFonts w:ascii="Arial" w:hAnsi="Arial" w:cs="Arial"/>
                <w:color w:val="7030A0"/>
                <w:sz w:val="20"/>
                <w:szCs w:val="20"/>
                <w:lang w:val="it-IT"/>
              </w:rPr>
            </w:pPr>
            <w:r w:rsidRPr="00E55412">
              <w:rPr>
                <w:rFonts w:ascii="Arial" w:hAnsi="Arial" w:cs="Arial"/>
                <w:color w:val="7030A0"/>
                <w:sz w:val="20"/>
                <w:szCs w:val="20"/>
                <w:lang w:val="it-IT" w:eastAsia="ro-RO"/>
              </w:rPr>
              <w:t xml:space="preserve">ROSCI0006 </w:t>
            </w:r>
            <w:r w:rsidRPr="00E55412">
              <w:rPr>
                <w:rStyle w:val="tpt1"/>
                <w:rFonts w:ascii="Arial" w:hAnsi="Arial" w:cs="Arial"/>
                <w:color w:val="7030A0"/>
                <w:sz w:val="20"/>
                <w:szCs w:val="20"/>
                <w:lang w:val="it-IT"/>
              </w:rPr>
              <w:t xml:space="preserve">Balta Mică a </w:t>
            </w:r>
            <w:r w:rsidR="007C1699">
              <w:rPr>
                <w:rStyle w:val="tpt1"/>
                <w:rFonts w:ascii="Arial" w:hAnsi="Arial" w:cs="Arial"/>
                <w:color w:val="7030A0"/>
                <w:sz w:val="20"/>
                <w:szCs w:val="20"/>
                <w:lang w:val="it-IT"/>
              </w:rPr>
              <w:t>BR</w:t>
            </w:r>
            <w:r w:rsidRPr="00E55412">
              <w:rPr>
                <w:rStyle w:val="tpt1"/>
                <w:rFonts w:ascii="Arial" w:hAnsi="Arial" w:cs="Arial"/>
                <w:color w:val="7030A0"/>
                <w:sz w:val="20"/>
                <w:szCs w:val="20"/>
                <w:lang w:val="it-IT"/>
              </w:rPr>
              <w:t>ăilei,</w:t>
            </w:r>
          </w:p>
          <w:p w:rsidR="00E55412" w:rsidRPr="00E55412" w:rsidRDefault="00E55412" w:rsidP="00E55412">
            <w:pPr>
              <w:spacing w:after="0" w:line="240" w:lineRule="auto"/>
              <w:rPr>
                <w:rFonts w:ascii="Arial" w:hAnsi="Arial" w:cs="Arial"/>
                <w:color w:val="7030A0"/>
                <w:sz w:val="20"/>
                <w:szCs w:val="20"/>
              </w:rPr>
            </w:pPr>
            <w:r w:rsidRPr="00E55412">
              <w:rPr>
                <w:rFonts w:ascii="Arial" w:hAnsi="Arial" w:cs="Arial"/>
                <w:color w:val="7030A0"/>
                <w:sz w:val="20"/>
                <w:szCs w:val="20"/>
                <w:lang w:val="it-IT"/>
              </w:rPr>
              <w:t xml:space="preserve">ROSPA0005 </w:t>
            </w:r>
            <w:r w:rsidRPr="00E55412">
              <w:rPr>
                <w:rStyle w:val="tpt1"/>
                <w:rFonts w:ascii="Arial" w:hAnsi="Arial" w:cs="Arial"/>
                <w:color w:val="7030A0"/>
                <w:sz w:val="20"/>
                <w:szCs w:val="20"/>
                <w:lang w:val="it-IT"/>
              </w:rPr>
              <w:t xml:space="preserve">Balta Mică a </w:t>
            </w:r>
            <w:r w:rsidR="007C1699">
              <w:rPr>
                <w:rStyle w:val="tpt1"/>
                <w:rFonts w:ascii="Arial" w:hAnsi="Arial" w:cs="Arial"/>
                <w:color w:val="7030A0"/>
                <w:sz w:val="20"/>
                <w:szCs w:val="20"/>
                <w:lang w:val="it-IT"/>
              </w:rPr>
              <w:t>BR</w:t>
            </w:r>
            <w:r w:rsidRPr="00E55412">
              <w:rPr>
                <w:rStyle w:val="tpt1"/>
                <w:rFonts w:ascii="Arial" w:hAnsi="Arial" w:cs="Arial"/>
                <w:color w:val="7030A0"/>
                <w:sz w:val="20"/>
                <w:szCs w:val="20"/>
                <w:lang w:val="it-IT"/>
              </w:rPr>
              <w:t>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7030A0"/>
                <w:sz w:val="20"/>
                <w:szCs w:val="20"/>
                <w:lang w:val="pt-BR"/>
              </w:rPr>
            </w:pPr>
            <w:r w:rsidRPr="00E55412">
              <w:rPr>
                <w:rFonts w:ascii="Arial" w:hAnsi="Arial" w:cs="Arial"/>
                <w:color w:val="7030A0"/>
                <w:sz w:val="20"/>
                <w:szCs w:val="20"/>
                <w:lang w:val="pt-BR"/>
              </w:rPr>
              <w:t xml:space="preserve">Administraţia Parcului Natural </w:t>
            </w:r>
            <w:r w:rsidRPr="00E55412">
              <w:rPr>
                <w:rStyle w:val="tpt1"/>
                <w:rFonts w:ascii="Arial" w:hAnsi="Arial" w:cs="Arial"/>
                <w:color w:val="7030A0"/>
                <w:sz w:val="20"/>
                <w:szCs w:val="20"/>
                <w:lang w:val="pt-BR"/>
              </w:rPr>
              <w:t xml:space="preserve">Balta Mică a </w:t>
            </w:r>
            <w:r w:rsidR="007C1699">
              <w:rPr>
                <w:rStyle w:val="tpt1"/>
                <w:rFonts w:ascii="Arial" w:hAnsi="Arial" w:cs="Arial"/>
                <w:color w:val="7030A0"/>
                <w:sz w:val="20"/>
                <w:szCs w:val="20"/>
                <w:lang w:val="pt-BR"/>
              </w:rPr>
              <w:t>BR</w:t>
            </w:r>
            <w:r w:rsidRPr="00E55412">
              <w:rPr>
                <w:rStyle w:val="tpt1"/>
                <w:rFonts w:ascii="Arial" w:hAnsi="Arial" w:cs="Arial"/>
                <w:color w:val="7030A0"/>
                <w:sz w:val="20"/>
                <w:szCs w:val="20"/>
                <w:lang w:val="pt-BR"/>
              </w:rPr>
              <w:t>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7030A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7030A0"/>
                <w:sz w:val="20"/>
                <w:szCs w:val="20"/>
              </w:rPr>
            </w:pPr>
          </w:p>
        </w:tc>
      </w:tr>
      <w:tr w:rsidR="00E55412" w:rsidRPr="00E55412" w:rsidTr="002375D1">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FF0000"/>
                <w:sz w:val="20"/>
                <w:szCs w:val="20"/>
              </w:rPr>
            </w:pPr>
            <w:r w:rsidRPr="00E55412">
              <w:rPr>
                <w:rFonts w:ascii="Arial" w:hAnsi="Arial" w:cs="Arial"/>
                <w:b/>
                <w:color w:val="FF0000"/>
                <w:sz w:val="20"/>
                <w:szCs w:val="20"/>
              </w:rPr>
              <w:t xml:space="preserve">Balta Mică a </w:t>
            </w:r>
            <w:r w:rsidR="007C1699">
              <w:rPr>
                <w:rFonts w:ascii="Arial" w:hAnsi="Arial" w:cs="Arial"/>
                <w:b/>
                <w:color w:val="FF0000"/>
                <w:sz w:val="20"/>
                <w:szCs w:val="20"/>
              </w:rPr>
              <w:t>BR</w:t>
            </w:r>
            <w:r w:rsidRPr="00E55412">
              <w:rPr>
                <w:rFonts w:ascii="Arial" w:hAnsi="Arial" w:cs="Arial"/>
                <w:b/>
                <w:color w:val="FF0000"/>
                <w:sz w:val="20"/>
                <w:szCs w:val="20"/>
              </w:rPr>
              <w:t>ăilei</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FF0000"/>
                <w:sz w:val="20"/>
                <w:szCs w:val="20"/>
              </w:rPr>
            </w:pPr>
            <w:r w:rsidRPr="00E55412">
              <w:rPr>
                <w:rFonts w:ascii="Arial" w:hAnsi="Arial" w:cs="Arial"/>
                <w:color w:val="FF0000"/>
                <w:sz w:val="20"/>
                <w:szCs w:val="20"/>
              </w:rPr>
              <w:t>de interes naţional</w:t>
            </w:r>
          </w:p>
          <w:p w:rsidR="00E55412" w:rsidRPr="00E55412" w:rsidRDefault="00E55412" w:rsidP="00E55412">
            <w:pPr>
              <w:spacing w:after="0" w:line="240" w:lineRule="auto"/>
              <w:rPr>
                <w:rFonts w:ascii="Arial" w:hAnsi="Arial" w:cs="Arial"/>
                <w:color w:val="FF0000"/>
                <w:sz w:val="20"/>
                <w:szCs w:val="20"/>
              </w:rPr>
            </w:pPr>
            <w:r w:rsidRPr="00E55412">
              <w:rPr>
                <w:rFonts w:ascii="Arial" w:hAnsi="Arial" w:cs="Arial"/>
                <w:color w:val="FF0000"/>
                <w:sz w:val="20"/>
                <w:szCs w:val="20"/>
              </w:rPr>
              <w:t>parc natural</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pStyle w:val="BodyTextIndent2"/>
              <w:spacing w:after="0" w:line="240" w:lineRule="auto"/>
              <w:ind w:left="0"/>
              <w:rPr>
                <w:rStyle w:val="tpt1"/>
                <w:rFonts w:ascii="Arial" w:hAnsi="Arial" w:cs="Arial"/>
                <w:color w:val="FF0000"/>
                <w:sz w:val="20"/>
                <w:szCs w:val="20"/>
                <w:lang w:val="it-IT"/>
              </w:rPr>
            </w:pPr>
            <w:r w:rsidRPr="00E55412">
              <w:rPr>
                <w:rFonts w:ascii="Arial" w:hAnsi="Arial" w:cs="Arial"/>
                <w:color w:val="FF0000"/>
                <w:sz w:val="20"/>
                <w:szCs w:val="20"/>
                <w:lang w:val="it-IT" w:eastAsia="ro-RO"/>
              </w:rPr>
              <w:t xml:space="preserve">ROSCI0006 </w:t>
            </w:r>
            <w:r w:rsidRPr="00E55412">
              <w:rPr>
                <w:rStyle w:val="tpt1"/>
                <w:rFonts w:ascii="Arial" w:hAnsi="Arial" w:cs="Arial"/>
                <w:color w:val="FF0000"/>
                <w:sz w:val="20"/>
                <w:szCs w:val="20"/>
                <w:lang w:val="it-IT"/>
              </w:rPr>
              <w:t xml:space="preserve">Balta Mică a </w:t>
            </w:r>
            <w:r w:rsidR="007C1699">
              <w:rPr>
                <w:rStyle w:val="tpt1"/>
                <w:rFonts w:ascii="Arial" w:hAnsi="Arial" w:cs="Arial"/>
                <w:color w:val="FF0000"/>
                <w:sz w:val="20"/>
                <w:szCs w:val="20"/>
                <w:lang w:val="it-IT"/>
              </w:rPr>
              <w:t>BR</w:t>
            </w:r>
            <w:r w:rsidRPr="00E55412">
              <w:rPr>
                <w:rStyle w:val="tpt1"/>
                <w:rFonts w:ascii="Arial" w:hAnsi="Arial" w:cs="Arial"/>
                <w:color w:val="FF0000"/>
                <w:sz w:val="20"/>
                <w:szCs w:val="20"/>
                <w:lang w:val="it-IT"/>
              </w:rPr>
              <w:t>ăilei,</w:t>
            </w:r>
          </w:p>
          <w:p w:rsidR="00E55412" w:rsidRPr="00E55412" w:rsidRDefault="00E55412" w:rsidP="00E55412">
            <w:pPr>
              <w:pStyle w:val="BodyTextIndent2"/>
              <w:spacing w:after="0" w:line="240" w:lineRule="auto"/>
              <w:ind w:left="0"/>
              <w:rPr>
                <w:rFonts w:ascii="Arial" w:hAnsi="Arial" w:cs="Arial"/>
                <w:color w:val="FF0000"/>
                <w:sz w:val="20"/>
                <w:szCs w:val="20"/>
                <w:lang w:eastAsia="ro-RO"/>
              </w:rPr>
            </w:pPr>
            <w:r w:rsidRPr="00E55412">
              <w:rPr>
                <w:rFonts w:ascii="Arial" w:hAnsi="Arial" w:cs="Arial"/>
                <w:color w:val="FF0000"/>
                <w:sz w:val="20"/>
                <w:szCs w:val="20"/>
                <w:lang w:val="it-IT" w:eastAsia="ro-RO"/>
              </w:rPr>
              <w:t xml:space="preserve">ROSPA0005 </w:t>
            </w:r>
            <w:r w:rsidRPr="00E55412">
              <w:rPr>
                <w:rStyle w:val="tpt1"/>
                <w:rFonts w:ascii="Arial" w:hAnsi="Arial" w:cs="Arial"/>
                <w:color w:val="FF0000"/>
                <w:sz w:val="20"/>
                <w:szCs w:val="20"/>
                <w:lang w:val="it-IT"/>
              </w:rPr>
              <w:t xml:space="preserve">Balta Mică a </w:t>
            </w:r>
            <w:r w:rsidR="007C1699">
              <w:rPr>
                <w:rStyle w:val="tpt1"/>
                <w:rFonts w:ascii="Arial" w:hAnsi="Arial" w:cs="Arial"/>
                <w:color w:val="FF0000"/>
                <w:sz w:val="20"/>
                <w:szCs w:val="20"/>
                <w:lang w:val="it-IT"/>
              </w:rPr>
              <w:t>BR</w:t>
            </w:r>
            <w:r w:rsidRPr="00E55412">
              <w:rPr>
                <w:rStyle w:val="tpt1"/>
                <w:rFonts w:ascii="Arial" w:hAnsi="Arial" w:cs="Arial"/>
                <w:color w:val="FF0000"/>
                <w:sz w:val="20"/>
                <w:szCs w:val="20"/>
                <w:lang w:val="it-IT"/>
              </w:rPr>
              <w:t>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lang w:val="pt-BR"/>
              </w:rPr>
            </w:pPr>
            <w:r w:rsidRPr="00E55412">
              <w:rPr>
                <w:rFonts w:ascii="Arial" w:hAnsi="Arial" w:cs="Arial"/>
                <w:color w:val="FF0000"/>
                <w:sz w:val="20"/>
                <w:szCs w:val="20"/>
                <w:lang w:val="pt-BR"/>
              </w:rPr>
              <w:t xml:space="preserve">Administraţia Parcului Natural </w:t>
            </w:r>
            <w:r w:rsidRPr="00E55412">
              <w:rPr>
                <w:rStyle w:val="tpt1"/>
                <w:rFonts w:ascii="Arial" w:hAnsi="Arial" w:cs="Arial"/>
                <w:color w:val="FF0000"/>
                <w:sz w:val="20"/>
                <w:szCs w:val="20"/>
                <w:lang w:val="pt-BR"/>
              </w:rPr>
              <w:t xml:space="preserve">Balta Mică a </w:t>
            </w:r>
            <w:r w:rsidR="007C1699">
              <w:rPr>
                <w:rStyle w:val="tpt1"/>
                <w:rFonts w:ascii="Arial" w:hAnsi="Arial" w:cs="Arial"/>
                <w:color w:val="FF0000"/>
                <w:sz w:val="20"/>
                <w:szCs w:val="20"/>
                <w:lang w:val="pt-BR"/>
              </w:rPr>
              <w:t>BR</w:t>
            </w:r>
            <w:r w:rsidRPr="00E55412">
              <w:rPr>
                <w:rStyle w:val="tpt1"/>
                <w:rFonts w:ascii="Arial" w:hAnsi="Arial" w:cs="Arial"/>
                <w:color w:val="FF0000"/>
                <w:sz w:val="20"/>
                <w:szCs w:val="20"/>
                <w:lang w:val="pt-BR"/>
              </w:rPr>
              <w:t>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 xml:space="preserve">Balta Mică a </w:t>
            </w:r>
            <w:r w:rsidR="007C1699">
              <w:rPr>
                <w:rFonts w:ascii="Arial" w:hAnsi="Arial" w:cs="Arial"/>
                <w:b/>
                <w:color w:val="00B050"/>
                <w:sz w:val="20"/>
                <w:szCs w:val="20"/>
              </w:rPr>
              <w:t>BR</w:t>
            </w:r>
            <w:r w:rsidRPr="00E55412">
              <w:rPr>
                <w:rFonts w:ascii="Arial" w:hAnsi="Arial" w:cs="Arial"/>
                <w:b/>
                <w:color w:val="00B050"/>
                <w:sz w:val="20"/>
                <w:szCs w:val="20"/>
              </w:rPr>
              <w:t>ăilei</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ROSPA0005</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pStyle w:val="BodyTextIndent2"/>
              <w:spacing w:after="0" w:line="240" w:lineRule="auto"/>
              <w:ind w:left="0"/>
              <w:rPr>
                <w:rFonts w:ascii="Arial" w:hAnsi="Arial" w:cs="Arial"/>
                <w:color w:val="00B050"/>
                <w:sz w:val="20"/>
                <w:szCs w:val="20"/>
                <w:lang w:val="pt-BR" w:eastAsia="ro-RO"/>
              </w:rPr>
            </w:pPr>
            <w:r w:rsidRPr="00E55412">
              <w:rPr>
                <w:rFonts w:ascii="Arial" w:hAnsi="Arial" w:cs="Arial"/>
                <w:color w:val="00B050"/>
                <w:sz w:val="20"/>
                <w:szCs w:val="20"/>
                <w:lang w:val="pt-BR"/>
              </w:rPr>
              <w:t xml:space="preserve">Parcul Natural </w:t>
            </w:r>
            <w:r w:rsidRPr="00E55412">
              <w:rPr>
                <w:rStyle w:val="tpt1"/>
                <w:rFonts w:ascii="Arial" w:hAnsi="Arial" w:cs="Arial"/>
                <w:color w:val="00B050"/>
                <w:sz w:val="20"/>
                <w:szCs w:val="20"/>
                <w:lang w:val="pt-BR"/>
              </w:rPr>
              <w:t xml:space="preserve">Balta Mică a </w:t>
            </w:r>
            <w:r w:rsidR="007C1699">
              <w:rPr>
                <w:rStyle w:val="tpt1"/>
                <w:rFonts w:ascii="Arial" w:hAnsi="Arial" w:cs="Arial"/>
                <w:color w:val="00B050"/>
                <w:sz w:val="20"/>
                <w:szCs w:val="20"/>
                <w:lang w:val="pt-BR"/>
              </w:rPr>
              <w:t>BR</w:t>
            </w:r>
            <w:r w:rsidRPr="00E55412">
              <w:rPr>
                <w:rStyle w:val="tpt1"/>
                <w:rFonts w:ascii="Arial" w:hAnsi="Arial" w:cs="Arial"/>
                <w:color w:val="00B050"/>
                <w:sz w:val="20"/>
                <w:szCs w:val="20"/>
                <w:lang w:val="pt-BR"/>
              </w:rPr>
              <w:t>ăilei</w:t>
            </w:r>
            <w:r w:rsidRPr="00E55412">
              <w:rPr>
                <w:rFonts w:ascii="Arial" w:hAnsi="Arial" w:cs="Arial"/>
                <w:color w:val="00B050"/>
                <w:sz w:val="20"/>
                <w:szCs w:val="20"/>
                <w:lang w:val="pt-BR" w:eastAsia="ro-RO"/>
              </w:rPr>
              <w:t>,</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lang w:val="it-IT"/>
              </w:rPr>
              <w:t xml:space="preserve">ROSCI0006 </w:t>
            </w:r>
            <w:r w:rsidRPr="00E55412">
              <w:rPr>
                <w:rStyle w:val="tpt1"/>
                <w:rFonts w:ascii="Arial" w:hAnsi="Arial" w:cs="Arial"/>
                <w:color w:val="00B050"/>
                <w:sz w:val="20"/>
                <w:szCs w:val="20"/>
                <w:lang w:val="it-IT"/>
              </w:rPr>
              <w:t xml:space="preserve">Balta Mică a </w:t>
            </w:r>
            <w:r w:rsidR="007C1699">
              <w:rPr>
                <w:rStyle w:val="tpt1"/>
                <w:rFonts w:ascii="Arial" w:hAnsi="Arial" w:cs="Arial"/>
                <w:color w:val="00B050"/>
                <w:sz w:val="20"/>
                <w:szCs w:val="20"/>
                <w:lang w:val="it-IT"/>
              </w:rPr>
              <w:t>BR</w:t>
            </w:r>
            <w:r w:rsidRPr="00E55412">
              <w:rPr>
                <w:rStyle w:val="tpt1"/>
                <w:rFonts w:ascii="Arial" w:hAnsi="Arial" w:cs="Arial"/>
                <w:color w:val="00B050"/>
                <w:sz w:val="20"/>
                <w:szCs w:val="20"/>
                <w:lang w:val="it-IT"/>
              </w:rPr>
              <w:t>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lang w:val="pt-BR"/>
              </w:rPr>
            </w:pPr>
            <w:r w:rsidRPr="00E55412">
              <w:rPr>
                <w:rFonts w:ascii="Arial" w:hAnsi="Arial" w:cs="Arial"/>
                <w:color w:val="00B050"/>
                <w:sz w:val="20"/>
                <w:szCs w:val="20"/>
                <w:lang w:val="pt-BR"/>
              </w:rPr>
              <w:t xml:space="preserve">Administraţia Parcului Natural </w:t>
            </w:r>
            <w:r w:rsidRPr="00E55412">
              <w:rPr>
                <w:rStyle w:val="tpt1"/>
                <w:rFonts w:ascii="Arial" w:hAnsi="Arial" w:cs="Arial"/>
                <w:color w:val="00B050"/>
                <w:sz w:val="20"/>
                <w:szCs w:val="20"/>
                <w:lang w:val="pt-BR"/>
              </w:rPr>
              <w:t xml:space="preserve">Balta Mică a </w:t>
            </w:r>
            <w:r w:rsidR="007C1699">
              <w:rPr>
                <w:rStyle w:val="tpt1"/>
                <w:rFonts w:ascii="Arial" w:hAnsi="Arial" w:cs="Arial"/>
                <w:color w:val="00B050"/>
                <w:sz w:val="20"/>
                <w:szCs w:val="20"/>
                <w:lang w:val="pt-BR"/>
              </w:rPr>
              <w:t>BR</w:t>
            </w:r>
            <w:r w:rsidRPr="00E55412">
              <w:rPr>
                <w:rStyle w:val="tpt1"/>
                <w:rFonts w:ascii="Arial" w:hAnsi="Arial" w:cs="Arial"/>
                <w:color w:val="00B050"/>
                <w:sz w:val="20"/>
                <w:szCs w:val="20"/>
                <w:lang w:val="pt-BR"/>
              </w:rPr>
              <w:t>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 xml:space="preserve">Balta Mică a </w:t>
            </w:r>
            <w:r w:rsidR="007C1699">
              <w:rPr>
                <w:rFonts w:ascii="Arial" w:hAnsi="Arial" w:cs="Arial"/>
                <w:b/>
                <w:color w:val="0070C0"/>
                <w:sz w:val="20"/>
                <w:szCs w:val="20"/>
              </w:rPr>
              <w:t>BR</w:t>
            </w:r>
            <w:r w:rsidRPr="00E55412">
              <w:rPr>
                <w:rFonts w:ascii="Arial" w:hAnsi="Arial" w:cs="Arial"/>
                <w:b/>
                <w:color w:val="0070C0"/>
                <w:sz w:val="20"/>
                <w:szCs w:val="20"/>
              </w:rPr>
              <w:t>ăilei</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ROSCI0006</w:t>
            </w:r>
          </w:p>
          <w:p w:rsidR="00E55412" w:rsidRPr="00E55412" w:rsidRDefault="00E55412" w:rsidP="00E55412">
            <w:pPr>
              <w:spacing w:after="0" w:line="240" w:lineRule="auto"/>
              <w:rPr>
                <w:rFonts w:ascii="Arial" w:hAnsi="Arial" w:cs="Arial"/>
                <w:color w:val="0070C0"/>
                <w:sz w:val="20"/>
                <w:szCs w:val="20"/>
              </w:rPr>
            </w:pP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pStyle w:val="BodyTextIndent2"/>
              <w:spacing w:after="0" w:line="240" w:lineRule="auto"/>
              <w:ind w:left="0"/>
              <w:rPr>
                <w:rStyle w:val="tpt1"/>
                <w:rFonts w:ascii="Arial" w:hAnsi="Arial" w:cs="Arial"/>
                <w:color w:val="0070C0"/>
                <w:sz w:val="20"/>
                <w:szCs w:val="20"/>
                <w:lang w:val="pt-BR"/>
              </w:rPr>
            </w:pPr>
            <w:r w:rsidRPr="00E55412">
              <w:rPr>
                <w:rFonts w:ascii="Arial" w:hAnsi="Arial" w:cs="Arial"/>
                <w:color w:val="0070C0"/>
                <w:sz w:val="20"/>
                <w:szCs w:val="20"/>
                <w:lang w:val="pt-BR"/>
              </w:rPr>
              <w:t xml:space="preserve">Parcul Natural </w:t>
            </w:r>
            <w:r w:rsidRPr="00E55412">
              <w:rPr>
                <w:rStyle w:val="tpt1"/>
                <w:rFonts w:ascii="Arial" w:hAnsi="Arial" w:cs="Arial"/>
                <w:color w:val="0070C0"/>
                <w:sz w:val="20"/>
                <w:szCs w:val="20"/>
                <w:lang w:val="pt-BR"/>
              </w:rPr>
              <w:t xml:space="preserve">Balta Mică a </w:t>
            </w:r>
            <w:r w:rsidR="007C1699">
              <w:rPr>
                <w:rStyle w:val="tpt1"/>
                <w:rFonts w:ascii="Arial" w:hAnsi="Arial" w:cs="Arial"/>
                <w:color w:val="0070C0"/>
                <w:sz w:val="20"/>
                <w:szCs w:val="20"/>
                <w:lang w:val="pt-BR"/>
              </w:rPr>
              <w:t>BR</w:t>
            </w:r>
            <w:r w:rsidRPr="00E55412">
              <w:rPr>
                <w:rStyle w:val="tpt1"/>
                <w:rFonts w:ascii="Arial" w:hAnsi="Arial" w:cs="Arial"/>
                <w:color w:val="0070C0"/>
                <w:sz w:val="20"/>
                <w:szCs w:val="20"/>
                <w:lang w:val="pt-BR"/>
              </w:rPr>
              <w:t>ăilei</w:t>
            </w:r>
            <w:r w:rsidRPr="00E55412">
              <w:rPr>
                <w:rFonts w:ascii="Arial" w:hAnsi="Arial" w:cs="Arial"/>
                <w:color w:val="0070C0"/>
                <w:sz w:val="20"/>
                <w:szCs w:val="20"/>
                <w:lang w:val="pt-BR" w:eastAsia="ro-RO"/>
              </w:rPr>
              <w:t>,</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 xml:space="preserve">ROSPA0005 </w:t>
            </w:r>
            <w:r w:rsidRPr="00E55412">
              <w:rPr>
                <w:rStyle w:val="tpt1"/>
                <w:rFonts w:ascii="Arial" w:hAnsi="Arial" w:cs="Arial"/>
                <w:color w:val="0070C0"/>
                <w:sz w:val="20"/>
                <w:szCs w:val="20"/>
                <w:lang w:val="it-IT"/>
              </w:rPr>
              <w:t xml:space="preserve">Balta Mică a </w:t>
            </w:r>
            <w:r w:rsidR="007C1699">
              <w:rPr>
                <w:rStyle w:val="tpt1"/>
                <w:rFonts w:ascii="Arial" w:hAnsi="Arial" w:cs="Arial"/>
                <w:color w:val="0070C0"/>
                <w:sz w:val="20"/>
                <w:szCs w:val="20"/>
                <w:lang w:val="it-IT"/>
              </w:rPr>
              <w:t>BR</w:t>
            </w:r>
            <w:r w:rsidRPr="00E55412">
              <w:rPr>
                <w:rStyle w:val="tpt1"/>
                <w:rFonts w:ascii="Arial" w:hAnsi="Arial" w:cs="Arial"/>
                <w:color w:val="0070C0"/>
                <w:sz w:val="20"/>
                <w:szCs w:val="20"/>
                <w:lang w:val="it-IT"/>
              </w:rPr>
              <w:t>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lang w:val="pt-BR"/>
              </w:rPr>
            </w:pPr>
            <w:r w:rsidRPr="00E55412">
              <w:rPr>
                <w:rFonts w:ascii="Arial" w:hAnsi="Arial" w:cs="Arial"/>
                <w:color w:val="0070C0"/>
                <w:sz w:val="20"/>
                <w:szCs w:val="20"/>
                <w:lang w:val="pt-BR"/>
              </w:rPr>
              <w:t xml:space="preserve">Administraţia Parcului Natural </w:t>
            </w:r>
            <w:r w:rsidRPr="00E55412">
              <w:rPr>
                <w:rStyle w:val="tpt1"/>
                <w:rFonts w:ascii="Arial" w:hAnsi="Arial" w:cs="Arial"/>
                <w:color w:val="0070C0"/>
                <w:sz w:val="20"/>
                <w:szCs w:val="20"/>
                <w:lang w:val="pt-BR"/>
              </w:rPr>
              <w:t xml:space="preserve">Balta Mică a </w:t>
            </w:r>
            <w:r w:rsidR="007C1699">
              <w:rPr>
                <w:rStyle w:val="tpt1"/>
                <w:rFonts w:ascii="Arial" w:hAnsi="Arial" w:cs="Arial"/>
                <w:color w:val="0070C0"/>
                <w:sz w:val="20"/>
                <w:szCs w:val="20"/>
                <w:lang w:val="pt-BR"/>
              </w:rPr>
              <w:t>BR</w:t>
            </w:r>
            <w:r w:rsidRPr="00E55412">
              <w:rPr>
                <w:rStyle w:val="tpt1"/>
                <w:rFonts w:ascii="Arial" w:hAnsi="Arial" w:cs="Arial"/>
                <w:color w:val="0070C0"/>
                <w:sz w:val="20"/>
                <w:szCs w:val="20"/>
                <w:lang w:val="pt-BR"/>
              </w:rPr>
              <w:t>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Lunca Siretului Inferior</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ROSPA0071</w:t>
            </w:r>
          </w:p>
          <w:p w:rsidR="00E55412" w:rsidRPr="00E55412" w:rsidRDefault="00E55412" w:rsidP="00E55412">
            <w:pPr>
              <w:spacing w:after="0" w:line="240" w:lineRule="auto"/>
              <w:rPr>
                <w:rFonts w:ascii="Arial" w:hAnsi="Arial" w:cs="Arial"/>
                <w:color w:val="00B050"/>
                <w:sz w:val="20"/>
                <w:szCs w:val="20"/>
              </w:rPr>
            </w:pP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bCs/>
                <w:iCs/>
                <w:color w:val="00B050"/>
                <w:sz w:val="20"/>
                <w:szCs w:val="20"/>
              </w:rPr>
              <w:t xml:space="preserve">ROSCI0162 </w:t>
            </w:r>
            <w:r w:rsidRPr="00E55412">
              <w:rPr>
                <w:rFonts w:ascii="Arial" w:hAnsi="Arial" w:cs="Arial"/>
                <w:color w:val="00B050"/>
                <w:sz w:val="20"/>
                <w:szCs w:val="20"/>
              </w:rPr>
              <w:t>Lunca Siretului Inferior</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lang w:val="it-IT"/>
              </w:rPr>
            </w:pPr>
            <w:r w:rsidRPr="00E55412">
              <w:rPr>
                <w:rFonts w:ascii="Arial" w:hAnsi="Arial" w:cs="Arial"/>
                <w:color w:val="00B050"/>
                <w:sz w:val="20"/>
                <w:szCs w:val="20"/>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Lunca Siretului Inferior</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ROSCI0162</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 xml:space="preserve">ROSPA0071 </w:t>
            </w:r>
            <w:r w:rsidRPr="00E55412">
              <w:rPr>
                <w:rFonts w:ascii="Arial" w:hAnsi="Arial" w:cs="Arial"/>
                <w:color w:val="0070C0"/>
                <w:sz w:val="20"/>
                <w:szCs w:val="20"/>
              </w:rPr>
              <w:t>Lunca Siretului Inferior</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lang w:val="it-IT"/>
              </w:rPr>
            </w:pPr>
            <w:r w:rsidRPr="00E55412">
              <w:rPr>
                <w:rFonts w:ascii="Arial" w:hAnsi="Arial" w:cs="Arial"/>
                <w:color w:val="0070C0"/>
                <w:sz w:val="20"/>
                <w:szCs w:val="20"/>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70C0"/>
                <w:sz w:val="20"/>
                <w:szCs w:val="20"/>
              </w:rPr>
            </w:pPr>
            <w:r w:rsidRPr="00E55412">
              <w:rPr>
                <w:rFonts w:ascii="Arial" w:hAnsi="Arial" w:cs="Arial"/>
                <w:b/>
                <w:color w:val="0070C0"/>
                <w:sz w:val="20"/>
                <w:szCs w:val="20"/>
              </w:rPr>
              <w:lastRenderedPageBreak/>
              <w:t>Lunca Buzăului</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ROSCI0103</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Universitatea Ecologică Bucureşti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p>
        </w:tc>
      </w:tr>
      <w:tr w:rsidR="00E55412" w:rsidRPr="00E55412" w:rsidTr="002375D1">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FF0000"/>
                <w:sz w:val="20"/>
                <w:szCs w:val="20"/>
              </w:rPr>
            </w:pPr>
            <w:r w:rsidRPr="00E55412">
              <w:rPr>
                <w:rFonts w:ascii="Arial" w:hAnsi="Arial" w:cs="Arial"/>
                <w:b/>
                <w:color w:val="FF0000"/>
                <w:sz w:val="20"/>
                <w:szCs w:val="20"/>
              </w:rPr>
              <w:t>Pădurea Camniţa</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de interes naţional</w:t>
            </w:r>
          </w:p>
          <w:p w:rsidR="00E55412" w:rsidRPr="00E55412" w:rsidRDefault="00E55412"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rezervaţie naturală</w:t>
            </w:r>
          </w:p>
          <w:p w:rsidR="00E55412" w:rsidRPr="00E55412" w:rsidRDefault="00E55412"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2259</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FF0000"/>
                <w:sz w:val="20"/>
                <w:szCs w:val="20"/>
              </w:rPr>
            </w:pPr>
            <w:r w:rsidRPr="00E55412">
              <w:rPr>
                <w:rFonts w:ascii="Arial" w:hAnsi="Arial" w:cs="Arial"/>
                <w:color w:val="FF000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Balta Albă-Amara-Jirlău</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ROSPA0004</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 xml:space="preserve">ROSCI0005 Balta Albă-Amara-Jirlău-Lacul Sărat Câineni,  </w:t>
            </w:r>
            <w:r w:rsidRPr="00E55412">
              <w:rPr>
                <w:rFonts w:ascii="Arial" w:hAnsi="Arial" w:cs="Arial"/>
                <w:bCs/>
                <w:color w:val="00B050"/>
                <w:sz w:val="20"/>
                <w:szCs w:val="20"/>
                <w:lang w:val="fr-FR"/>
              </w:rPr>
              <w:t>Cuprinde Rezervaţia naturală</w:t>
            </w:r>
            <w:r w:rsidRPr="00E55412">
              <w:rPr>
                <w:rFonts w:ascii="Arial" w:hAnsi="Arial" w:cs="Arial"/>
                <w:color w:val="00B050"/>
                <w:sz w:val="20"/>
                <w:szCs w:val="20"/>
              </w:rPr>
              <w:t xml:space="preserve"> Lacul Jirlău Vişani cod 2260</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Asociaţia Maximilian Buzău</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r>
      <w:tr w:rsidR="00E55412" w:rsidRPr="00E55412" w:rsidTr="002375D1">
        <w:trPr>
          <w:cantSplit/>
          <w:trHeight w:val="939"/>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Balta Albă-Amara-Jirlău-Lacul Sărat Câineni</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ROSCI0005</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 xml:space="preserve">ROSPA0004 </w:t>
            </w:r>
            <w:r w:rsidRPr="00E55412">
              <w:rPr>
                <w:rFonts w:ascii="Arial" w:hAnsi="Arial" w:cs="Arial"/>
                <w:color w:val="0070C0"/>
                <w:sz w:val="20"/>
                <w:szCs w:val="20"/>
              </w:rPr>
              <w:t>Balta Albă-Amara-Jirlău</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bCs/>
                <w:color w:val="0070C0"/>
                <w:sz w:val="20"/>
                <w:szCs w:val="20"/>
                <w:lang w:val="fr-FR"/>
              </w:rPr>
              <w:t>Cuprinde Rezervaţia naturală</w:t>
            </w:r>
            <w:r w:rsidRPr="00E55412">
              <w:rPr>
                <w:rFonts w:ascii="Arial" w:hAnsi="Arial" w:cs="Arial"/>
                <w:color w:val="0070C0"/>
                <w:sz w:val="20"/>
                <w:szCs w:val="20"/>
              </w:rPr>
              <w:t xml:space="preserve"> Lacul Jirlău Vişani cod 2260</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Asociaţia Maximilian Buzău</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55412" w:rsidRPr="00E55412" w:rsidTr="002375D1">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FF0000"/>
                <w:sz w:val="20"/>
                <w:szCs w:val="20"/>
              </w:rPr>
            </w:pPr>
            <w:r w:rsidRPr="00E55412">
              <w:rPr>
                <w:rFonts w:ascii="Arial" w:hAnsi="Arial" w:cs="Arial"/>
                <w:b/>
                <w:color w:val="FF0000"/>
                <w:sz w:val="20"/>
                <w:szCs w:val="20"/>
              </w:rPr>
              <w:t>Lacul Jirlău Vişani</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de interes naţional</w:t>
            </w:r>
          </w:p>
          <w:p w:rsidR="00E55412" w:rsidRPr="00E55412" w:rsidRDefault="00E55412"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rezervaţie naturală</w:t>
            </w:r>
          </w:p>
          <w:p w:rsidR="00E55412" w:rsidRPr="00E55412" w:rsidRDefault="00E55412"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2260</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ROSPA0004 Balta Albă-Amara-Jirlău, ROSCI0005 Balta Albă-Amara-Jirlău-Lacul Sărat Câineni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Asociaţia Maximilian Buzău</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FF000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r>
      <w:tr w:rsidR="00E55412" w:rsidRPr="00E55412" w:rsidTr="002375D1">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7030A0"/>
                <w:sz w:val="20"/>
                <w:szCs w:val="20"/>
              </w:rPr>
            </w:pPr>
            <w:r w:rsidRPr="00E55412">
              <w:rPr>
                <w:rFonts w:ascii="Arial" w:hAnsi="Arial" w:cs="Arial"/>
                <w:b/>
                <w:color w:val="7030A0"/>
                <w:sz w:val="20"/>
                <w:szCs w:val="20"/>
              </w:rPr>
              <w:t>Dunărea Veche-</w:t>
            </w:r>
            <w:r w:rsidR="007C1699">
              <w:rPr>
                <w:rFonts w:ascii="Arial" w:hAnsi="Arial" w:cs="Arial"/>
                <w:b/>
                <w:color w:val="7030A0"/>
                <w:sz w:val="20"/>
                <w:szCs w:val="20"/>
              </w:rPr>
              <w:t>BR</w:t>
            </w:r>
            <w:r w:rsidRPr="00E55412">
              <w:rPr>
                <w:rFonts w:ascii="Arial" w:hAnsi="Arial" w:cs="Arial"/>
                <w:b/>
                <w:color w:val="7030A0"/>
                <w:sz w:val="20"/>
                <w:szCs w:val="20"/>
              </w:rPr>
              <w:t>aţul Măcin</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7030A0"/>
                <w:sz w:val="20"/>
                <w:szCs w:val="20"/>
              </w:rPr>
            </w:pPr>
            <w:r w:rsidRPr="00E55412">
              <w:rPr>
                <w:rFonts w:ascii="Arial" w:hAnsi="Arial" w:cs="Arial"/>
                <w:color w:val="7030A0"/>
                <w:sz w:val="20"/>
                <w:szCs w:val="20"/>
              </w:rPr>
              <w:t>de interes internaţional</w:t>
            </w:r>
          </w:p>
          <w:p w:rsidR="00E55412" w:rsidRPr="00E55412" w:rsidRDefault="00E55412" w:rsidP="00E55412">
            <w:pPr>
              <w:spacing w:after="0" w:line="240" w:lineRule="auto"/>
              <w:rPr>
                <w:rFonts w:ascii="Arial" w:hAnsi="Arial" w:cs="Arial"/>
                <w:color w:val="7030A0"/>
                <w:sz w:val="20"/>
                <w:szCs w:val="20"/>
              </w:rPr>
            </w:pPr>
            <w:r w:rsidRPr="00E55412">
              <w:rPr>
                <w:rFonts w:ascii="Arial" w:hAnsi="Arial" w:cs="Arial"/>
                <w:color w:val="7030A0"/>
                <w:sz w:val="20"/>
                <w:szCs w:val="20"/>
              </w:rPr>
              <w:t>Sit Ramsar</w:t>
            </w:r>
          </w:p>
          <w:p w:rsidR="00E55412" w:rsidRPr="00E55412" w:rsidRDefault="00E55412" w:rsidP="00E55412">
            <w:pPr>
              <w:spacing w:after="0" w:line="240" w:lineRule="auto"/>
              <w:rPr>
                <w:rFonts w:ascii="Arial" w:hAnsi="Arial" w:cs="Arial"/>
                <w:color w:val="7030A0"/>
                <w:sz w:val="20"/>
                <w:szCs w:val="20"/>
              </w:rPr>
            </w:pP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7030A0"/>
                <w:sz w:val="20"/>
                <w:szCs w:val="20"/>
                <w:lang w:val="it-IT"/>
              </w:rPr>
            </w:pPr>
            <w:r w:rsidRPr="00E55412">
              <w:rPr>
                <w:rFonts w:ascii="Arial" w:hAnsi="Arial" w:cs="Arial"/>
                <w:color w:val="7030A0"/>
                <w:sz w:val="20"/>
                <w:szCs w:val="20"/>
                <w:lang w:val="it-IT"/>
              </w:rPr>
              <w:t>ROSCI0012</w:t>
            </w:r>
          </w:p>
          <w:p w:rsidR="00E55412" w:rsidRPr="00E55412" w:rsidRDefault="007C1699" w:rsidP="00E55412">
            <w:pPr>
              <w:spacing w:after="0" w:line="240" w:lineRule="auto"/>
              <w:rPr>
                <w:rFonts w:ascii="Arial" w:hAnsi="Arial" w:cs="Arial"/>
                <w:color w:val="7030A0"/>
                <w:sz w:val="20"/>
                <w:szCs w:val="20"/>
                <w:lang w:val="it-IT"/>
              </w:rPr>
            </w:pPr>
            <w:r>
              <w:rPr>
                <w:rFonts w:ascii="Arial" w:hAnsi="Arial" w:cs="Arial"/>
                <w:color w:val="7030A0"/>
                <w:sz w:val="20"/>
                <w:szCs w:val="20"/>
              </w:rPr>
              <w:t>BR</w:t>
            </w:r>
            <w:r w:rsidR="00E55412" w:rsidRPr="00E55412">
              <w:rPr>
                <w:rFonts w:ascii="Arial" w:hAnsi="Arial" w:cs="Arial"/>
                <w:color w:val="7030A0"/>
                <w:sz w:val="20"/>
                <w:szCs w:val="20"/>
              </w:rPr>
              <w:t>aţul Măcin</w:t>
            </w:r>
            <w:r w:rsidR="00E55412" w:rsidRPr="00E55412">
              <w:rPr>
                <w:rFonts w:ascii="Arial" w:hAnsi="Arial" w:cs="Arial"/>
                <w:color w:val="7030A0"/>
                <w:sz w:val="20"/>
                <w:szCs w:val="20"/>
                <w:lang w:val="it-IT"/>
              </w:rPr>
              <w:t xml:space="preserve"> </w:t>
            </w:r>
          </w:p>
          <w:p w:rsidR="00E55412" w:rsidRPr="00E55412" w:rsidRDefault="00E55412" w:rsidP="00E55412">
            <w:pPr>
              <w:spacing w:after="0" w:line="240" w:lineRule="auto"/>
              <w:rPr>
                <w:rFonts w:ascii="Arial" w:hAnsi="Arial" w:cs="Arial"/>
                <w:color w:val="7030A0"/>
                <w:sz w:val="20"/>
                <w:szCs w:val="20"/>
                <w:lang w:val="it-IT"/>
              </w:rPr>
            </w:pPr>
            <w:r w:rsidRPr="00E55412">
              <w:rPr>
                <w:rFonts w:ascii="Arial" w:hAnsi="Arial" w:cs="Arial"/>
                <w:color w:val="7030A0"/>
                <w:sz w:val="20"/>
                <w:szCs w:val="20"/>
                <w:lang w:val="it-IT"/>
              </w:rPr>
              <w:t>ROSPA0040 Dunărea Veche-</w:t>
            </w:r>
            <w:r w:rsidR="007C1699">
              <w:rPr>
                <w:rFonts w:ascii="Arial" w:hAnsi="Arial" w:cs="Arial"/>
                <w:color w:val="7030A0"/>
                <w:sz w:val="20"/>
                <w:szCs w:val="20"/>
                <w:lang w:val="it-IT"/>
              </w:rPr>
              <w:t>BR</w:t>
            </w:r>
            <w:r w:rsidRPr="00E55412">
              <w:rPr>
                <w:rFonts w:ascii="Arial" w:hAnsi="Arial" w:cs="Arial"/>
                <w:color w:val="7030A0"/>
                <w:sz w:val="20"/>
                <w:szCs w:val="20"/>
                <w:lang w:val="it-IT"/>
              </w:rPr>
              <w:t>aţul Măcin</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7030A0"/>
                <w:sz w:val="20"/>
                <w:szCs w:val="20"/>
                <w:highlight w:val="yellow"/>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7030A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7030A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7030A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r>
      <w:tr w:rsidR="00E55412" w:rsidRPr="00E55412" w:rsidTr="002375D1">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Dunărea Veche-</w:t>
            </w:r>
            <w:r w:rsidR="007C1699">
              <w:rPr>
                <w:rFonts w:ascii="Arial" w:hAnsi="Arial" w:cs="Arial"/>
                <w:b/>
                <w:color w:val="00B050"/>
                <w:sz w:val="20"/>
                <w:szCs w:val="20"/>
              </w:rPr>
              <w:t>BR</w:t>
            </w:r>
            <w:r w:rsidRPr="00E55412">
              <w:rPr>
                <w:rFonts w:ascii="Arial" w:hAnsi="Arial" w:cs="Arial"/>
                <w:b/>
                <w:color w:val="00B050"/>
                <w:sz w:val="20"/>
                <w:szCs w:val="20"/>
              </w:rPr>
              <w:t>aţul Măcin</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ROSPA0040</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B050"/>
                <w:sz w:val="20"/>
                <w:szCs w:val="20"/>
                <w:lang w:val="it-IT"/>
              </w:rPr>
            </w:pPr>
            <w:r w:rsidRPr="00E55412">
              <w:rPr>
                <w:rFonts w:ascii="Arial" w:hAnsi="Arial" w:cs="Arial"/>
                <w:color w:val="00B050"/>
                <w:sz w:val="20"/>
                <w:szCs w:val="20"/>
                <w:lang w:val="it-IT"/>
              </w:rPr>
              <w:t>ROSCI0012</w:t>
            </w:r>
          </w:p>
          <w:p w:rsidR="00E55412" w:rsidRPr="00E55412" w:rsidRDefault="007C1699" w:rsidP="00E55412">
            <w:pPr>
              <w:spacing w:after="0" w:line="240" w:lineRule="auto"/>
              <w:rPr>
                <w:rFonts w:ascii="Arial" w:hAnsi="Arial" w:cs="Arial"/>
                <w:color w:val="00B050"/>
                <w:sz w:val="20"/>
                <w:szCs w:val="20"/>
              </w:rPr>
            </w:pPr>
            <w:r>
              <w:rPr>
                <w:rFonts w:ascii="Arial" w:hAnsi="Arial" w:cs="Arial"/>
                <w:color w:val="00B050"/>
                <w:sz w:val="20"/>
                <w:szCs w:val="20"/>
              </w:rPr>
              <w:t>BR</w:t>
            </w:r>
            <w:r w:rsidR="00E55412" w:rsidRPr="00E55412">
              <w:rPr>
                <w:rFonts w:ascii="Arial" w:hAnsi="Arial" w:cs="Arial"/>
                <w:color w:val="00B050"/>
                <w:sz w:val="20"/>
                <w:szCs w:val="20"/>
              </w:rPr>
              <w:t>aţul Măcin</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r>
      <w:tr w:rsidR="00E55412" w:rsidRPr="00E55412" w:rsidTr="002375D1">
        <w:trPr>
          <w:cantSplit/>
          <w:trHeight w:val="971"/>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7C1699" w:rsidP="00E55412">
            <w:pPr>
              <w:spacing w:after="0" w:line="240" w:lineRule="auto"/>
              <w:rPr>
                <w:rFonts w:ascii="Arial" w:hAnsi="Arial" w:cs="Arial"/>
                <w:b/>
                <w:color w:val="0070C0"/>
                <w:sz w:val="20"/>
                <w:szCs w:val="20"/>
              </w:rPr>
            </w:pPr>
            <w:r>
              <w:rPr>
                <w:rFonts w:ascii="Arial" w:hAnsi="Arial" w:cs="Arial"/>
                <w:b/>
                <w:color w:val="0070C0"/>
                <w:sz w:val="20"/>
                <w:szCs w:val="20"/>
              </w:rPr>
              <w:t>BR</w:t>
            </w:r>
            <w:r w:rsidR="00E55412" w:rsidRPr="00E55412">
              <w:rPr>
                <w:rFonts w:ascii="Arial" w:hAnsi="Arial" w:cs="Arial"/>
                <w:b/>
                <w:color w:val="0070C0"/>
                <w:sz w:val="20"/>
                <w:szCs w:val="20"/>
              </w:rPr>
              <w:t>aţul Măcin</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ROSCI0012</w:t>
            </w:r>
          </w:p>
          <w:p w:rsidR="00E55412" w:rsidRPr="00E55412" w:rsidRDefault="00E55412" w:rsidP="00E55412">
            <w:pPr>
              <w:spacing w:after="0" w:line="240" w:lineRule="auto"/>
              <w:rPr>
                <w:rFonts w:ascii="Arial" w:hAnsi="Arial" w:cs="Arial"/>
                <w:color w:val="0070C0"/>
                <w:sz w:val="20"/>
                <w:szCs w:val="20"/>
              </w:rPr>
            </w:pP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70C0"/>
                <w:sz w:val="20"/>
                <w:szCs w:val="20"/>
                <w:lang w:val="it-IT"/>
              </w:rPr>
            </w:pPr>
            <w:r w:rsidRPr="00E55412">
              <w:rPr>
                <w:rFonts w:ascii="Arial" w:hAnsi="Arial" w:cs="Arial"/>
                <w:color w:val="0070C0"/>
                <w:sz w:val="20"/>
                <w:szCs w:val="20"/>
                <w:lang w:val="it-IT"/>
              </w:rPr>
              <w:t>ROSPA0040 Dunărea Veche-</w:t>
            </w:r>
            <w:r w:rsidR="007C1699">
              <w:rPr>
                <w:rFonts w:ascii="Arial" w:hAnsi="Arial" w:cs="Arial"/>
                <w:color w:val="0070C0"/>
                <w:sz w:val="20"/>
                <w:szCs w:val="20"/>
                <w:lang w:val="it-IT"/>
              </w:rPr>
              <w:t>BR</w:t>
            </w:r>
            <w:r w:rsidRPr="00E55412">
              <w:rPr>
                <w:rFonts w:ascii="Arial" w:hAnsi="Arial" w:cs="Arial"/>
                <w:color w:val="0070C0"/>
                <w:sz w:val="20"/>
                <w:szCs w:val="20"/>
                <w:lang w:val="it-IT"/>
              </w:rPr>
              <w:t>aţul Măcin</w:t>
            </w:r>
          </w:p>
        </w:tc>
        <w:tc>
          <w:tcPr>
            <w:tcW w:w="1819" w:type="dxa"/>
            <w:tcBorders>
              <w:top w:val="single" w:sz="4" w:space="0" w:color="auto"/>
              <w:left w:val="single" w:sz="4" w:space="0" w:color="auto"/>
              <w:bottom w:val="single" w:sz="4" w:space="0" w:color="auto"/>
              <w:right w:val="single" w:sz="4" w:space="0" w:color="auto"/>
            </w:tcBorders>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Ianca-Plopu-Sărat</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55412" w:rsidRPr="00E55412" w:rsidRDefault="00E55412" w:rsidP="00E55412">
            <w:pPr>
              <w:spacing w:after="0" w:line="240" w:lineRule="auto"/>
              <w:rPr>
                <w:rFonts w:ascii="Arial" w:hAnsi="Arial" w:cs="Arial"/>
                <w:color w:val="00B050"/>
                <w:sz w:val="20"/>
                <w:szCs w:val="20"/>
              </w:rPr>
            </w:pP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ROSPA0048</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bCs/>
                <w:iCs/>
                <w:color w:val="00B050"/>
                <w:sz w:val="20"/>
                <w:szCs w:val="20"/>
              </w:rPr>
            </w:pPr>
            <w:r w:rsidRPr="00E55412">
              <w:rPr>
                <w:rFonts w:ascii="Arial" w:hAnsi="Arial" w:cs="Arial"/>
                <w:bCs/>
                <w:iCs/>
                <w:color w:val="00B050"/>
                <w:sz w:val="20"/>
                <w:szCs w:val="20"/>
              </w:rPr>
              <w:t>ROSCI0305</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Ianca - Plopu - Sărat - Comăneasca</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Ianca - Plopu - Sărat - Comăneasca</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ROSCI0305</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 xml:space="preserve">ROSPA0048 </w:t>
            </w:r>
            <w:r w:rsidRPr="00E55412">
              <w:rPr>
                <w:rFonts w:ascii="Arial" w:hAnsi="Arial" w:cs="Arial"/>
                <w:color w:val="0070C0"/>
                <w:sz w:val="20"/>
                <w:szCs w:val="20"/>
              </w:rPr>
              <w:t>Ianca - Plopu - Sărat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55412" w:rsidRPr="00E55412" w:rsidTr="002375D1">
        <w:trPr>
          <w:cantSplit/>
          <w:trHeight w:val="48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B050"/>
                <w:sz w:val="20"/>
                <w:szCs w:val="20"/>
              </w:rPr>
            </w:pPr>
            <w:r w:rsidRPr="00E55412">
              <w:rPr>
                <w:rFonts w:ascii="Arial" w:hAnsi="Arial" w:cs="Arial"/>
                <w:b/>
                <w:color w:val="00B050"/>
                <w:sz w:val="20"/>
                <w:szCs w:val="20"/>
              </w:rPr>
              <w:lastRenderedPageBreak/>
              <w:t>Balta Tătaru</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ROSPA0006</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Măxineni</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ROSPA0077</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Societatea Ornitologică Română</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p>
        </w:tc>
      </w:tr>
      <w:tr w:rsidR="00E55412" w:rsidRPr="00E55412" w:rsidTr="002375D1">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Berteştii de Sus-Gura Ialomiţei</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ROSPA0111</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B050"/>
                <w:sz w:val="20"/>
                <w:szCs w:val="20"/>
                <w:lang w:val="it-IT"/>
              </w:rPr>
            </w:pPr>
            <w:r w:rsidRPr="00E55412">
              <w:rPr>
                <w:rFonts w:ascii="Arial" w:hAnsi="Arial" w:cs="Arial"/>
                <w:bCs/>
                <w:iCs/>
                <w:color w:val="00B050"/>
                <w:sz w:val="20"/>
                <w:szCs w:val="20"/>
                <w:lang w:val="it-IT"/>
              </w:rPr>
              <w:t>ROSCI0389</w:t>
            </w:r>
            <w:r w:rsidRPr="00E55412">
              <w:rPr>
                <w:rFonts w:ascii="Arial" w:hAnsi="Arial" w:cs="Arial"/>
                <w:color w:val="00B050"/>
                <w:sz w:val="20"/>
                <w:szCs w:val="20"/>
                <w:lang w:val="it-IT"/>
              </w:rPr>
              <w:t xml:space="preserve"> Sărăturile de la Gura Ialomiţei - Mihai </w:t>
            </w:r>
            <w:r w:rsidR="007C1699">
              <w:rPr>
                <w:rFonts w:ascii="Arial" w:hAnsi="Arial" w:cs="Arial"/>
                <w:color w:val="00B050"/>
                <w:sz w:val="20"/>
                <w:szCs w:val="20"/>
                <w:lang w:val="it-IT"/>
              </w:rPr>
              <w:t>BR</w:t>
            </w:r>
            <w:r w:rsidRPr="00E55412">
              <w:rPr>
                <w:rFonts w:ascii="Arial" w:hAnsi="Arial" w:cs="Arial"/>
                <w:color w:val="00B050"/>
                <w:sz w:val="20"/>
                <w:szCs w:val="20"/>
                <w:lang w:val="it-IT"/>
              </w:rPr>
              <w:t>avu</w:t>
            </w:r>
          </w:p>
          <w:p w:rsidR="00E55412" w:rsidRPr="00E55412" w:rsidRDefault="00E55412" w:rsidP="00E55412">
            <w:pPr>
              <w:spacing w:after="0" w:line="240" w:lineRule="auto"/>
              <w:rPr>
                <w:rFonts w:ascii="Arial" w:hAnsi="Arial" w:cs="Arial"/>
                <w:bCs/>
                <w:color w:val="00B050"/>
                <w:sz w:val="20"/>
                <w:szCs w:val="20"/>
                <w:lang w:val="fr-FR"/>
              </w:rPr>
            </w:pPr>
            <w:r w:rsidRPr="00E55412">
              <w:rPr>
                <w:rFonts w:ascii="Arial" w:hAnsi="Arial" w:cs="Arial"/>
                <w:bCs/>
                <w:color w:val="00B050"/>
                <w:sz w:val="20"/>
                <w:szCs w:val="20"/>
                <w:lang w:val="fr-FR"/>
              </w:rPr>
              <w:t xml:space="preserve">Cuprinde Rezervaţia forestieră pădurea Viișoara </w:t>
            </w:r>
          </w:p>
          <w:p w:rsidR="00E55412" w:rsidRPr="00E55412" w:rsidRDefault="00E55412" w:rsidP="00E55412">
            <w:pPr>
              <w:spacing w:after="0" w:line="240" w:lineRule="auto"/>
              <w:rPr>
                <w:rFonts w:ascii="Arial" w:hAnsi="Arial" w:cs="Arial"/>
                <w:color w:val="00B050"/>
                <w:sz w:val="20"/>
                <w:szCs w:val="20"/>
                <w:lang w:val="it-IT"/>
              </w:rPr>
            </w:pPr>
            <w:r w:rsidRPr="00E55412">
              <w:rPr>
                <w:rFonts w:ascii="Arial" w:hAnsi="Arial" w:cs="Arial"/>
                <w:color w:val="00B050"/>
                <w:sz w:val="20"/>
                <w:szCs w:val="20"/>
                <w:lang w:val="it-IT"/>
              </w:rPr>
              <w:t>(de interes județean)</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 xml:space="preserve"> Societatea Ornitologică Română</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70C0"/>
                <w:sz w:val="20"/>
                <w:szCs w:val="20"/>
                <w:lang w:val="it-IT"/>
              </w:rPr>
            </w:pPr>
            <w:r w:rsidRPr="00E55412">
              <w:rPr>
                <w:rFonts w:ascii="Arial" w:hAnsi="Arial" w:cs="Arial"/>
                <w:b/>
                <w:color w:val="0070C0"/>
                <w:sz w:val="20"/>
                <w:szCs w:val="20"/>
                <w:lang w:val="it-IT"/>
              </w:rPr>
              <w:t xml:space="preserve">Sărăturile de la Gura Ialomiţei - Mihai </w:t>
            </w:r>
            <w:r w:rsidR="007C1699">
              <w:rPr>
                <w:rFonts w:ascii="Arial" w:hAnsi="Arial" w:cs="Arial"/>
                <w:b/>
                <w:color w:val="0070C0"/>
                <w:sz w:val="20"/>
                <w:szCs w:val="20"/>
                <w:lang w:val="it-IT"/>
              </w:rPr>
              <w:t>BR</w:t>
            </w:r>
            <w:r w:rsidRPr="00E55412">
              <w:rPr>
                <w:rFonts w:ascii="Arial" w:hAnsi="Arial" w:cs="Arial"/>
                <w:b/>
                <w:color w:val="0070C0"/>
                <w:sz w:val="20"/>
                <w:szCs w:val="20"/>
                <w:lang w:val="it-IT"/>
              </w:rPr>
              <w:t>avu</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ROSCI0389</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548DD4" w:themeColor="text2" w:themeTint="99"/>
                <w:sz w:val="20"/>
                <w:szCs w:val="20"/>
              </w:rPr>
            </w:pPr>
            <w:r w:rsidRPr="00E55412">
              <w:rPr>
                <w:rFonts w:ascii="Arial" w:hAnsi="Arial" w:cs="Arial"/>
                <w:color w:val="548DD4" w:themeColor="text2" w:themeTint="99"/>
                <w:sz w:val="20"/>
                <w:szCs w:val="20"/>
              </w:rPr>
              <w:t>ROSPA0111 Berteştii de Sus-Gura Ialomiţei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548DD4" w:themeColor="text2" w:themeTint="99"/>
                <w:sz w:val="20"/>
                <w:szCs w:val="20"/>
              </w:rPr>
            </w:pPr>
            <w:r w:rsidRPr="00E55412">
              <w:rPr>
                <w:rFonts w:ascii="Arial" w:hAnsi="Arial" w:cs="Arial"/>
                <w:color w:val="548DD4" w:themeColor="text2" w:themeTint="99"/>
                <w:sz w:val="20"/>
                <w:szCs w:val="20"/>
              </w:rPr>
              <w:t>Societatea Ornitologică Română</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Valea Călmăţuiului</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ROSPA0145</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B050"/>
                <w:sz w:val="20"/>
                <w:szCs w:val="20"/>
              </w:rPr>
            </w:pPr>
            <w:r w:rsidRPr="00E55412">
              <w:rPr>
                <w:rFonts w:ascii="Arial" w:hAnsi="Arial" w:cs="Arial"/>
                <w:color w:val="00B050"/>
                <w:sz w:val="20"/>
                <w:szCs w:val="20"/>
                <w:lang w:val="it-IT"/>
              </w:rPr>
              <w:t>ROSCI0259</w:t>
            </w:r>
            <w:r w:rsidRPr="00E55412">
              <w:rPr>
                <w:rFonts w:ascii="Arial" w:hAnsi="Arial" w:cs="Arial"/>
                <w:color w:val="00B050"/>
                <w:sz w:val="20"/>
                <w:szCs w:val="20"/>
              </w:rPr>
              <w:t xml:space="preserve"> Valea Călmăţuiului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Valea Călmăţuiului</w:t>
            </w:r>
          </w:p>
        </w:tc>
        <w:tc>
          <w:tcPr>
            <w:tcW w:w="2140" w:type="dxa"/>
            <w:tcBorders>
              <w:top w:val="single" w:sz="4" w:space="0" w:color="auto"/>
              <w:left w:val="single" w:sz="4" w:space="0" w:color="auto"/>
              <w:bottom w:val="single" w:sz="4" w:space="0" w:color="auto"/>
              <w:right w:val="single" w:sz="4" w:space="0" w:color="auto"/>
            </w:tcBorders>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ROSCI0259</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ROSPA0145 Valea Călmăţuiului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55412" w:rsidRPr="00E55412" w:rsidTr="002375D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 xml:space="preserve">Lacul Sărat – </w:t>
            </w:r>
            <w:r w:rsidR="00217620">
              <w:rPr>
                <w:rFonts w:ascii="Arial" w:hAnsi="Arial" w:cs="Arial"/>
                <w:b/>
                <w:color w:val="0070C0"/>
                <w:sz w:val="20"/>
                <w:szCs w:val="20"/>
              </w:rPr>
              <w:t>Brăila</w:t>
            </w:r>
          </w:p>
        </w:tc>
        <w:tc>
          <w:tcPr>
            <w:tcW w:w="2140" w:type="dxa"/>
            <w:tcBorders>
              <w:top w:val="single" w:sz="4" w:space="0" w:color="auto"/>
              <w:left w:val="single" w:sz="4" w:space="0" w:color="auto"/>
              <w:bottom w:val="single" w:sz="4" w:space="0" w:color="auto"/>
              <w:right w:val="single" w:sz="4" w:space="0" w:color="auto"/>
            </w:tcBorders>
            <w:hideMark/>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ROSCI0307</w:t>
            </w:r>
          </w:p>
        </w:tc>
        <w:tc>
          <w:tcPr>
            <w:tcW w:w="3026" w:type="dxa"/>
            <w:tcBorders>
              <w:top w:val="single" w:sz="4" w:space="0" w:color="auto"/>
              <w:left w:val="single" w:sz="4" w:space="0" w:color="auto"/>
              <w:bottom w:val="single" w:sz="4" w:space="0" w:color="auto"/>
              <w:right w:val="single" w:sz="4" w:space="0" w:color="auto"/>
            </w:tcBorders>
            <w:noWrap/>
            <w:hideMark/>
          </w:tcPr>
          <w:p w:rsidR="00E55412" w:rsidRPr="00E55412" w:rsidRDefault="00E55412" w:rsidP="00E55412">
            <w:pPr>
              <w:spacing w:after="0" w:line="240" w:lineRule="auto"/>
              <w:rPr>
                <w:rFonts w:ascii="Arial" w:hAnsi="Arial" w:cs="Arial"/>
                <w:color w:val="0070C0"/>
                <w:sz w:val="20"/>
                <w:szCs w:val="20"/>
              </w:rPr>
            </w:pPr>
            <w:r w:rsidRPr="00E55412">
              <w:rPr>
                <w:rFonts w:ascii="Arial" w:hAnsi="Arial" w:cs="Arial"/>
                <w:color w:val="0070C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548DD4" w:themeColor="text2" w:themeTint="99"/>
                <w:sz w:val="20"/>
                <w:szCs w:val="20"/>
              </w:rPr>
            </w:pPr>
            <w:r w:rsidRPr="00E55412">
              <w:rPr>
                <w:rFonts w:ascii="Arial" w:hAnsi="Arial" w:cs="Arial"/>
                <w:color w:val="548DD4" w:themeColor="text2" w:themeTint="99"/>
                <w:sz w:val="20"/>
                <w:szCs w:val="20"/>
              </w:rPr>
              <w:t>Asociaţia Community Aid România</w:t>
            </w:r>
          </w:p>
        </w:tc>
        <w:tc>
          <w:tcPr>
            <w:tcW w:w="850"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5412" w:rsidRPr="00E55412" w:rsidRDefault="00E55412"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55412" w:rsidRPr="00E55412" w:rsidRDefault="00E55412"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E1961" w:rsidRPr="00E55412" w:rsidTr="00E71D51">
        <w:trPr>
          <w:cantSplit/>
          <w:trHeight w:val="277"/>
          <w:tblHeader/>
          <w:jc w:val="center"/>
        </w:trPr>
        <w:tc>
          <w:tcPr>
            <w:tcW w:w="1501" w:type="dxa"/>
            <w:vMerge w:val="restart"/>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Denumirea ariei naturale protejate</w:t>
            </w:r>
          </w:p>
        </w:tc>
        <w:tc>
          <w:tcPr>
            <w:tcW w:w="2140" w:type="dxa"/>
            <w:vMerge w:val="restart"/>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Categoria ariei naturale protejate</w:t>
            </w:r>
          </w:p>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cod</w:t>
            </w:r>
          </w:p>
        </w:tc>
        <w:tc>
          <w:tcPr>
            <w:tcW w:w="3026" w:type="dxa"/>
            <w:vMerge w:val="restart"/>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pStyle w:val="Footer"/>
              <w:jc w:val="center"/>
              <w:rPr>
                <w:rFonts w:ascii="Arial" w:hAnsi="Arial" w:cs="Arial"/>
                <w:sz w:val="20"/>
                <w:szCs w:val="20"/>
              </w:rPr>
            </w:pPr>
            <w:r w:rsidRPr="00E55412">
              <w:rPr>
                <w:rFonts w:ascii="Arial" w:hAnsi="Arial" w:cs="Arial"/>
                <w:b/>
                <w:bCs/>
                <w:sz w:val="20"/>
                <w:szCs w:val="20"/>
              </w:rPr>
              <w:t>Aria naturală protejată cu care se suprapune</w:t>
            </w:r>
          </w:p>
        </w:tc>
        <w:tc>
          <w:tcPr>
            <w:tcW w:w="1819" w:type="dxa"/>
            <w:vMerge w:val="restart"/>
            <w:tcBorders>
              <w:top w:val="single" w:sz="4" w:space="0" w:color="auto"/>
              <w:left w:val="single" w:sz="4" w:space="0" w:color="auto"/>
              <w:bottom w:val="single" w:sz="4" w:space="0" w:color="auto"/>
              <w:right w:val="single" w:sz="4" w:space="0" w:color="auto"/>
            </w:tcBorders>
            <w:vAlign w:val="center"/>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Nume administrator</w:t>
            </w:r>
          </w:p>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/custode</w:t>
            </w:r>
          </w:p>
        </w:tc>
        <w:tc>
          <w:tcPr>
            <w:tcW w:w="2409" w:type="dxa"/>
            <w:gridSpan w:val="3"/>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Regulament</w:t>
            </w:r>
          </w:p>
        </w:tc>
        <w:tc>
          <w:tcPr>
            <w:tcW w:w="2410" w:type="dxa"/>
            <w:gridSpan w:val="3"/>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Plan de management</w:t>
            </w:r>
          </w:p>
        </w:tc>
      </w:tr>
      <w:tr w:rsidR="00EE1961" w:rsidRPr="00E55412" w:rsidTr="00E71D51">
        <w:trPr>
          <w:cantSplit/>
          <w:trHeight w:val="603"/>
          <w:tblHeader/>
          <w:jc w:val="center"/>
        </w:trPr>
        <w:tc>
          <w:tcPr>
            <w:tcW w:w="1501" w:type="dxa"/>
            <w:vMerge/>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bCs/>
                <w:sz w:val="20"/>
                <w:szCs w:val="20"/>
              </w:rPr>
            </w:pPr>
          </w:p>
        </w:tc>
        <w:tc>
          <w:tcPr>
            <w:tcW w:w="2140" w:type="dxa"/>
            <w:vMerge/>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bCs/>
                <w:sz w:val="20"/>
                <w:szCs w:val="20"/>
              </w:rPr>
            </w:pPr>
          </w:p>
        </w:tc>
        <w:tc>
          <w:tcPr>
            <w:tcW w:w="3026" w:type="dxa"/>
            <w:vMerge/>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jc w:val="both"/>
              <w:rPr>
                <w:rFonts w:ascii="Arial" w:eastAsia="Times New Roman" w:hAnsi="Arial" w:cs="Arial"/>
                <w:sz w:val="20"/>
                <w:szCs w:val="20"/>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E1961" w:rsidRPr="00E55412" w:rsidRDefault="00EE1961" w:rsidP="00E55412">
            <w:pPr>
              <w:spacing w:after="0" w:line="240" w:lineRule="auto"/>
              <w:jc w:val="center"/>
              <w:rPr>
                <w:rFonts w:ascii="Arial" w:hAnsi="Arial" w:cs="Arial"/>
                <w:b/>
                <w:bCs/>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Elabo-rat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Apro-</w:t>
            </w:r>
          </w:p>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bat</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Ne-elaborat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Elabo-rat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Apro-</w:t>
            </w:r>
          </w:p>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bat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b/>
                <w:bCs/>
                <w:sz w:val="20"/>
                <w:szCs w:val="20"/>
              </w:rPr>
            </w:pPr>
            <w:r w:rsidRPr="00E55412">
              <w:rPr>
                <w:rFonts w:ascii="Arial" w:hAnsi="Arial" w:cs="Arial"/>
                <w:b/>
                <w:bCs/>
                <w:sz w:val="20"/>
                <w:szCs w:val="20"/>
              </w:rPr>
              <w:t>Ne-elaborat</w:t>
            </w: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7030A0"/>
                <w:sz w:val="20"/>
                <w:szCs w:val="20"/>
              </w:rPr>
            </w:pPr>
            <w:r w:rsidRPr="00E55412">
              <w:rPr>
                <w:rFonts w:ascii="Arial" w:hAnsi="Arial" w:cs="Arial"/>
                <w:b/>
                <w:color w:val="7030A0"/>
                <w:sz w:val="20"/>
                <w:szCs w:val="20"/>
              </w:rPr>
              <w:t xml:space="preserve">Insula Mică a </w:t>
            </w:r>
            <w:r w:rsidR="007C1699">
              <w:rPr>
                <w:rFonts w:ascii="Arial" w:hAnsi="Arial" w:cs="Arial"/>
                <w:b/>
                <w:color w:val="7030A0"/>
                <w:sz w:val="20"/>
                <w:szCs w:val="20"/>
              </w:rPr>
              <w:t>BR</w:t>
            </w:r>
            <w:r w:rsidRPr="00E55412">
              <w:rPr>
                <w:rFonts w:ascii="Arial" w:hAnsi="Arial" w:cs="Arial"/>
                <w:b/>
                <w:color w:val="7030A0"/>
                <w:sz w:val="20"/>
                <w:szCs w:val="20"/>
              </w:rPr>
              <w:t>ăilei</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7030A0"/>
                <w:sz w:val="20"/>
                <w:szCs w:val="20"/>
              </w:rPr>
            </w:pPr>
            <w:r w:rsidRPr="00E55412">
              <w:rPr>
                <w:rFonts w:ascii="Arial" w:hAnsi="Arial" w:cs="Arial"/>
                <w:color w:val="7030A0"/>
                <w:sz w:val="20"/>
                <w:szCs w:val="20"/>
              </w:rPr>
              <w:t>de interes internaţional</w:t>
            </w:r>
          </w:p>
          <w:p w:rsidR="00EE1961" w:rsidRPr="00E55412" w:rsidRDefault="00EE1961" w:rsidP="00E55412">
            <w:pPr>
              <w:spacing w:after="0" w:line="240" w:lineRule="auto"/>
              <w:rPr>
                <w:rFonts w:ascii="Arial" w:hAnsi="Arial" w:cs="Arial"/>
                <w:color w:val="7030A0"/>
                <w:sz w:val="20"/>
                <w:szCs w:val="20"/>
              </w:rPr>
            </w:pPr>
            <w:r w:rsidRPr="00E55412">
              <w:rPr>
                <w:rFonts w:ascii="Arial" w:hAnsi="Arial" w:cs="Arial"/>
                <w:color w:val="7030A0"/>
                <w:sz w:val="20"/>
                <w:szCs w:val="20"/>
              </w:rPr>
              <w:t>Sit Ramsar</w:t>
            </w:r>
          </w:p>
          <w:p w:rsidR="00EE1961" w:rsidRPr="00E55412" w:rsidRDefault="00EE1961" w:rsidP="00E55412">
            <w:pPr>
              <w:spacing w:after="0" w:line="240" w:lineRule="auto"/>
              <w:rPr>
                <w:rFonts w:ascii="Arial" w:hAnsi="Arial" w:cs="Arial"/>
                <w:color w:val="7030A0"/>
                <w:sz w:val="20"/>
                <w:szCs w:val="20"/>
              </w:rPr>
            </w:pPr>
            <w:r w:rsidRPr="00E55412">
              <w:rPr>
                <w:rFonts w:ascii="Arial" w:hAnsi="Arial" w:cs="Arial"/>
                <w:color w:val="7030A0"/>
                <w:sz w:val="20"/>
                <w:szCs w:val="20"/>
              </w:rPr>
              <w:t>1074</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pStyle w:val="BodyTextIndent2"/>
              <w:spacing w:after="0" w:line="240" w:lineRule="auto"/>
              <w:ind w:left="0"/>
              <w:rPr>
                <w:rFonts w:ascii="Arial" w:hAnsi="Arial" w:cs="Arial"/>
                <w:color w:val="7030A0"/>
                <w:sz w:val="20"/>
                <w:szCs w:val="20"/>
                <w:lang w:val="pt-BR" w:eastAsia="ro-RO"/>
              </w:rPr>
            </w:pPr>
            <w:r w:rsidRPr="00E55412">
              <w:rPr>
                <w:rFonts w:ascii="Arial" w:hAnsi="Arial" w:cs="Arial"/>
                <w:color w:val="7030A0"/>
                <w:sz w:val="20"/>
                <w:szCs w:val="20"/>
                <w:lang w:val="pt-BR"/>
              </w:rPr>
              <w:t xml:space="preserve">Parcul Natural </w:t>
            </w:r>
            <w:r w:rsidRPr="00E55412">
              <w:rPr>
                <w:rStyle w:val="tpt1"/>
                <w:rFonts w:ascii="Arial" w:hAnsi="Arial" w:cs="Arial"/>
                <w:color w:val="7030A0"/>
                <w:sz w:val="20"/>
                <w:szCs w:val="20"/>
                <w:lang w:val="pt-BR"/>
              </w:rPr>
              <w:t xml:space="preserve">Balta Mică a </w:t>
            </w:r>
            <w:r w:rsidR="007C1699">
              <w:rPr>
                <w:rStyle w:val="tpt1"/>
                <w:rFonts w:ascii="Arial" w:hAnsi="Arial" w:cs="Arial"/>
                <w:color w:val="7030A0"/>
                <w:sz w:val="20"/>
                <w:szCs w:val="20"/>
                <w:lang w:val="pt-BR"/>
              </w:rPr>
              <w:t>BR</w:t>
            </w:r>
            <w:r w:rsidRPr="00E55412">
              <w:rPr>
                <w:rStyle w:val="tpt1"/>
                <w:rFonts w:ascii="Arial" w:hAnsi="Arial" w:cs="Arial"/>
                <w:color w:val="7030A0"/>
                <w:sz w:val="20"/>
                <w:szCs w:val="20"/>
                <w:lang w:val="pt-BR"/>
              </w:rPr>
              <w:t>ăilei</w:t>
            </w:r>
            <w:r w:rsidRPr="00E55412">
              <w:rPr>
                <w:rFonts w:ascii="Arial" w:hAnsi="Arial" w:cs="Arial"/>
                <w:color w:val="7030A0"/>
                <w:sz w:val="20"/>
                <w:szCs w:val="20"/>
                <w:lang w:val="pt-BR" w:eastAsia="ro-RO"/>
              </w:rPr>
              <w:t>,</w:t>
            </w:r>
          </w:p>
          <w:p w:rsidR="00EE1961" w:rsidRPr="00E55412" w:rsidRDefault="00EE1961" w:rsidP="00E55412">
            <w:pPr>
              <w:pStyle w:val="BodyTextIndent2"/>
              <w:spacing w:after="0" w:line="240" w:lineRule="auto"/>
              <w:ind w:left="0"/>
              <w:rPr>
                <w:rStyle w:val="tpt1"/>
                <w:rFonts w:ascii="Arial" w:hAnsi="Arial" w:cs="Arial"/>
                <w:color w:val="7030A0"/>
                <w:sz w:val="20"/>
                <w:szCs w:val="20"/>
                <w:lang w:val="it-IT"/>
              </w:rPr>
            </w:pPr>
            <w:r w:rsidRPr="00E55412">
              <w:rPr>
                <w:rFonts w:ascii="Arial" w:hAnsi="Arial" w:cs="Arial"/>
                <w:color w:val="7030A0"/>
                <w:sz w:val="20"/>
                <w:szCs w:val="20"/>
                <w:lang w:val="it-IT" w:eastAsia="ro-RO"/>
              </w:rPr>
              <w:t xml:space="preserve">ROSCI0006 </w:t>
            </w:r>
            <w:r w:rsidRPr="00E55412">
              <w:rPr>
                <w:rStyle w:val="tpt1"/>
                <w:rFonts w:ascii="Arial" w:hAnsi="Arial" w:cs="Arial"/>
                <w:color w:val="7030A0"/>
                <w:sz w:val="20"/>
                <w:szCs w:val="20"/>
                <w:lang w:val="it-IT"/>
              </w:rPr>
              <w:t xml:space="preserve">Balta Mică a </w:t>
            </w:r>
            <w:r w:rsidR="007C1699">
              <w:rPr>
                <w:rStyle w:val="tpt1"/>
                <w:rFonts w:ascii="Arial" w:hAnsi="Arial" w:cs="Arial"/>
                <w:color w:val="7030A0"/>
                <w:sz w:val="20"/>
                <w:szCs w:val="20"/>
                <w:lang w:val="it-IT"/>
              </w:rPr>
              <w:t>BR</w:t>
            </w:r>
            <w:r w:rsidRPr="00E55412">
              <w:rPr>
                <w:rStyle w:val="tpt1"/>
                <w:rFonts w:ascii="Arial" w:hAnsi="Arial" w:cs="Arial"/>
                <w:color w:val="7030A0"/>
                <w:sz w:val="20"/>
                <w:szCs w:val="20"/>
                <w:lang w:val="it-IT"/>
              </w:rPr>
              <w:t>ăilei,</w:t>
            </w:r>
          </w:p>
          <w:p w:rsidR="00EE1961" w:rsidRPr="00E55412" w:rsidRDefault="00EE1961" w:rsidP="00E55412">
            <w:pPr>
              <w:spacing w:after="0" w:line="240" w:lineRule="auto"/>
              <w:rPr>
                <w:rFonts w:ascii="Arial" w:hAnsi="Arial" w:cs="Arial"/>
                <w:color w:val="7030A0"/>
                <w:sz w:val="20"/>
                <w:szCs w:val="20"/>
              </w:rPr>
            </w:pPr>
            <w:r w:rsidRPr="00E55412">
              <w:rPr>
                <w:rFonts w:ascii="Arial" w:hAnsi="Arial" w:cs="Arial"/>
                <w:color w:val="7030A0"/>
                <w:sz w:val="20"/>
                <w:szCs w:val="20"/>
                <w:lang w:val="it-IT"/>
              </w:rPr>
              <w:t xml:space="preserve">ROSPA0005 </w:t>
            </w:r>
            <w:r w:rsidRPr="00E55412">
              <w:rPr>
                <w:rStyle w:val="tpt1"/>
                <w:rFonts w:ascii="Arial" w:hAnsi="Arial" w:cs="Arial"/>
                <w:color w:val="7030A0"/>
                <w:sz w:val="20"/>
                <w:szCs w:val="20"/>
                <w:lang w:val="it-IT"/>
              </w:rPr>
              <w:t xml:space="preserve">Balta Mică a </w:t>
            </w:r>
            <w:r w:rsidR="007C1699">
              <w:rPr>
                <w:rStyle w:val="tpt1"/>
                <w:rFonts w:ascii="Arial" w:hAnsi="Arial" w:cs="Arial"/>
                <w:color w:val="7030A0"/>
                <w:sz w:val="20"/>
                <w:szCs w:val="20"/>
                <w:lang w:val="it-IT"/>
              </w:rPr>
              <w:t>BR</w:t>
            </w:r>
            <w:r w:rsidRPr="00E55412">
              <w:rPr>
                <w:rStyle w:val="tpt1"/>
                <w:rFonts w:ascii="Arial" w:hAnsi="Arial" w:cs="Arial"/>
                <w:color w:val="7030A0"/>
                <w:sz w:val="20"/>
                <w:szCs w:val="20"/>
                <w:lang w:val="it-IT"/>
              </w:rPr>
              <w:t>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7030A0"/>
                <w:sz w:val="20"/>
                <w:szCs w:val="20"/>
                <w:lang w:val="pt-BR"/>
              </w:rPr>
            </w:pPr>
            <w:r w:rsidRPr="00E55412">
              <w:rPr>
                <w:rFonts w:ascii="Arial" w:hAnsi="Arial" w:cs="Arial"/>
                <w:color w:val="7030A0"/>
                <w:sz w:val="20"/>
                <w:szCs w:val="20"/>
                <w:lang w:val="pt-BR"/>
              </w:rPr>
              <w:t xml:space="preserve">Administraţia Parcului Natural </w:t>
            </w:r>
            <w:r w:rsidRPr="00E55412">
              <w:rPr>
                <w:rStyle w:val="tpt1"/>
                <w:rFonts w:ascii="Arial" w:hAnsi="Arial" w:cs="Arial"/>
                <w:color w:val="7030A0"/>
                <w:sz w:val="20"/>
                <w:szCs w:val="20"/>
                <w:lang w:val="pt-BR"/>
              </w:rPr>
              <w:t xml:space="preserve">Balta Mică a </w:t>
            </w:r>
            <w:r w:rsidR="007C1699">
              <w:rPr>
                <w:rStyle w:val="tpt1"/>
                <w:rFonts w:ascii="Arial" w:hAnsi="Arial" w:cs="Arial"/>
                <w:color w:val="7030A0"/>
                <w:sz w:val="20"/>
                <w:szCs w:val="20"/>
                <w:lang w:val="pt-BR"/>
              </w:rPr>
              <w:t>BR</w:t>
            </w:r>
            <w:r w:rsidRPr="00E55412">
              <w:rPr>
                <w:rStyle w:val="tpt1"/>
                <w:rFonts w:ascii="Arial" w:hAnsi="Arial" w:cs="Arial"/>
                <w:color w:val="7030A0"/>
                <w:sz w:val="20"/>
                <w:szCs w:val="20"/>
                <w:lang w:val="pt-BR"/>
              </w:rPr>
              <w:t>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7030A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7030A0"/>
                <w:sz w:val="20"/>
                <w:szCs w:val="20"/>
              </w:rPr>
            </w:pPr>
          </w:p>
        </w:tc>
      </w:tr>
      <w:tr w:rsidR="00EE1961" w:rsidRPr="00E55412" w:rsidTr="00E71D51">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FF0000"/>
                <w:sz w:val="20"/>
                <w:szCs w:val="20"/>
              </w:rPr>
            </w:pPr>
            <w:r w:rsidRPr="00E55412">
              <w:rPr>
                <w:rFonts w:ascii="Arial" w:hAnsi="Arial" w:cs="Arial"/>
                <w:b/>
                <w:color w:val="FF0000"/>
                <w:sz w:val="20"/>
                <w:szCs w:val="20"/>
              </w:rPr>
              <w:lastRenderedPageBreak/>
              <w:t xml:space="preserve">Balta Mică a </w:t>
            </w:r>
            <w:r w:rsidR="007C1699">
              <w:rPr>
                <w:rFonts w:ascii="Arial" w:hAnsi="Arial" w:cs="Arial"/>
                <w:b/>
                <w:color w:val="FF0000"/>
                <w:sz w:val="20"/>
                <w:szCs w:val="20"/>
              </w:rPr>
              <w:t>BR</w:t>
            </w:r>
            <w:r w:rsidRPr="00E55412">
              <w:rPr>
                <w:rFonts w:ascii="Arial" w:hAnsi="Arial" w:cs="Arial"/>
                <w:b/>
                <w:color w:val="FF0000"/>
                <w:sz w:val="20"/>
                <w:szCs w:val="20"/>
              </w:rPr>
              <w:t>ăilei</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FF0000"/>
                <w:sz w:val="20"/>
                <w:szCs w:val="20"/>
              </w:rPr>
            </w:pPr>
            <w:r w:rsidRPr="00E55412">
              <w:rPr>
                <w:rFonts w:ascii="Arial" w:hAnsi="Arial" w:cs="Arial"/>
                <w:color w:val="FF0000"/>
                <w:sz w:val="20"/>
                <w:szCs w:val="20"/>
              </w:rPr>
              <w:t>de interes naţional</w:t>
            </w:r>
          </w:p>
          <w:p w:rsidR="00EE1961" w:rsidRPr="00E55412" w:rsidRDefault="00EE1961" w:rsidP="00E55412">
            <w:pPr>
              <w:spacing w:after="0" w:line="240" w:lineRule="auto"/>
              <w:rPr>
                <w:rFonts w:ascii="Arial" w:hAnsi="Arial" w:cs="Arial"/>
                <w:color w:val="FF0000"/>
                <w:sz w:val="20"/>
                <w:szCs w:val="20"/>
              </w:rPr>
            </w:pPr>
            <w:r w:rsidRPr="00E55412">
              <w:rPr>
                <w:rFonts w:ascii="Arial" w:hAnsi="Arial" w:cs="Arial"/>
                <w:color w:val="FF0000"/>
                <w:sz w:val="20"/>
                <w:szCs w:val="20"/>
              </w:rPr>
              <w:t>parc natural</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pStyle w:val="BodyTextIndent2"/>
              <w:spacing w:after="0" w:line="240" w:lineRule="auto"/>
              <w:ind w:left="0"/>
              <w:rPr>
                <w:rStyle w:val="tpt1"/>
                <w:rFonts w:ascii="Arial" w:hAnsi="Arial" w:cs="Arial"/>
                <w:color w:val="FF0000"/>
                <w:sz w:val="20"/>
                <w:szCs w:val="20"/>
                <w:lang w:val="it-IT"/>
              </w:rPr>
            </w:pPr>
            <w:r w:rsidRPr="00E55412">
              <w:rPr>
                <w:rFonts w:ascii="Arial" w:hAnsi="Arial" w:cs="Arial"/>
                <w:color w:val="FF0000"/>
                <w:sz w:val="20"/>
                <w:szCs w:val="20"/>
                <w:lang w:val="it-IT" w:eastAsia="ro-RO"/>
              </w:rPr>
              <w:t xml:space="preserve">ROSCI0006 </w:t>
            </w:r>
            <w:r w:rsidRPr="00E55412">
              <w:rPr>
                <w:rStyle w:val="tpt1"/>
                <w:rFonts w:ascii="Arial" w:hAnsi="Arial" w:cs="Arial"/>
                <w:color w:val="FF0000"/>
                <w:sz w:val="20"/>
                <w:szCs w:val="20"/>
                <w:lang w:val="it-IT"/>
              </w:rPr>
              <w:t xml:space="preserve">Balta Mică a </w:t>
            </w:r>
            <w:r w:rsidR="007C1699">
              <w:rPr>
                <w:rStyle w:val="tpt1"/>
                <w:rFonts w:ascii="Arial" w:hAnsi="Arial" w:cs="Arial"/>
                <w:color w:val="FF0000"/>
                <w:sz w:val="20"/>
                <w:szCs w:val="20"/>
                <w:lang w:val="it-IT"/>
              </w:rPr>
              <w:t>BR</w:t>
            </w:r>
            <w:r w:rsidRPr="00E55412">
              <w:rPr>
                <w:rStyle w:val="tpt1"/>
                <w:rFonts w:ascii="Arial" w:hAnsi="Arial" w:cs="Arial"/>
                <w:color w:val="FF0000"/>
                <w:sz w:val="20"/>
                <w:szCs w:val="20"/>
                <w:lang w:val="it-IT"/>
              </w:rPr>
              <w:t>ăilei,</w:t>
            </w:r>
          </w:p>
          <w:p w:rsidR="00EE1961" w:rsidRPr="00E55412" w:rsidRDefault="00EE1961" w:rsidP="00E55412">
            <w:pPr>
              <w:pStyle w:val="BodyTextIndent2"/>
              <w:spacing w:after="0" w:line="240" w:lineRule="auto"/>
              <w:ind w:left="0"/>
              <w:rPr>
                <w:rFonts w:ascii="Arial" w:hAnsi="Arial" w:cs="Arial"/>
                <w:color w:val="FF0000"/>
                <w:sz w:val="20"/>
                <w:szCs w:val="20"/>
                <w:lang w:eastAsia="ro-RO"/>
              </w:rPr>
            </w:pPr>
            <w:r w:rsidRPr="00E55412">
              <w:rPr>
                <w:rFonts w:ascii="Arial" w:hAnsi="Arial" w:cs="Arial"/>
                <w:color w:val="FF0000"/>
                <w:sz w:val="20"/>
                <w:szCs w:val="20"/>
                <w:lang w:val="it-IT" w:eastAsia="ro-RO"/>
              </w:rPr>
              <w:t xml:space="preserve">ROSPA0005 </w:t>
            </w:r>
            <w:r w:rsidRPr="00E55412">
              <w:rPr>
                <w:rStyle w:val="tpt1"/>
                <w:rFonts w:ascii="Arial" w:hAnsi="Arial" w:cs="Arial"/>
                <w:color w:val="FF0000"/>
                <w:sz w:val="20"/>
                <w:szCs w:val="20"/>
                <w:lang w:val="it-IT"/>
              </w:rPr>
              <w:t xml:space="preserve">Balta Mică a </w:t>
            </w:r>
            <w:r w:rsidR="007C1699">
              <w:rPr>
                <w:rStyle w:val="tpt1"/>
                <w:rFonts w:ascii="Arial" w:hAnsi="Arial" w:cs="Arial"/>
                <w:color w:val="FF0000"/>
                <w:sz w:val="20"/>
                <w:szCs w:val="20"/>
                <w:lang w:val="it-IT"/>
              </w:rPr>
              <w:t>BR</w:t>
            </w:r>
            <w:r w:rsidRPr="00E55412">
              <w:rPr>
                <w:rStyle w:val="tpt1"/>
                <w:rFonts w:ascii="Arial" w:hAnsi="Arial" w:cs="Arial"/>
                <w:color w:val="FF0000"/>
                <w:sz w:val="20"/>
                <w:szCs w:val="20"/>
                <w:lang w:val="it-IT"/>
              </w:rPr>
              <w:t>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lang w:val="pt-BR"/>
              </w:rPr>
            </w:pPr>
            <w:r w:rsidRPr="00E55412">
              <w:rPr>
                <w:rFonts w:ascii="Arial" w:hAnsi="Arial" w:cs="Arial"/>
                <w:color w:val="FF0000"/>
                <w:sz w:val="20"/>
                <w:szCs w:val="20"/>
                <w:lang w:val="pt-BR"/>
              </w:rPr>
              <w:t xml:space="preserve">Administraţia Parcului Natural </w:t>
            </w:r>
            <w:r w:rsidRPr="00E55412">
              <w:rPr>
                <w:rStyle w:val="tpt1"/>
                <w:rFonts w:ascii="Arial" w:hAnsi="Arial" w:cs="Arial"/>
                <w:color w:val="FF0000"/>
                <w:sz w:val="20"/>
                <w:szCs w:val="20"/>
                <w:lang w:val="pt-BR"/>
              </w:rPr>
              <w:t xml:space="preserve">Balta Mică a </w:t>
            </w:r>
            <w:r w:rsidR="007C1699">
              <w:rPr>
                <w:rStyle w:val="tpt1"/>
                <w:rFonts w:ascii="Arial" w:hAnsi="Arial" w:cs="Arial"/>
                <w:color w:val="FF0000"/>
                <w:sz w:val="20"/>
                <w:szCs w:val="20"/>
                <w:lang w:val="pt-BR"/>
              </w:rPr>
              <w:t>BR</w:t>
            </w:r>
            <w:r w:rsidRPr="00E55412">
              <w:rPr>
                <w:rStyle w:val="tpt1"/>
                <w:rFonts w:ascii="Arial" w:hAnsi="Arial" w:cs="Arial"/>
                <w:color w:val="FF0000"/>
                <w:sz w:val="20"/>
                <w:szCs w:val="20"/>
                <w:lang w:val="pt-BR"/>
              </w:rPr>
              <w:t>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 xml:space="preserve">Balta Mică a </w:t>
            </w:r>
            <w:r w:rsidR="007C1699">
              <w:rPr>
                <w:rFonts w:ascii="Arial" w:hAnsi="Arial" w:cs="Arial"/>
                <w:b/>
                <w:color w:val="00B050"/>
                <w:sz w:val="20"/>
                <w:szCs w:val="20"/>
              </w:rPr>
              <w:t>BR</w:t>
            </w:r>
            <w:r w:rsidRPr="00E55412">
              <w:rPr>
                <w:rFonts w:ascii="Arial" w:hAnsi="Arial" w:cs="Arial"/>
                <w:b/>
                <w:color w:val="00B050"/>
                <w:sz w:val="20"/>
                <w:szCs w:val="20"/>
              </w:rPr>
              <w:t>ăilei</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ROSPA0005</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pStyle w:val="BodyTextIndent2"/>
              <w:spacing w:after="0" w:line="240" w:lineRule="auto"/>
              <w:ind w:left="0"/>
              <w:rPr>
                <w:rFonts w:ascii="Arial" w:hAnsi="Arial" w:cs="Arial"/>
                <w:color w:val="00B050"/>
                <w:sz w:val="20"/>
                <w:szCs w:val="20"/>
                <w:lang w:val="pt-BR" w:eastAsia="ro-RO"/>
              </w:rPr>
            </w:pPr>
            <w:r w:rsidRPr="00E55412">
              <w:rPr>
                <w:rFonts w:ascii="Arial" w:hAnsi="Arial" w:cs="Arial"/>
                <w:color w:val="00B050"/>
                <w:sz w:val="20"/>
                <w:szCs w:val="20"/>
                <w:lang w:val="pt-BR"/>
              </w:rPr>
              <w:t xml:space="preserve">Parcul Natural </w:t>
            </w:r>
            <w:r w:rsidRPr="00E55412">
              <w:rPr>
                <w:rStyle w:val="tpt1"/>
                <w:rFonts w:ascii="Arial" w:hAnsi="Arial" w:cs="Arial"/>
                <w:color w:val="00B050"/>
                <w:sz w:val="20"/>
                <w:szCs w:val="20"/>
                <w:lang w:val="pt-BR"/>
              </w:rPr>
              <w:t xml:space="preserve">Balta Mică a </w:t>
            </w:r>
            <w:r w:rsidR="007C1699">
              <w:rPr>
                <w:rStyle w:val="tpt1"/>
                <w:rFonts w:ascii="Arial" w:hAnsi="Arial" w:cs="Arial"/>
                <w:color w:val="00B050"/>
                <w:sz w:val="20"/>
                <w:szCs w:val="20"/>
                <w:lang w:val="pt-BR"/>
              </w:rPr>
              <w:t>BR</w:t>
            </w:r>
            <w:r w:rsidRPr="00E55412">
              <w:rPr>
                <w:rStyle w:val="tpt1"/>
                <w:rFonts w:ascii="Arial" w:hAnsi="Arial" w:cs="Arial"/>
                <w:color w:val="00B050"/>
                <w:sz w:val="20"/>
                <w:szCs w:val="20"/>
                <w:lang w:val="pt-BR"/>
              </w:rPr>
              <w:t>ăilei</w:t>
            </w:r>
            <w:r w:rsidRPr="00E55412">
              <w:rPr>
                <w:rFonts w:ascii="Arial" w:hAnsi="Arial" w:cs="Arial"/>
                <w:color w:val="00B050"/>
                <w:sz w:val="20"/>
                <w:szCs w:val="20"/>
                <w:lang w:val="pt-BR" w:eastAsia="ro-RO"/>
              </w:rPr>
              <w:t>,</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lang w:val="it-IT"/>
              </w:rPr>
              <w:t xml:space="preserve">ROSCI0006 </w:t>
            </w:r>
            <w:r w:rsidRPr="00E55412">
              <w:rPr>
                <w:rStyle w:val="tpt1"/>
                <w:rFonts w:ascii="Arial" w:hAnsi="Arial" w:cs="Arial"/>
                <w:color w:val="00B050"/>
                <w:sz w:val="20"/>
                <w:szCs w:val="20"/>
                <w:lang w:val="it-IT"/>
              </w:rPr>
              <w:t xml:space="preserve">Balta Mică a </w:t>
            </w:r>
            <w:r w:rsidR="007C1699">
              <w:rPr>
                <w:rStyle w:val="tpt1"/>
                <w:rFonts w:ascii="Arial" w:hAnsi="Arial" w:cs="Arial"/>
                <w:color w:val="00B050"/>
                <w:sz w:val="20"/>
                <w:szCs w:val="20"/>
                <w:lang w:val="it-IT"/>
              </w:rPr>
              <w:t>BR</w:t>
            </w:r>
            <w:r w:rsidRPr="00E55412">
              <w:rPr>
                <w:rStyle w:val="tpt1"/>
                <w:rFonts w:ascii="Arial" w:hAnsi="Arial" w:cs="Arial"/>
                <w:color w:val="00B050"/>
                <w:sz w:val="20"/>
                <w:szCs w:val="20"/>
                <w:lang w:val="it-IT"/>
              </w:rPr>
              <w:t>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lang w:val="pt-BR"/>
              </w:rPr>
            </w:pPr>
            <w:r w:rsidRPr="00E55412">
              <w:rPr>
                <w:rFonts w:ascii="Arial" w:hAnsi="Arial" w:cs="Arial"/>
                <w:color w:val="00B050"/>
                <w:sz w:val="20"/>
                <w:szCs w:val="20"/>
                <w:lang w:val="pt-BR"/>
              </w:rPr>
              <w:t xml:space="preserve">Administraţia Parcului Natural </w:t>
            </w:r>
            <w:r w:rsidRPr="00E55412">
              <w:rPr>
                <w:rStyle w:val="tpt1"/>
                <w:rFonts w:ascii="Arial" w:hAnsi="Arial" w:cs="Arial"/>
                <w:color w:val="00B050"/>
                <w:sz w:val="20"/>
                <w:szCs w:val="20"/>
                <w:lang w:val="pt-BR"/>
              </w:rPr>
              <w:t xml:space="preserve">Balta Mică a </w:t>
            </w:r>
            <w:r w:rsidR="007C1699">
              <w:rPr>
                <w:rStyle w:val="tpt1"/>
                <w:rFonts w:ascii="Arial" w:hAnsi="Arial" w:cs="Arial"/>
                <w:color w:val="00B050"/>
                <w:sz w:val="20"/>
                <w:szCs w:val="20"/>
                <w:lang w:val="pt-BR"/>
              </w:rPr>
              <w:t>BR</w:t>
            </w:r>
            <w:r w:rsidRPr="00E55412">
              <w:rPr>
                <w:rStyle w:val="tpt1"/>
                <w:rFonts w:ascii="Arial" w:hAnsi="Arial" w:cs="Arial"/>
                <w:color w:val="00B050"/>
                <w:sz w:val="20"/>
                <w:szCs w:val="20"/>
                <w:lang w:val="pt-BR"/>
              </w:rPr>
              <w:t>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 xml:space="preserve">Balta Mică a </w:t>
            </w:r>
            <w:r w:rsidR="007C1699">
              <w:rPr>
                <w:rFonts w:ascii="Arial" w:hAnsi="Arial" w:cs="Arial"/>
                <w:b/>
                <w:color w:val="0070C0"/>
                <w:sz w:val="20"/>
                <w:szCs w:val="20"/>
              </w:rPr>
              <w:t>BR</w:t>
            </w:r>
            <w:r w:rsidRPr="00E55412">
              <w:rPr>
                <w:rFonts w:ascii="Arial" w:hAnsi="Arial" w:cs="Arial"/>
                <w:b/>
                <w:color w:val="0070C0"/>
                <w:sz w:val="20"/>
                <w:szCs w:val="20"/>
              </w:rPr>
              <w:t>ăilei</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ROSCI0006</w:t>
            </w:r>
          </w:p>
          <w:p w:rsidR="00EE1961" w:rsidRPr="00E55412" w:rsidRDefault="00EE1961" w:rsidP="00E55412">
            <w:pPr>
              <w:spacing w:after="0" w:line="240" w:lineRule="auto"/>
              <w:rPr>
                <w:rFonts w:ascii="Arial" w:hAnsi="Arial" w:cs="Arial"/>
                <w:color w:val="0070C0"/>
                <w:sz w:val="20"/>
                <w:szCs w:val="20"/>
              </w:rPr>
            </w:pP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pStyle w:val="BodyTextIndent2"/>
              <w:spacing w:after="0" w:line="240" w:lineRule="auto"/>
              <w:ind w:left="0"/>
              <w:rPr>
                <w:rStyle w:val="tpt1"/>
                <w:rFonts w:ascii="Arial" w:hAnsi="Arial" w:cs="Arial"/>
                <w:color w:val="0070C0"/>
                <w:sz w:val="20"/>
                <w:szCs w:val="20"/>
                <w:lang w:val="pt-BR"/>
              </w:rPr>
            </w:pPr>
            <w:r w:rsidRPr="00E55412">
              <w:rPr>
                <w:rFonts w:ascii="Arial" w:hAnsi="Arial" w:cs="Arial"/>
                <w:color w:val="0070C0"/>
                <w:sz w:val="20"/>
                <w:szCs w:val="20"/>
                <w:lang w:val="pt-BR"/>
              </w:rPr>
              <w:t xml:space="preserve">Parcul Natural </w:t>
            </w:r>
            <w:r w:rsidRPr="00E55412">
              <w:rPr>
                <w:rStyle w:val="tpt1"/>
                <w:rFonts w:ascii="Arial" w:hAnsi="Arial" w:cs="Arial"/>
                <w:color w:val="0070C0"/>
                <w:sz w:val="20"/>
                <w:szCs w:val="20"/>
                <w:lang w:val="pt-BR"/>
              </w:rPr>
              <w:t xml:space="preserve">Balta Mică a </w:t>
            </w:r>
            <w:r w:rsidR="007C1699">
              <w:rPr>
                <w:rStyle w:val="tpt1"/>
                <w:rFonts w:ascii="Arial" w:hAnsi="Arial" w:cs="Arial"/>
                <w:color w:val="0070C0"/>
                <w:sz w:val="20"/>
                <w:szCs w:val="20"/>
                <w:lang w:val="pt-BR"/>
              </w:rPr>
              <w:t>BR</w:t>
            </w:r>
            <w:r w:rsidRPr="00E55412">
              <w:rPr>
                <w:rStyle w:val="tpt1"/>
                <w:rFonts w:ascii="Arial" w:hAnsi="Arial" w:cs="Arial"/>
                <w:color w:val="0070C0"/>
                <w:sz w:val="20"/>
                <w:szCs w:val="20"/>
                <w:lang w:val="pt-BR"/>
              </w:rPr>
              <w:t>ăilei</w:t>
            </w:r>
            <w:r w:rsidRPr="00E55412">
              <w:rPr>
                <w:rFonts w:ascii="Arial" w:hAnsi="Arial" w:cs="Arial"/>
                <w:color w:val="0070C0"/>
                <w:sz w:val="20"/>
                <w:szCs w:val="20"/>
                <w:lang w:val="pt-BR" w:eastAsia="ro-RO"/>
              </w:rPr>
              <w:t>,</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 xml:space="preserve">ROSPA0005 </w:t>
            </w:r>
            <w:r w:rsidRPr="00E55412">
              <w:rPr>
                <w:rStyle w:val="tpt1"/>
                <w:rFonts w:ascii="Arial" w:hAnsi="Arial" w:cs="Arial"/>
                <w:color w:val="0070C0"/>
                <w:sz w:val="20"/>
                <w:szCs w:val="20"/>
                <w:lang w:val="it-IT"/>
              </w:rPr>
              <w:t xml:space="preserve">Balta Mică a </w:t>
            </w:r>
            <w:r w:rsidR="007C1699">
              <w:rPr>
                <w:rStyle w:val="tpt1"/>
                <w:rFonts w:ascii="Arial" w:hAnsi="Arial" w:cs="Arial"/>
                <w:color w:val="0070C0"/>
                <w:sz w:val="20"/>
                <w:szCs w:val="20"/>
                <w:lang w:val="it-IT"/>
              </w:rPr>
              <w:t>BR</w:t>
            </w:r>
            <w:r w:rsidRPr="00E55412">
              <w:rPr>
                <w:rStyle w:val="tpt1"/>
                <w:rFonts w:ascii="Arial" w:hAnsi="Arial" w:cs="Arial"/>
                <w:color w:val="0070C0"/>
                <w:sz w:val="20"/>
                <w:szCs w:val="20"/>
                <w:lang w:val="it-IT"/>
              </w:rPr>
              <w:t>ăilei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lang w:val="pt-BR"/>
              </w:rPr>
            </w:pPr>
            <w:r w:rsidRPr="00E55412">
              <w:rPr>
                <w:rFonts w:ascii="Arial" w:hAnsi="Arial" w:cs="Arial"/>
                <w:color w:val="0070C0"/>
                <w:sz w:val="20"/>
                <w:szCs w:val="20"/>
                <w:lang w:val="pt-BR"/>
              </w:rPr>
              <w:t xml:space="preserve">Administraţia Parcului Natural </w:t>
            </w:r>
            <w:r w:rsidRPr="00E55412">
              <w:rPr>
                <w:rStyle w:val="tpt1"/>
                <w:rFonts w:ascii="Arial" w:hAnsi="Arial" w:cs="Arial"/>
                <w:color w:val="0070C0"/>
                <w:sz w:val="20"/>
                <w:szCs w:val="20"/>
                <w:lang w:val="pt-BR"/>
              </w:rPr>
              <w:t xml:space="preserve">Balta Mică a </w:t>
            </w:r>
            <w:r w:rsidR="007C1699">
              <w:rPr>
                <w:rStyle w:val="tpt1"/>
                <w:rFonts w:ascii="Arial" w:hAnsi="Arial" w:cs="Arial"/>
                <w:color w:val="0070C0"/>
                <w:sz w:val="20"/>
                <w:szCs w:val="20"/>
                <w:lang w:val="pt-BR"/>
              </w:rPr>
              <w:t>BR</w:t>
            </w:r>
            <w:r w:rsidRPr="00E55412">
              <w:rPr>
                <w:rStyle w:val="tpt1"/>
                <w:rFonts w:ascii="Arial" w:hAnsi="Arial" w:cs="Arial"/>
                <w:color w:val="0070C0"/>
                <w:sz w:val="20"/>
                <w:szCs w:val="20"/>
                <w:lang w:val="pt-BR"/>
              </w:rPr>
              <w:t>ăilei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Lunca Siretului Inferior</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ROSPA0071</w:t>
            </w:r>
          </w:p>
          <w:p w:rsidR="00EE1961" w:rsidRPr="00E55412" w:rsidRDefault="00EE1961" w:rsidP="00E55412">
            <w:pPr>
              <w:spacing w:after="0" w:line="240" w:lineRule="auto"/>
              <w:rPr>
                <w:rFonts w:ascii="Arial" w:hAnsi="Arial" w:cs="Arial"/>
                <w:color w:val="00B050"/>
                <w:sz w:val="20"/>
                <w:szCs w:val="20"/>
              </w:rPr>
            </w:pP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bCs/>
                <w:iCs/>
                <w:color w:val="00B050"/>
                <w:sz w:val="20"/>
                <w:szCs w:val="20"/>
              </w:rPr>
              <w:t xml:space="preserve">ROSCI0162 </w:t>
            </w:r>
            <w:r w:rsidRPr="00E55412">
              <w:rPr>
                <w:rFonts w:ascii="Arial" w:hAnsi="Arial" w:cs="Arial"/>
                <w:color w:val="00B050"/>
                <w:sz w:val="20"/>
                <w:szCs w:val="20"/>
              </w:rPr>
              <w:t>Lunca Siretului Inferior</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lang w:val="it-IT"/>
              </w:rPr>
            </w:pPr>
            <w:r w:rsidRPr="00E55412">
              <w:rPr>
                <w:rFonts w:ascii="Arial" w:hAnsi="Arial" w:cs="Arial"/>
                <w:color w:val="00B050"/>
                <w:sz w:val="20"/>
                <w:szCs w:val="20"/>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Lunca Siretului Inferior</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ROSCI0162</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 xml:space="preserve">ROSPA0071 </w:t>
            </w:r>
            <w:r w:rsidRPr="00E55412">
              <w:rPr>
                <w:rFonts w:ascii="Arial" w:hAnsi="Arial" w:cs="Arial"/>
                <w:color w:val="0070C0"/>
                <w:sz w:val="20"/>
                <w:szCs w:val="20"/>
              </w:rPr>
              <w:t>Lunca Siretului Inferior</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lang w:val="it-IT"/>
              </w:rPr>
            </w:pPr>
            <w:r w:rsidRPr="00E55412">
              <w:rPr>
                <w:rFonts w:ascii="Arial" w:hAnsi="Arial" w:cs="Arial"/>
                <w:color w:val="0070C0"/>
                <w:sz w:val="20"/>
                <w:szCs w:val="20"/>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Lunca Buzăului</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ROSCI0103</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Universitatea Ecologică Bucureşti</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p>
        </w:tc>
      </w:tr>
      <w:tr w:rsidR="00EE1961" w:rsidRPr="00E55412" w:rsidTr="00E71D51">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FF0000"/>
                <w:sz w:val="20"/>
                <w:szCs w:val="20"/>
              </w:rPr>
            </w:pPr>
            <w:r w:rsidRPr="00E55412">
              <w:rPr>
                <w:rFonts w:ascii="Arial" w:hAnsi="Arial" w:cs="Arial"/>
                <w:b/>
                <w:color w:val="FF0000"/>
                <w:sz w:val="20"/>
                <w:szCs w:val="20"/>
              </w:rPr>
              <w:t>Pădurea Camniţa</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de interes naţional</w:t>
            </w:r>
          </w:p>
          <w:p w:rsidR="00EE1961" w:rsidRPr="00E55412" w:rsidRDefault="00EE1961"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rezervaţie naturală</w:t>
            </w:r>
          </w:p>
          <w:p w:rsidR="00EE1961" w:rsidRPr="00E55412" w:rsidRDefault="00EE1961"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2259</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FF0000"/>
                <w:sz w:val="20"/>
                <w:szCs w:val="20"/>
              </w:rPr>
            </w:pPr>
            <w:r w:rsidRPr="00E55412">
              <w:rPr>
                <w:rFonts w:ascii="Arial" w:hAnsi="Arial" w:cs="Arial"/>
                <w:color w:val="FF000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 xml:space="preserve">Direcţia Silvică </w:t>
            </w:r>
            <w:r w:rsidR="00217620">
              <w:rPr>
                <w:rFonts w:ascii="Arial" w:hAnsi="Arial" w:cs="Arial"/>
                <w:color w:val="FF0000"/>
                <w:sz w:val="20"/>
                <w:szCs w:val="20"/>
              </w:rPr>
              <w:t>Brăila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Balta Albă-Amara-Jirlău</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ROSPA0004</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 xml:space="preserve">ROSCI0005 Balta Albă-Amara-Jirlău-Lacul Sărat Câineni,  </w:t>
            </w:r>
            <w:r w:rsidRPr="00E55412">
              <w:rPr>
                <w:rFonts w:ascii="Arial" w:hAnsi="Arial" w:cs="Arial"/>
                <w:bCs/>
                <w:color w:val="00B050"/>
                <w:sz w:val="20"/>
                <w:szCs w:val="20"/>
                <w:lang w:val="fr-FR"/>
              </w:rPr>
              <w:t>Cuprinde Rezervaţia naturală</w:t>
            </w:r>
            <w:r w:rsidRPr="00E55412">
              <w:rPr>
                <w:rFonts w:ascii="Arial" w:hAnsi="Arial" w:cs="Arial"/>
                <w:color w:val="00B050"/>
                <w:sz w:val="20"/>
                <w:szCs w:val="20"/>
              </w:rPr>
              <w:t xml:space="preserve"> Lacul Jirlău Vişani cod 2260</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Asociaţia Maximilian Buzău</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r>
      <w:tr w:rsidR="00EE1961" w:rsidRPr="00E55412" w:rsidTr="00E71D51">
        <w:trPr>
          <w:cantSplit/>
          <w:trHeight w:val="939"/>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Balta Albă-Amara-Jirlău-Lacul Sărat Câineni</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ROSCI0005</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 xml:space="preserve">ROSPA0004 </w:t>
            </w:r>
            <w:r w:rsidRPr="00E55412">
              <w:rPr>
                <w:rFonts w:ascii="Arial" w:hAnsi="Arial" w:cs="Arial"/>
                <w:color w:val="0070C0"/>
                <w:sz w:val="20"/>
                <w:szCs w:val="20"/>
              </w:rPr>
              <w:t>Balta Albă-Amara-Jirlău</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bCs/>
                <w:color w:val="0070C0"/>
                <w:sz w:val="20"/>
                <w:szCs w:val="20"/>
                <w:lang w:val="fr-FR"/>
              </w:rPr>
              <w:t>Cuprinde Rezervaţia naturală</w:t>
            </w:r>
            <w:r w:rsidRPr="00E55412">
              <w:rPr>
                <w:rFonts w:ascii="Arial" w:hAnsi="Arial" w:cs="Arial"/>
                <w:color w:val="0070C0"/>
                <w:sz w:val="20"/>
                <w:szCs w:val="20"/>
              </w:rPr>
              <w:t xml:space="preserve"> Lacul Jirlău Vişani cod 2260</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Asociaţia Maximilian Buzău</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E1961" w:rsidRPr="00E55412" w:rsidTr="00E71D51">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FF0000"/>
                <w:sz w:val="20"/>
                <w:szCs w:val="20"/>
              </w:rPr>
            </w:pPr>
            <w:r w:rsidRPr="00E55412">
              <w:rPr>
                <w:rFonts w:ascii="Arial" w:hAnsi="Arial" w:cs="Arial"/>
                <w:b/>
                <w:color w:val="FF0000"/>
                <w:sz w:val="20"/>
                <w:szCs w:val="20"/>
              </w:rPr>
              <w:lastRenderedPageBreak/>
              <w:t>Lacul Jirlău Vişani</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de interes naţional</w:t>
            </w:r>
          </w:p>
          <w:p w:rsidR="00EE1961" w:rsidRPr="00E55412" w:rsidRDefault="00EE1961"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rezervaţie naturală</w:t>
            </w:r>
          </w:p>
          <w:p w:rsidR="00EE1961" w:rsidRPr="00E55412" w:rsidRDefault="00EE1961"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2260</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FF0000"/>
                <w:sz w:val="20"/>
                <w:szCs w:val="20"/>
                <w:lang w:val="pt-BR"/>
              </w:rPr>
            </w:pPr>
            <w:r w:rsidRPr="00E55412">
              <w:rPr>
                <w:rFonts w:ascii="Arial" w:hAnsi="Arial" w:cs="Arial"/>
                <w:color w:val="FF0000"/>
                <w:sz w:val="20"/>
                <w:szCs w:val="20"/>
                <w:lang w:val="pt-BR"/>
              </w:rPr>
              <w:t>ROSPA0004 Balta Albă-Amara-Jirlău, ROSCI0005 Balta Albă-Amara-Jirlău-Lacul Sărat Câineni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Asociaţia Maximilian Buzău</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FF000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FF0000"/>
                <w:sz w:val="20"/>
                <w:szCs w:val="20"/>
              </w:rPr>
            </w:pPr>
            <w:r w:rsidRPr="00E55412">
              <w:rPr>
                <w:rFonts w:ascii="Arial" w:hAnsi="Arial" w:cs="Arial"/>
                <w:color w:val="FF0000"/>
                <w:sz w:val="20"/>
                <w:szCs w:val="20"/>
              </w:rPr>
              <w:t>X</w:t>
            </w:r>
          </w:p>
        </w:tc>
      </w:tr>
      <w:tr w:rsidR="00EE1961" w:rsidRPr="00E55412" w:rsidTr="00E71D51">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7030A0"/>
                <w:sz w:val="20"/>
                <w:szCs w:val="20"/>
              </w:rPr>
            </w:pPr>
            <w:r w:rsidRPr="00E55412">
              <w:rPr>
                <w:rFonts w:ascii="Arial" w:hAnsi="Arial" w:cs="Arial"/>
                <w:b/>
                <w:color w:val="7030A0"/>
                <w:sz w:val="20"/>
                <w:szCs w:val="20"/>
              </w:rPr>
              <w:t>Dunărea Veche-</w:t>
            </w:r>
            <w:r w:rsidR="007C1699">
              <w:rPr>
                <w:rFonts w:ascii="Arial" w:hAnsi="Arial" w:cs="Arial"/>
                <w:b/>
                <w:color w:val="7030A0"/>
                <w:sz w:val="20"/>
                <w:szCs w:val="20"/>
              </w:rPr>
              <w:t>BR</w:t>
            </w:r>
            <w:r w:rsidRPr="00E55412">
              <w:rPr>
                <w:rFonts w:ascii="Arial" w:hAnsi="Arial" w:cs="Arial"/>
                <w:b/>
                <w:color w:val="7030A0"/>
                <w:sz w:val="20"/>
                <w:szCs w:val="20"/>
              </w:rPr>
              <w:t>aţul Măcin</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7030A0"/>
                <w:sz w:val="20"/>
                <w:szCs w:val="20"/>
              </w:rPr>
            </w:pPr>
            <w:r w:rsidRPr="00E55412">
              <w:rPr>
                <w:rFonts w:ascii="Arial" w:hAnsi="Arial" w:cs="Arial"/>
                <w:color w:val="7030A0"/>
                <w:sz w:val="20"/>
                <w:szCs w:val="20"/>
              </w:rPr>
              <w:t>de interes internaţional</w:t>
            </w:r>
          </w:p>
          <w:p w:rsidR="00EE1961" w:rsidRPr="00E55412" w:rsidRDefault="00EE1961" w:rsidP="00E55412">
            <w:pPr>
              <w:spacing w:after="0" w:line="240" w:lineRule="auto"/>
              <w:rPr>
                <w:rFonts w:ascii="Arial" w:hAnsi="Arial" w:cs="Arial"/>
                <w:color w:val="7030A0"/>
                <w:sz w:val="20"/>
                <w:szCs w:val="20"/>
              </w:rPr>
            </w:pPr>
            <w:r w:rsidRPr="00E55412">
              <w:rPr>
                <w:rFonts w:ascii="Arial" w:hAnsi="Arial" w:cs="Arial"/>
                <w:color w:val="7030A0"/>
                <w:sz w:val="20"/>
                <w:szCs w:val="20"/>
              </w:rPr>
              <w:t>Sit Ramsar</w:t>
            </w:r>
          </w:p>
          <w:p w:rsidR="00EE1961" w:rsidRPr="00E55412" w:rsidRDefault="00EE1961" w:rsidP="00E55412">
            <w:pPr>
              <w:spacing w:after="0" w:line="240" w:lineRule="auto"/>
              <w:rPr>
                <w:rFonts w:ascii="Arial" w:hAnsi="Arial" w:cs="Arial"/>
                <w:color w:val="7030A0"/>
                <w:sz w:val="20"/>
                <w:szCs w:val="20"/>
              </w:rPr>
            </w:pP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7030A0"/>
                <w:sz w:val="20"/>
                <w:szCs w:val="20"/>
                <w:lang w:val="it-IT"/>
              </w:rPr>
            </w:pPr>
            <w:r w:rsidRPr="00E55412">
              <w:rPr>
                <w:rFonts w:ascii="Arial" w:hAnsi="Arial" w:cs="Arial"/>
                <w:color w:val="7030A0"/>
                <w:sz w:val="20"/>
                <w:szCs w:val="20"/>
                <w:lang w:val="it-IT"/>
              </w:rPr>
              <w:t>ROSCI0012</w:t>
            </w:r>
          </w:p>
          <w:p w:rsidR="00EE1961" w:rsidRPr="00E55412" w:rsidRDefault="007C1699" w:rsidP="00E55412">
            <w:pPr>
              <w:spacing w:after="0" w:line="240" w:lineRule="auto"/>
              <w:rPr>
                <w:rFonts w:ascii="Arial" w:hAnsi="Arial" w:cs="Arial"/>
                <w:color w:val="7030A0"/>
                <w:sz w:val="20"/>
                <w:szCs w:val="20"/>
                <w:lang w:val="it-IT"/>
              </w:rPr>
            </w:pPr>
            <w:r>
              <w:rPr>
                <w:rFonts w:ascii="Arial" w:hAnsi="Arial" w:cs="Arial"/>
                <w:color w:val="7030A0"/>
                <w:sz w:val="20"/>
                <w:szCs w:val="20"/>
              </w:rPr>
              <w:t>BR</w:t>
            </w:r>
            <w:r w:rsidR="00EE1961" w:rsidRPr="00E55412">
              <w:rPr>
                <w:rFonts w:ascii="Arial" w:hAnsi="Arial" w:cs="Arial"/>
                <w:color w:val="7030A0"/>
                <w:sz w:val="20"/>
                <w:szCs w:val="20"/>
              </w:rPr>
              <w:t>aţul Măcin</w:t>
            </w:r>
            <w:r w:rsidR="00EE1961" w:rsidRPr="00E55412">
              <w:rPr>
                <w:rFonts w:ascii="Arial" w:hAnsi="Arial" w:cs="Arial"/>
                <w:color w:val="7030A0"/>
                <w:sz w:val="20"/>
                <w:szCs w:val="20"/>
                <w:lang w:val="it-IT"/>
              </w:rPr>
              <w:t xml:space="preserve"> </w:t>
            </w:r>
          </w:p>
          <w:p w:rsidR="00EE1961" w:rsidRPr="00E55412" w:rsidRDefault="00EE1961" w:rsidP="00E55412">
            <w:pPr>
              <w:spacing w:after="0" w:line="240" w:lineRule="auto"/>
              <w:rPr>
                <w:rFonts w:ascii="Arial" w:hAnsi="Arial" w:cs="Arial"/>
                <w:color w:val="7030A0"/>
                <w:sz w:val="20"/>
                <w:szCs w:val="20"/>
                <w:lang w:val="it-IT"/>
              </w:rPr>
            </w:pPr>
            <w:r w:rsidRPr="00E55412">
              <w:rPr>
                <w:rFonts w:ascii="Arial" w:hAnsi="Arial" w:cs="Arial"/>
                <w:color w:val="7030A0"/>
                <w:sz w:val="20"/>
                <w:szCs w:val="20"/>
                <w:lang w:val="it-IT"/>
              </w:rPr>
              <w:t>ROSPA0040 Dunărea Veche-</w:t>
            </w:r>
            <w:r w:rsidR="007C1699">
              <w:rPr>
                <w:rFonts w:ascii="Arial" w:hAnsi="Arial" w:cs="Arial"/>
                <w:color w:val="7030A0"/>
                <w:sz w:val="20"/>
                <w:szCs w:val="20"/>
                <w:lang w:val="it-IT"/>
              </w:rPr>
              <w:t>BR</w:t>
            </w:r>
            <w:r w:rsidRPr="00E55412">
              <w:rPr>
                <w:rFonts w:ascii="Arial" w:hAnsi="Arial" w:cs="Arial"/>
                <w:color w:val="7030A0"/>
                <w:sz w:val="20"/>
                <w:szCs w:val="20"/>
                <w:lang w:val="it-IT"/>
              </w:rPr>
              <w:t>aţul Măcin</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7030A0"/>
                <w:sz w:val="20"/>
                <w:szCs w:val="20"/>
                <w:highlight w:val="yellow"/>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7030A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7030A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7030A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7030A0"/>
                <w:sz w:val="20"/>
                <w:szCs w:val="20"/>
              </w:rPr>
            </w:pPr>
            <w:r w:rsidRPr="00E55412">
              <w:rPr>
                <w:rFonts w:ascii="Arial" w:hAnsi="Arial" w:cs="Arial"/>
                <w:color w:val="7030A0"/>
                <w:sz w:val="20"/>
                <w:szCs w:val="20"/>
              </w:rPr>
              <w:t>X</w:t>
            </w:r>
          </w:p>
        </w:tc>
      </w:tr>
      <w:tr w:rsidR="00EE1961" w:rsidRPr="00E55412" w:rsidTr="00E71D51">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Dunărea Veche-</w:t>
            </w:r>
            <w:r w:rsidR="007C1699">
              <w:rPr>
                <w:rFonts w:ascii="Arial" w:hAnsi="Arial" w:cs="Arial"/>
                <w:b/>
                <w:color w:val="00B050"/>
                <w:sz w:val="20"/>
                <w:szCs w:val="20"/>
              </w:rPr>
              <w:t>BR</w:t>
            </w:r>
            <w:r w:rsidRPr="00E55412">
              <w:rPr>
                <w:rFonts w:ascii="Arial" w:hAnsi="Arial" w:cs="Arial"/>
                <w:b/>
                <w:color w:val="00B050"/>
                <w:sz w:val="20"/>
                <w:szCs w:val="20"/>
              </w:rPr>
              <w:t>aţul Măcin</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ROSPA0040</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B050"/>
                <w:sz w:val="20"/>
                <w:szCs w:val="20"/>
                <w:lang w:val="it-IT"/>
              </w:rPr>
            </w:pPr>
            <w:r w:rsidRPr="00E55412">
              <w:rPr>
                <w:rFonts w:ascii="Arial" w:hAnsi="Arial" w:cs="Arial"/>
                <w:color w:val="00B050"/>
                <w:sz w:val="20"/>
                <w:szCs w:val="20"/>
                <w:lang w:val="it-IT"/>
              </w:rPr>
              <w:t>ROSCI0012</w:t>
            </w:r>
          </w:p>
          <w:p w:rsidR="00EE1961" w:rsidRPr="00E55412" w:rsidRDefault="007C1699" w:rsidP="00E55412">
            <w:pPr>
              <w:spacing w:after="0" w:line="240" w:lineRule="auto"/>
              <w:rPr>
                <w:rFonts w:ascii="Arial" w:hAnsi="Arial" w:cs="Arial"/>
                <w:color w:val="00B050"/>
                <w:sz w:val="20"/>
                <w:szCs w:val="20"/>
              </w:rPr>
            </w:pPr>
            <w:r>
              <w:rPr>
                <w:rFonts w:ascii="Arial" w:hAnsi="Arial" w:cs="Arial"/>
                <w:color w:val="00B050"/>
                <w:sz w:val="20"/>
                <w:szCs w:val="20"/>
              </w:rPr>
              <w:t>BR</w:t>
            </w:r>
            <w:r w:rsidR="00EE1961" w:rsidRPr="00E55412">
              <w:rPr>
                <w:rFonts w:ascii="Arial" w:hAnsi="Arial" w:cs="Arial"/>
                <w:color w:val="00B050"/>
                <w:sz w:val="20"/>
                <w:szCs w:val="20"/>
              </w:rPr>
              <w:t>aţul Măcin</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r>
      <w:tr w:rsidR="00EE1961" w:rsidRPr="00E55412" w:rsidTr="00E71D51">
        <w:trPr>
          <w:cantSplit/>
          <w:trHeight w:val="971"/>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7C1699" w:rsidP="00E55412">
            <w:pPr>
              <w:spacing w:after="0" w:line="240" w:lineRule="auto"/>
              <w:rPr>
                <w:rFonts w:ascii="Arial" w:hAnsi="Arial" w:cs="Arial"/>
                <w:b/>
                <w:color w:val="0070C0"/>
                <w:sz w:val="20"/>
                <w:szCs w:val="20"/>
              </w:rPr>
            </w:pPr>
            <w:r>
              <w:rPr>
                <w:rFonts w:ascii="Arial" w:hAnsi="Arial" w:cs="Arial"/>
                <w:b/>
                <w:color w:val="0070C0"/>
                <w:sz w:val="20"/>
                <w:szCs w:val="20"/>
              </w:rPr>
              <w:t>BR</w:t>
            </w:r>
            <w:r w:rsidR="00EE1961" w:rsidRPr="00E55412">
              <w:rPr>
                <w:rFonts w:ascii="Arial" w:hAnsi="Arial" w:cs="Arial"/>
                <w:b/>
                <w:color w:val="0070C0"/>
                <w:sz w:val="20"/>
                <w:szCs w:val="20"/>
              </w:rPr>
              <w:t>aţul Măcin</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ROSCI0012</w:t>
            </w:r>
          </w:p>
          <w:p w:rsidR="00EE1961" w:rsidRPr="00E55412" w:rsidRDefault="00EE1961" w:rsidP="00E55412">
            <w:pPr>
              <w:spacing w:after="0" w:line="240" w:lineRule="auto"/>
              <w:rPr>
                <w:rFonts w:ascii="Arial" w:hAnsi="Arial" w:cs="Arial"/>
                <w:color w:val="0070C0"/>
                <w:sz w:val="20"/>
                <w:szCs w:val="20"/>
              </w:rPr>
            </w:pP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70C0"/>
                <w:sz w:val="20"/>
                <w:szCs w:val="20"/>
                <w:lang w:val="it-IT"/>
              </w:rPr>
            </w:pPr>
            <w:r w:rsidRPr="00E55412">
              <w:rPr>
                <w:rFonts w:ascii="Arial" w:hAnsi="Arial" w:cs="Arial"/>
                <w:color w:val="0070C0"/>
                <w:sz w:val="20"/>
                <w:szCs w:val="20"/>
                <w:lang w:val="it-IT"/>
              </w:rPr>
              <w:t>ROSPA0040 Dunărea Veche-</w:t>
            </w:r>
            <w:r w:rsidR="007C1699">
              <w:rPr>
                <w:rFonts w:ascii="Arial" w:hAnsi="Arial" w:cs="Arial"/>
                <w:color w:val="0070C0"/>
                <w:sz w:val="20"/>
                <w:szCs w:val="20"/>
                <w:lang w:val="it-IT"/>
              </w:rPr>
              <w:t>BR</w:t>
            </w:r>
            <w:r w:rsidRPr="00E55412">
              <w:rPr>
                <w:rFonts w:ascii="Arial" w:hAnsi="Arial" w:cs="Arial"/>
                <w:color w:val="0070C0"/>
                <w:sz w:val="20"/>
                <w:szCs w:val="20"/>
                <w:lang w:val="it-IT"/>
              </w:rPr>
              <w:t>aţul Măcin</w:t>
            </w:r>
          </w:p>
        </w:tc>
        <w:tc>
          <w:tcPr>
            <w:tcW w:w="1819" w:type="dxa"/>
            <w:tcBorders>
              <w:top w:val="single" w:sz="4" w:space="0" w:color="auto"/>
              <w:left w:val="single" w:sz="4" w:space="0" w:color="auto"/>
              <w:bottom w:val="single" w:sz="4" w:space="0" w:color="auto"/>
              <w:right w:val="single" w:sz="4" w:space="0" w:color="auto"/>
            </w:tcBorders>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Ianca-Plopu-Sărat</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E1961" w:rsidRPr="00E55412" w:rsidRDefault="00EE1961" w:rsidP="00E55412">
            <w:pPr>
              <w:spacing w:after="0" w:line="240" w:lineRule="auto"/>
              <w:rPr>
                <w:rFonts w:ascii="Arial" w:hAnsi="Arial" w:cs="Arial"/>
                <w:color w:val="00B050"/>
                <w:sz w:val="20"/>
                <w:szCs w:val="20"/>
              </w:rPr>
            </w:pP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ROSPA0048</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bCs/>
                <w:iCs/>
                <w:color w:val="00B050"/>
                <w:sz w:val="20"/>
                <w:szCs w:val="20"/>
              </w:rPr>
            </w:pPr>
            <w:r w:rsidRPr="00E55412">
              <w:rPr>
                <w:rFonts w:ascii="Arial" w:hAnsi="Arial" w:cs="Arial"/>
                <w:bCs/>
                <w:iCs/>
                <w:color w:val="00B050"/>
                <w:sz w:val="20"/>
                <w:szCs w:val="20"/>
              </w:rPr>
              <w:t>ROSCI0305</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Ianca - Plopu - Sărat - Comăneasca</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Ianca - Plopu - Sărat - Comăneasca</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ROSCI0305</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lang w:val="it-IT"/>
              </w:rPr>
              <w:t xml:space="preserve">ROSPA0048 </w:t>
            </w:r>
            <w:r w:rsidRPr="00E55412">
              <w:rPr>
                <w:rFonts w:ascii="Arial" w:hAnsi="Arial" w:cs="Arial"/>
                <w:color w:val="0070C0"/>
                <w:sz w:val="20"/>
                <w:szCs w:val="20"/>
              </w:rPr>
              <w:t>Ianca - Plopu - Sărat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E1961" w:rsidRPr="00E55412" w:rsidTr="00E71D51">
        <w:trPr>
          <w:cantSplit/>
          <w:trHeight w:val="48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Balta Tătaru</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ROSPA0006</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Măxineni</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ROSPA0077</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p>
        </w:tc>
      </w:tr>
      <w:tr w:rsidR="00EE1961" w:rsidRPr="00E55412" w:rsidTr="00E71D51">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Berteştii de Sus-Gura Ialomiţei</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ROSPA0111</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B050"/>
                <w:sz w:val="20"/>
                <w:szCs w:val="20"/>
                <w:lang w:val="it-IT"/>
              </w:rPr>
            </w:pPr>
            <w:r w:rsidRPr="00E55412">
              <w:rPr>
                <w:rFonts w:ascii="Arial" w:hAnsi="Arial" w:cs="Arial"/>
                <w:bCs/>
                <w:iCs/>
                <w:color w:val="00B050"/>
                <w:sz w:val="20"/>
                <w:szCs w:val="20"/>
                <w:lang w:val="it-IT"/>
              </w:rPr>
              <w:t>ROSCI0389</w:t>
            </w:r>
            <w:r w:rsidRPr="00E55412">
              <w:rPr>
                <w:rFonts w:ascii="Arial" w:hAnsi="Arial" w:cs="Arial"/>
                <w:color w:val="00B050"/>
                <w:sz w:val="20"/>
                <w:szCs w:val="20"/>
                <w:lang w:val="it-IT"/>
              </w:rPr>
              <w:t xml:space="preserve"> Sărăturile de la Gura Ialomiţei - Mihai </w:t>
            </w:r>
            <w:r w:rsidR="007C1699">
              <w:rPr>
                <w:rFonts w:ascii="Arial" w:hAnsi="Arial" w:cs="Arial"/>
                <w:color w:val="00B050"/>
                <w:sz w:val="20"/>
                <w:szCs w:val="20"/>
                <w:lang w:val="it-IT"/>
              </w:rPr>
              <w:t>BR</w:t>
            </w:r>
            <w:r w:rsidRPr="00E55412">
              <w:rPr>
                <w:rFonts w:ascii="Arial" w:hAnsi="Arial" w:cs="Arial"/>
                <w:color w:val="00B050"/>
                <w:sz w:val="20"/>
                <w:szCs w:val="20"/>
                <w:lang w:val="it-IT"/>
              </w:rPr>
              <w:t>avu</w:t>
            </w:r>
          </w:p>
          <w:p w:rsidR="00EE1961" w:rsidRPr="00E55412" w:rsidRDefault="00EE1961" w:rsidP="00E55412">
            <w:pPr>
              <w:spacing w:after="0" w:line="240" w:lineRule="auto"/>
              <w:rPr>
                <w:rFonts w:ascii="Arial" w:hAnsi="Arial" w:cs="Arial"/>
                <w:bCs/>
                <w:color w:val="00B050"/>
                <w:sz w:val="20"/>
                <w:szCs w:val="20"/>
                <w:lang w:val="fr-FR"/>
              </w:rPr>
            </w:pPr>
            <w:r w:rsidRPr="00E55412">
              <w:rPr>
                <w:rFonts w:ascii="Arial" w:hAnsi="Arial" w:cs="Arial"/>
                <w:bCs/>
                <w:color w:val="00B050"/>
                <w:sz w:val="20"/>
                <w:szCs w:val="20"/>
                <w:lang w:val="fr-FR"/>
              </w:rPr>
              <w:t xml:space="preserve">Cuprinde Rezervaţia forestieră pădurea Viișoara </w:t>
            </w:r>
          </w:p>
          <w:p w:rsidR="00EE1961" w:rsidRPr="00E55412" w:rsidRDefault="00EE1961" w:rsidP="00E55412">
            <w:pPr>
              <w:spacing w:after="0" w:line="240" w:lineRule="auto"/>
              <w:rPr>
                <w:rFonts w:ascii="Arial" w:hAnsi="Arial" w:cs="Arial"/>
                <w:color w:val="00B050"/>
                <w:sz w:val="20"/>
                <w:szCs w:val="20"/>
                <w:lang w:val="it-IT"/>
              </w:rPr>
            </w:pPr>
            <w:r w:rsidRPr="00E55412">
              <w:rPr>
                <w:rFonts w:ascii="Arial" w:hAnsi="Arial" w:cs="Arial"/>
                <w:color w:val="00B050"/>
                <w:sz w:val="20"/>
                <w:szCs w:val="20"/>
                <w:lang w:val="it-IT"/>
              </w:rPr>
              <w:t>(de interes județean)</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70C0"/>
                <w:sz w:val="20"/>
                <w:szCs w:val="20"/>
                <w:lang w:val="it-IT"/>
              </w:rPr>
            </w:pPr>
            <w:r w:rsidRPr="00E55412">
              <w:rPr>
                <w:rFonts w:ascii="Arial" w:hAnsi="Arial" w:cs="Arial"/>
                <w:b/>
                <w:color w:val="0070C0"/>
                <w:sz w:val="20"/>
                <w:szCs w:val="20"/>
                <w:lang w:val="it-IT"/>
              </w:rPr>
              <w:lastRenderedPageBreak/>
              <w:t xml:space="preserve">Sărăturile de la Gura Ialomiţei - Mihai </w:t>
            </w:r>
            <w:r w:rsidR="007C1699">
              <w:rPr>
                <w:rFonts w:ascii="Arial" w:hAnsi="Arial" w:cs="Arial"/>
                <w:b/>
                <w:color w:val="0070C0"/>
                <w:sz w:val="20"/>
                <w:szCs w:val="20"/>
                <w:lang w:val="it-IT"/>
              </w:rPr>
              <w:t>BR</w:t>
            </w:r>
            <w:r w:rsidRPr="00E55412">
              <w:rPr>
                <w:rFonts w:ascii="Arial" w:hAnsi="Arial" w:cs="Arial"/>
                <w:b/>
                <w:color w:val="0070C0"/>
                <w:sz w:val="20"/>
                <w:szCs w:val="20"/>
                <w:lang w:val="it-IT"/>
              </w:rPr>
              <w:t>avu</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ROSCI0389</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ROSPA0111 Berteştii de Sus-Gura Ialomiţei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B050"/>
                <w:sz w:val="20"/>
                <w:szCs w:val="20"/>
              </w:rPr>
            </w:pPr>
            <w:r w:rsidRPr="00E55412">
              <w:rPr>
                <w:rFonts w:ascii="Arial" w:hAnsi="Arial" w:cs="Arial"/>
                <w:b/>
                <w:color w:val="00B050"/>
                <w:sz w:val="20"/>
                <w:szCs w:val="20"/>
              </w:rPr>
              <w:t>Valea Călmăţuiului</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de interes comunitar</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SPA</w:t>
            </w:r>
          </w:p>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rPr>
              <w:t>ROSPA0145</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B050"/>
                <w:sz w:val="20"/>
                <w:szCs w:val="20"/>
              </w:rPr>
            </w:pPr>
            <w:r w:rsidRPr="00E55412">
              <w:rPr>
                <w:rFonts w:ascii="Arial" w:hAnsi="Arial" w:cs="Arial"/>
                <w:color w:val="00B050"/>
                <w:sz w:val="20"/>
                <w:szCs w:val="20"/>
                <w:lang w:val="it-IT"/>
              </w:rPr>
              <w:t>ROSCI0259</w:t>
            </w:r>
            <w:r w:rsidRPr="00E55412">
              <w:rPr>
                <w:rFonts w:ascii="Arial" w:hAnsi="Arial" w:cs="Arial"/>
                <w:color w:val="00B050"/>
                <w:sz w:val="20"/>
                <w:szCs w:val="20"/>
              </w:rPr>
              <w:t xml:space="preserve"> Valea Călmăţuiului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B05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B050"/>
                <w:sz w:val="20"/>
                <w:szCs w:val="20"/>
              </w:rPr>
            </w:pPr>
            <w:r w:rsidRPr="00E55412">
              <w:rPr>
                <w:rFonts w:ascii="Arial" w:hAnsi="Arial" w:cs="Arial"/>
                <w:color w:val="00B050"/>
                <w:sz w:val="20"/>
                <w:szCs w:val="20"/>
              </w:rPr>
              <w:t>X</w:t>
            </w: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Valea Călmăţuiului</w:t>
            </w:r>
          </w:p>
        </w:tc>
        <w:tc>
          <w:tcPr>
            <w:tcW w:w="2140" w:type="dxa"/>
            <w:tcBorders>
              <w:top w:val="single" w:sz="4" w:space="0" w:color="auto"/>
              <w:left w:val="single" w:sz="4" w:space="0" w:color="auto"/>
              <w:bottom w:val="single" w:sz="4" w:space="0" w:color="auto"/>
              <w:right w:val="single" w:sz="4" w:space="0" w:color="auto"/>
            </w:tcBorders>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ROSCI0259</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ROSPA0145 Valea Călmăţuiului</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r w:rsidR="00EE1961" w:rsidRPr="00E55412" w:rsidTr="00E71D51">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b/>
                <w:color w:val="0070C0"/>
                <w:sz w:val="20"/>
                <w:szCs w:val="20"/>
              </w:rPr>
            </w:pPr>
            <w:r w:rsidRPr="00E55412">
              <w:rPr>
                <w:rFonts w:ascii="Arial" w:hAnsi="Arial" w:cs="Arial"/>
                <w:b/>
                <w:color w:val="0070C0"/>
                <w:sz w:val="20"/>
                <w:szCs w:val="20"/>
              </w:rPr>
              <w:t xml:space="preserve">Lacul Sărat – </w:t>
            </w:r>
            <w:r w:rsidR="00217620">
              <w:rPr>
                <w:rFonts w:ascii="Arial" w:hAnsi="Arial" w:cs="Arial"/>
                <w:b/>
                <w:color w:val="0070C0"/>
                <w:sz w:val="20"/>
                <w:szCs w:val="20"/>
              </w:rPr>
              <w:t>Brăila</w:t>
            </w:r>
          </w:p>
        </w:tc>
        <w:tc>
          <w:tcPr>
            <w:tcW w:w="2140" w:type="dxa"/>
            <w:tcBorders>
              <w:top w:val="single" w:sz="4" w:space="0" w:color="auto"/>
              <w:left w:val="single" w:sz="4" w:space="0" w:color="auto"/>
              <w:bottom w:val="single" w:sz="4" w:space="0" w:color="auto"/>
              <w:right w:val="single" w:sz="4" w:space="0" w:color="auto"/>
            </w:tcBorders>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de interes comunitar</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SCI</w:t>
            </w:r>
          </w:p>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bCs/>
                <w:iCs/>
                <w:color w:val="0070C0"/>
                <w:sz w:val="20"/>
                <w:szCs w:val="20"/>
              </w:rPr>
              <w:t>ROSCI0307</w:t>
            </w:r>
          </w:p>
        </w:tc>
        <w:tc>
          <w:tcPr>
            <w:tcW w:w="3026" w:type="dxa"/>
            <w:tcBorders>
              <w:top w:val="single" w:sz="4" w:space="0" w:color="auto"/>
              <w:left w:val="single" w:sz="4" w:space="0" w:color="auto"/>
              <w:bottom w:val="single" w:sz="4" w:space="0" w:color="auto"/>
              <w:right w:val="single" w:sz="4" w:space="0" w:color="auto"/>
            </w:tcBorders>
            <w:noWrap/>
            <w:hideMark/>
          </w:tcPr>
          <w:p w:rsidR="00EE1961" w:rsidRPr="00E55412" w:rsidRDefault="00EE1961" w:rsidP="00E55412">
            <w:pPr>
              <w:spacing w:after="0" w:line="240" w:lineRule="auto"/>
              <w:rPr>
                <w:rFonts w:ascii="Arial" w:hAnsi="Arial" w:cs="Arial"/>
                <w:color w:val="0070C0"/>
                <w:sz w:val="20"/>
                <w:szCs w:val="20"/>
              </w:rPr>
            </w:pPr>
            <w:r w:rsidRPr="00E55412">
              <w:rPr>
                <w:rFonts w:ascii="Arial" w:hAnsi="Arial" w:cs="Arial"/>
                <w:color w:val="0070C0"/>
                <w:sz w:val="20"/>
                <w:szCs w:val="20"/>
              </w:rPr>
              <w:t>-</w:t>
            </w:r>
          </w:p>
        </w:tc>
        <w:tc>
          <w:tcPr>
            <w:tcW w:w="181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c>
          <w:tcPr>
            <w:tcW w:w="709"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E1961" w:rsidRPr="00E55412" w:rsidRDefault="00EE1961" w:rsidP="00E55412">
            <w:pPr>
              <w:spacing w:after="0" w:line="240" w:lineRule="auto"/>
              <w:jc w:val="center"/>
              <w:rPr>
                <w:rFonts w:ascii="Arial" w:hAnsi="Arial" w:cs="Arial"/>
                <w:color w:val="0070C0"/>
                <w:sz w:val="20"/>
                <w:szCs w:val="20"/>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EE1961" w:rsidRPr="00E55412" w:rsidRDefault="00EE1961" w:rsidP="00E55412">
            <w:pPr>
              <w:spacing w:after="0" w:line="240" w:lineRule="auto"/>
              <w:jc w:val="center"/>
              <w:rPr>
                <w:rFonts w:ascii="Arial" w:hAnsi="Arial" w:cs="Arial"/>
                <w:color w:val="0070C0"/>
                <w:sz w:val="20"/>
                <w:szCs w:val="20"/>
              </w:rPr>
            </w:pPr>
            <w:r w:rsidRPr="00E55412">
              <w:rPr>
                <w:rFonts w:ascii="Arial" w:hAnsi="Arial" w:cs="Arial"/>
                <w:color w:val="0070C0"/>
                <w:sz w:val="20"/>
                <w:szCs w:val="20"/>
              </w:rPr>
              <w:t>X</w:t>
            </w:r>
          </w:p>
        </w:tc>
      </w:tr>
    </w:tbl>
    <w:p w:rsidR="00EE1961" w:rsidRPr="00C625DB" w:rsidRDefault="00EE1961" w:rsidP="00C625DB">
      <w:pPr>
        <w:pStyle w:val="Footer"/>
        <w:jc w:val="both"/>
        <w:rPr>
          <w:rFonts w:ascii="Arial" w:hAnsi="Arial" w:cs="Arial"/>
          <w:color w:val="7030A0"/>
          <w:sz w:val="24"/>
          <w:szCs w:val="24"/>
        </w:rPr>
      </w:pPr>
    </w:p>
    <w:p w:rsidR="00EE1961" w:rsidRPr="00C625DB" w:rsidRDefault="00EE1961" w:rsidP="00C625DB">
      <w:pPr>
        <w:tabs>
          <w:tab w:val="left" w:pos="1204"/>
          <w:tab w:val="left" w:leader="dot" w:pos="9356"/>
        </w:tabs>
        <w:spacing w:after="0" w:line="240" w:lineRule="auto"/>
        <w:ind w:left="426"/>
        <w:jc w:val="both"/>
        <w:rPr>
          <w:rFonts w:ascii="Arial" w:hAnsi="Arial" w:cs="Arial"/>
          <w:b/>
          <w:sz w:val="24"/>
          <w:szCs w:val="24"/>
        </w:rPr>
        <w:sectPr w:rsidR="00EE1961" w:rsidRPr="00C625DB" w:rsidSect="00E71D51">
          <w:pgSz w:w="16840" w:h="11907" w:orient="landscape" w:code="9"/>
          <w:pgMar w:top="851" w:right="1134" w:bottom="1418" w:left="1134" w:header="680" w:footer="680" w:gutter="0"/>
          <w:cols w:space="720"/>
          <w:docGrid w:linePitch="360"/>
        </w:sectPr>
      </w:pPr>
    </w:p>
    <w:p w:rsidR="009474A2" w:rsidRPr="00162D37" w:rsidRDefault="009474A2" w:rsidP="00C625DB">
      <w:pPr>
        <w:pStyle w:val="BodyTextIndent2"/>
        <w:spacing w:after="0" w:line="240" w:lineRule="auto"/>
        <w:ind w:left="0"/>
        <w:jc w:val="both"/>
        <w:rPr>
          <w:rFonts w:ascii="Arial" w:hAnsi="Arial" w:cs="Arial"/>
          <w:b/>
          <w:sz w:val="32"/>
          <w:szCs w:val="32"/>
          <w:lang w:val="en-US"/>
        </w:rPr>
      </w:pPr>
      <w:r w:rsidRPr="00162D37">
        <w:rPr>
          <w:rFonts w:ascii="Arial" w:hAnsi="Arial" w:cs="Arial"/>
          <w:b/>
          <w:sz w:val="32"/>
          <w:szCs w:val="32"/>
          <w:lang w:val="en-US"/>
        </w:rPr>
        <w:lastRenderedPageBreak/>
        <w:t>VI. PǍDURILE</w:t>
      </w:r>
    </w:p>
    <w:p w:rsidR="009474A2" w:rsidRPr="00162D37" w:rsidRDefault="009474A2" w:rsidP="00C625DB">
      <w:pPr>
        <w:pStyle w:val="BodyTextIndent2"/>
        <w:spacing w:after="0" w:line="240" w:lineRule="auto"/>
        <w:ind w:left="0"/>
        <w:jc w:val="both"/>
        <w:rPr>
          <w:rFonts w:ascii="Arial" w:hAnsi="Arial" w:cs="Arial"/>
          <w:b/>
          <w:sz w:val="32"/>
          <w:szCs w:val="32"/>
          <w:lang w:val="en-US"/>
        </w:rPr>
      </w:pPr>
    </w:p>
    <w:p w:rsidR="009474A2" w:rsidRPr="00162D37" w:rsidRDefault="009474A2" w:rsidP="00C625DB">
      <w:pPr>
        <w:spacing w:after="0" w:line="240" w:lineRule="auto"/>
        <w:ind w:firstLine="708"/>
        <w:rPr>
          <w:rFonts w:ascii="Arial" w:hAnsi="Arial" w:cs="Arial"/>
          <w:b/>
          <w:sz w:val="24"/>
          <w:szCs w:val="24"/>
        </w:rPr>
      </w:pPr>
      <w:r w:rsidRPr="00162D37">
        <w:rPr>
          <w:rFonts w:ascii="Arial" w:hAnsi="Arial" w:cs="Arial"/>
          <w:b/>
          <w:sz w:val="24"/>
          <w:szCs w:val="24"/>
          <w:lang w:val="en-US"/>
        </w:rPr>
        <w:t>VI.1. Fondul forestier național : stare și consecințe</w:t>
      </w:r>
    </w:p>
    <w:p w:rsidR="009474A2" w:rsidRPr="00162D37" w:rsidRDefault="009474A2" w:rsidP="00C625DB">
      <w:pPr>
        <w:spacing w:after="0" w:line="240" w:lineRule="auto"/>
        <w:ind w:firstLine="708"/>
        <w:rPr>
          <w:rFonts w:ascii="Arial" w:hAnsi="Arial" w:cs="Arial"/>
          <w:b/>
          <w:sz w:val="24"/>
          <w:szCs w:val="24"/>
          <w:lang w:val="en-US"/>
        </w:rPr>
      </w:pPr>
      <w:r w:rsidRPr="00162D37">
        <w:rPr>
          <w:rFonts w:ascii="Arial" w:hAnsi="Arial" w:cs="Arial"/>
          <w:b/>
          <w:i/>
          <w:sz w:val="24"/>
          <w:szCs w:val="24"/>
          <w:lang w:val="en-US"/>
        </w:rPr>
        <w:t xml:space="preserve">    VI.1.1. Evoluţia suprafeţei fondului forestier </w:t>
      </w:r>
    </w:p>
    <w:p w:rsidR="009474A2" w:rsidRPr="00162D37" w:rsidRDefault="009474A2" w:rsidP="00C625DB">
      <w:pPr>
        <w:spacing w:after="0" w:line="240" w:lineRule="auto"/>
        <w:jc w:val="both"/>
        <w:rPr>
          <w:rFonts w:ascii="Arial" w:hAnsi="Arial" w:cs="Arial"/>
          <w:sz w:val="24"/>
          <w:szCs w:val="24"/>
        </w:rPr>
      </w:pPr>
      <w:r w:rsidRPr="00162D37">
        <w:rPr>
          <w:rFonts w:ascii="Arial" w:hAnsi="Arial" w:cs="Arial"/>
          <w:sz w:val="24"/>
          <w:szCs w:val="24"/>
        </w:rPr>
        <w:t>Fondul forestier cuprinde păduri şi alte terenuri împădurite, clasificat în funcţie de tipul de pădure şi de disponibilitatea de furnizare a lemnului. Fondul forestier naţional cuprinde totalitatea pădurilor, a terenurilor destinate împăduririi, a terenurilor cu destinaţie forestieră şi neproductivă, cuprinse în amenajamentele silvice la 01.01.1990 sau incluse ulterior, în condiţiile legii, indiferent de forma de proprietate. Sunt considerate păduri, în sensul Codului Silvic şi sunt incluse în fondul forestier naţional, terenurile cu o suprafaţă de cel puţin 0,25 ha, acoperite cu arbori; arborii trebuie să atingă o înălţime minimă de 5 m la maturitate în condiţii normale de vegetaţie.</w:t>
      </w:r>
    </w:p>
    <w:p w:rsidR="002442D1" w:rsidRDefault="002442D1" w:rsidP="00C625DB">
      <w:pPr>
        <w:spacing w:after="0" w:line="240" w:lineRule="auto"/>
        <w:rPr>
          <w:rFonts w:ascii="Arial" w:hAnsi="Arial" w:cs="Arial"/>
          <w:b/>
          <w:sz w:val="24"/>
          <w:szCs w:val="24"/>
          <w:lang w:val="en-US"/>
        </w:rPr>
      </w:pPr>
    </w:p>
    <w:p w:rsidR="00D85801" w:rsidRPr="002442D1" w:rsidRDefault="009474A2" w:rsidP="00C625DB">
      <w:pPr>
        <w:spacing w:after="0" w:line="240" w:lineRule="auto"/>
        <w:rPr>
          <w:rFonts w:ascii="Arial" w:hAnsi="Arial" w:cs="Arial"/>
          <w:sz w:val="24"/>
          <w:szCs w:val="24"/>
          <w:lang w:val="en-US"/>
        </w:rPr>
      </w:pPr>
      <w:r w:rsidRPr="002442D1">
        <w:rPr>
          <w:rFonts w:ascii="Arial" w:hAnsi="Arial" w:cs="Arial"/>
          <w:sz w:val="24"/>
          <w:szCs w:val="24"/>
          <w:lang w:val="en-US"/>
        </w:rPr>
        <w:t xml:space="preserve">Tabelul nr. VI.1.1. - 1  Evoluţia fondului forestier în judeţul </w:t>
      </w:r>
      <w:r w:rsidR="00217620" w:rsidRPr="002442D1">
        <w:rPr>
          <w:rFonts w:ascii="Arial" w:hAnsi="Arial" w:cs="Arial"/>
          <w:sz w:val="24"/>
          <w:szCs w:val="24"/>
          <w:lang w:val="en-US"/>
        </w:rPr>
        <w:t>Brăila</w:t>
      </w:r>
      <w:r w:rsidRPr="002442D1">
        <w:rPr>
          <w:rFonts w:ascii="Arial" w:hAnsi="Arial" w:cs="Arial"/>
          <w:sz w:val="24"/>
          <w:szCs w:val="24"/>
          <w:lang w:val="en-US"/>
        </w:rPr>
        <w:t>, în perioada anilor  2010-2015</w:t>
      </w:r>
    </w:p>
    <w:tbl>
      <w:tblPr>
        <w:tblStyle w:val="TableGrid"/>
        <w:tblW w:w="0" w:type="auto"/>
        <w:jc w:val="center"/>
        <w:tblInd w:w="1679" w:type="dxa"/>
        <w:shd w:val="clear" w:color="auto" w:fill="FDE9D9" w:themeFill="accent6" w:themeFillTint="33"/>
        <w:tblLook w:val="04A0"/>
      </w:tblPr>
      <w:tblGrid>
        <w:gridCol w:w="2257"/>
        <w:gridCol w:w="992"/>
        <w:gridCol w:w="1134"/>
        <w:gridCol w:w="1134"/>
        <w:gridCol w:w="992"/>
        <w:gridCol w:w="1100"/>
      </w:tblGrid>
      <w:tr w:rsidR="00D85801" w:rsidRPr="00162D37" w:rsidTr="00DC03E4">
        <w:trPr>
          <w:jc w:val="center"/>
        </w:trPr>
        <w:tc>
          <w:tcPr>
            <w:tcW w:w="2257" w:type="dxa"/>
            <w:shd w:val="clear" w:color="auto" w:fill="FDE9D9" w:themeFill="accent6" w:themeFillTint="33"/>
          </w:tcPr>
          <w:p w:rsidR="00D85801" w:rsidRPr="00162D37" w:rsidRDefault="00D85801" w:rsidP="00C625DB">
            <w:pPr>
              <w:rPr>
                <w:rFonts w:ascii="Arial" w:hAnsi="Arial" w:cs="Arial"/>
                <w:sz w:val="24"/>
                <w:szCs w:val="24"/>
                <w:lang w:val="en-US"/>
              </w:rPr>
            </w:pPr>
          </w:p>
        </w:tc>
        <w:tc>
          <w:tcPr>
            <w:tcW w:w="992" w:type="dxa"/>
            <w:shd w:val="clear" w:color="auto" w:fill="FDE9D9" w:themeFill="accent6" w:themeFillTint="33"/>
          </w:tcPr>
          <w:p w:rsidR="00D85801" w:rsidRPr="00162D37" w:rsidRDefault="00D85801" w:rsidP="00DC03E4">
            <w:pPr>
              <w:jc w:val="center"/>
              <w:rPr>
                <w:rFonts w:ascii="Arial" w:hAnsi="Arial" w:cs="Arial"/>
                <w:b/>
                <w:sz w:val="24"/>
                <w:szCs w:val="24"/>
                <w:lang w:val="en-US"/>
              </w:rPr>
            </w:pPr>
            <w:r w:rsidRPr="00162D37">
              <w:rPr>
                <w:rFonts w:ascii="Arial" w:hAnsi="Arial" w:cs="Arial"/>
                <w:b/>
                <w:sz w:val="24"/>
                <w:szCs w:val="24"/>
                <w:lang w:val="en-US"/>
              </w:rPr>
              <w:t>2012</w:t>
            </w:r>
          </w:p>
        </w:tc>
        <w:tc>
          <w:tcPr>
            <w:tcW w:w="1134" w:type="dxa"/>
            <w:shd w:val="clear" w:color="auto" w:fill="FDE9D9" w:themeFill="accent6" w:themeFillTint="33"/>
          </w:tcPr>
          <w:p w:rsidR="00D85801" w:rsidRPr="00162D37" w:rsidRDefault="00D85801" w:rsidP="00DC03E4">
            <w:pPr>
              <w:jc w:val="center"/>
              <w:rPr>
                <w:rFonts w:ascii="Arial" w:hAnsi="Arial" w:cs="Arial"/>
                <w:b/>
                <w:sz w:val="24"/>
                <w:szCs w:val="24"/>
                <w:lang w:val="en-US"/>
              </w:rPr>
            </w:pPr>
            <w:r w:rsidRPr="00162D37">
              <w:rPr>
                <w:rFonts w:ascii="Arial" w:hAnsi="Arial" w:cs="Arial"/>
                <w:b/>
                <w:sz w:val="24"/>
                <w:szCs w:val="24"/>
                <w:lang w:val="en-US"/>
              </w:rPr>
              <w:t>2013</w:t>
            </w:r>
          </w:p>
        </w:tc>
        <w:tc>
          <w:tcPr>
            <w:tcW w:w="1134" w:type="dxa"/>
            <w:shd w:val="clear" w:color="auto" w:fill="FDE9D9" w:themeFill="accent6" w:themeFillTint="33"/>
          </w:tcPr>
          <w:p w:rsidR="00D85801" w:rsidRPr="00162D37" w:rsidRDefault="00D85801" w:rsidP="00DC03E4">
            <w:pPr>
              <w:jc w:val="center"/>
              <w:rPr>
                <w:rFonts w:ascii="Arial" w:hAnsi="Arial" w:cs="Arial"/>
                <w:b/>
                <w:sz w:val="24"/>
                <w:szCs w:val="24"/>
                <w:lang w:val="en-US"/>
              </w:rPr>
            </w:pPr>
            <w:r w:rsidRPr="00162D37">
              <w:rPr>
                <w:rFonts w:ascii="Arial" w:hAnsi="Arial" w:cs="Arial"/>
                <w:b/>
                <w:sz w:val="24"/>
                <w:szCs w:val="24"/>
                <w:lang w:val="en-US"/>
              </w:rPr>
              <w:t>2014</w:t>
            </w:r>
          </w:p>
        </w:tc>
        <w:tc>
          <w:tcPr>
            <w:tcW w:w="992" w:type="dxa"/>
            <w:shd w:val="clear" w:color="auto" w:fill="FDE9D9" w:themeFill="accent6" w:themeFillTint="33"/>
          </w:tcPr>
          <w:p w:rsidR="00D85801" w:rsidRPr="00162D37" w:rsidRDefault="00D85801" w:rsidP="00DC03E4">
            <w:pPr>
              <w:jc w:val="center"/>
              <w:rPr>
                <w:rFonts w:ascii="Arial" w:hAnsi="Arial" w:cs="Arial"/>
                <w:b/>
                <w:sz w:val="24"/>
                <w:szCs w:val="24"/>
                <w:lang w:val="en-US"/>
              </w:rPr>
            </w:pPr>
            <w:r w:rsidRPr="00162D37">
              <w:rPr>
                <w:rFonts w:ascii="Arial" w:hAnsi="Arial" w:cs="Arial"/>
                <w:b/>
                <w:sz w:val="24"/>
                <w:szCs w:val="24"/>
                <w:lang w:val="en-US"/>
              </w:rPr>
              <w:t>2015</w:t>
            </w:r>
          </w:p>
        </w:tc>
        <w:tc>
          <w:tcPr>
            <w:tcW w:w="1100" w:type="dxa"/>
            <w:shd w:val="clear" w:color="auto" w:fill="FDE9D9" w:themeFill="accent6" w:themeFillTint="33"/>
          </w:tcPr>
          <w:p w:rsidR="00D85801" w:rsidRPr="00162D37" w:rsidRDefault="00D85801" w:rsidP="00DC03E4">
            <w:pPr>
              <w:jc w:val="center"/>
              <w:rPr>
                <w:rFonts w:ascii="Arial" w:hAnsi="Arial" w:cs="Arial"/>
                <w:b/>
                <w:sz w:val="24"/>
                <w:szCs w:val="24"/>
                <w:lang w:val="en-US"/>
              </w:rPr>
            </w:pPr>
            <w:r w:rsidRPr="00162D37">
              <w:rPr>
                <w:rFonts w:ascii="Arial" w:hAnsi="Arial" w:cs="Arial"/>
                <w:b/>
                <w:sz w:val="24"/>
                <w:szCs w:val="24"/>
                <w:lang w:val="en-US"/>
              </w:rPr>
              <w:t>2016</w:t>
            </w:r>
          </w:p>
        </w:tc>
      </w:tr>
      <w:tr w:rsidR="00D85801" w:rsidRPr="00162D37" w:rsidTr="00DC03E4">
        <w:trPr>
          <w:jc w:val="center"/>
        </w:trPr>
        <w:tc>
          <w:tcPr>
            <w:tcW w:w="2257" w:type="dxa"/>
            <w:shd w:val="clear" w:color="auto" w:fill="FDE9D9" w:themeFill="accent6" w:themeFillTint="33"/>
          </w:tcPr>
          <w:p w:rsidR="00D85801" w:rsidRPr="00162D37" w:rsidRDefault="00D85801" w:rsidP="00C625DB">
            <w:pPr>
              <w:rPr>
                <w:rFonts w:ascii="Arial" w:hAnsi="Arial" w:cs="Arial"/>
                <w:sz w:val="24"/>
                <w:szCs w:val="24"/>
                <w:lang w:val="en-US"/>
              </w:rPr>
            </w:pPr>
            <w:r w:rsidRPr="00162D37">
              <w:rPr>
                <w:rFonts w:ascii="Arial" w:hAnsi="Arial" w:cs="Arial"/>
                <w:sz w:val="24"/>
                <w:szCs w:val="24"/>
                <w:lang w:val="en-US"/>
              </w:rPr>
              <w:t>Fond forestier (ha)</w:t>
            </w:r>
          </w:p>
        </w:tc>
        <w:tc>
          <w:tcPr>
            <w:tcW w:w="992" w:type="dxa"/>
            <w:shd w:val="clear" w:color="auto" w:fill="FDE9D9" w:themeFill="accent6" w:themeFillTint="33"/>
          </w:tcPr>
          <w:p w:rsidR="00D85801" w:rsidRPr="00162D37" w:rsidRDefault="00D85801" w:rsidP="00DC03E4">
            <w:pPr>
              <w:jc w:val="center"/>
              <w:rPr>
                <w:rFonts w:ascii="Arial" w:eastAsia="Calibri" w:hAnsi="Arial" w:cs="Arial"/>
                <w:sz w:val="24"/>
                <w:szCs w:val="24"/>
              </w:rPr>
            </w:pPr>
            <w:r w:rsidRPr="00162D37">
              <w:rPr>
                <w:rFonts w:ascii="Arial" w:eastAsia="Calibri" w:hAnsi="Arial" w:cs="Arial"/>
                <w:sz w:val="24"/>
                <w:szCs w:val="24"/>
              </w:rPr>
              <w:t>27787</w:t>
            </w:r>
          </w:p>
        </w:tc>
        <w:tc>
          <w:tcPr>
            <w:tcW w:w="1134" w:type="dxa"/>
            <w:shd w:val="clear" w:color="auto" w:fill="FDE9D9" w:themeFill="accent6" w:themeFillTint="33"/>
          </w:tcPr>
          <w:p w:rsidR="00D85801" w:rsidRPr="00162D37" w:rsidRDefault="00D85801" w:rsidP="00DC03E4">
            <w:pPr>
              <w:jc w:val="center"/>
              <w:rPr>
                <w:rFonts w:ascii="Arial" w:eastAsia="Calibri" w:hAnsi="Arial" w:cs="Arial"/>
                <w:sz w:val="24"/>
                <w:szCs w:val="24"/>
              </w:rPr>
            </w:pPr>
            <w:r w:rsidRPr="00162D37">
              <w:rPr>
                <w:rFonts w:ascii="Arial" w:eastAsia="Calibri" w:hAnsi="Arial" w:cs="Arial"/>
                <w:sz w:val="24"/>
                <w:szCs w:val="24"/>
              </w:rPr>
              <w:t>27835</w:t>
            </w:r>
          </w:p>
        </w:tc>
        <w:tc>
          <w:tcPr>
            <w:tcW w:w="1134" w:type="dxa"/>
            <w:shd w:val="clear" w:color="auto" w:fill="FDE9D9" w:themeFill="accent6" w:themeFillTint="33"/>
          </w:tcPr>
          <w:p w:rsidR="00D85801" w:rsidRPr="00162D37" w:rsidRDefault="00D85801" w:rsidP="00DC03E4">
            <w:pPr>
              <w:jc w:val="center"/>
              <w:rPr>
                <w:rFonts w:ascii="Arial" w:eastAsia="Calibri" w:hAnsi="Arial" w:cs="Arial"/>
                <w:sz w:val="24"/>
                <w:szCs w:val="24"/>
              </w:rPr>
            </w:pPr>
            <w:r w:rsidRPr="00162D37">
              <w:rPr>
                <w:rFonts w:ascii="Arial" w:eastAsia="Calibri" w:hAnsi="Arial" w:cs="Arial"/>
                <w:sz w:val="24"/>
                <w:szCs w:val="24"/>
              </w:rPr>
              <w:t>27414</w:t>
            </w:r>
          </w:p>
        </w:tc>
        <w:tc>
          <w:tcPr>
            <w:tcW w:w="992" w:type="dxa"/>
            <w:shd w:val="clear" w:color="auto" w:fill="FDE9D9" w:themeFill="accent6" w:themeFillTint="33"/>
          </w:tcPr>
          <w:p w:rsidR="00D85801" w:rsidRPr="00162D37" w:rsidRDefault="00D85801" w:rsidP="00DC03E4">
            <w:pPr>
              <w:jc w:val="center"/>
              <w:rPr>
                <w:rFonts w:ascii="Arial" w:eastAsia="Calibri" w:hAnsi="Arial" w:cs="Arial"/>
                <w:sz w:val="24"/>
                <w:szCs w:val="24"/>
              </w:rPr>
            </w:pPr>
            <w:r w:rsidRPr="00162D37">
              <w:rPr>
                <w:rFonts w:ascii="Arial" w:eastAsia="Calibri" w:hAnsi="Arial" w:cs="Arial"/>
                <w:sz w:val="24"/>
                <w:szCs w:val="24"/>
              </w:rPr>
              <w:t>28026</w:t>
            </w:r>
          </w:p>
        </w:tc>
        <w:tc>
          <w:tcPr>
            <w:tcW w:w="1100" w:type="dxa"/>
            <w:shd w:val="clear" w:color="auto" w:fill="FDE9D9" w:themeFill="accent6" w:themeFillTint="33"/>
          </w:tcPr>
          <w:p w:rsidR="00D85801" w:rsidRPr="00162D37" w:rsidRDefault="00D85801" w:rsidP="00DC03E4">
            <w:pPr>
              <w:jc w:val="center"/>
              <w:rPr>
                <w:rFonts w:ascii="Arial" w:eastAsia="Calibri" w:hAnsi="Arial" w:cs="Arial"/>
                <w:sz w:val="24"/>
                <w:szCs w:val="24"/>
              </w:rPr>
            </w:pPr>
            <w:r w:rsidRPr="00162D37">
              <w:rPr>
                <w:rFonts w:ascii="Arial" w:eastAsia="Calibri" w:hAnsi="Arial" w:cs="Arial"/>
                <w:sz w:val="24"/>
                <w:szCs w:val="24"/>
              </w:rPr>
              <w:t>28230</w:t>
            </w:r>
          </w:p>
        </w:tc>
      </w:tr>
    </w:tbl>
    <w:p w:rsidR="009474A2" w:rsidRPr="00162D37" w:rsidRDefault="009474A2" w:rsidP="00C625DB">
      <w:pPr>
        <w:spacing w:after="0" w:line="240" w:lineRule="auto"/>
        <w:rPr>
          <w:rFonts w:ascii="Arial" w:hAnsi="Arial" w:cs="Arial"/>
          <w:b/>
          <w:sz w:val="24"/>
          <w:szCs w:val="24"/>
          <w:lang w:val="en-US"/>
        </w:rPr>
      </w:pPr>
    </w:p>
    <w:p w:rsidR="009474A2" w:rsidRPr="00162D37" w:rsidRDefault="009474A2" w:rsidP="00C625DB">
      <w:pPr>
        <w:spacing w:after="0" w:line="240" w:lineRule="auto"/>
        <w:jc w:val="both"/>
        <w:rPr>
          <w:rFonts w:ascii="Arial" w:hAnsi="Arial" w:cs="Arial"/>
          <w:sz w:val="24"/>
          <w:szCs w:val="24"/>
        </w:rPr>
      </w:pPr>
    </w:p>
    <w:p w:rsidR="009474A2" w:rsidRPr="00162D37" w:rsidRDefault="009474A2" w:rsidP="00C625DB">
      <w:pPr>
        <w:spacing w:after="0" w:line="240" w:lineRule="auto"/>
        <w:jc w:val="center"/>
        <w:rPr>
          <w:rFonts w:ascii="Arial" w:hAnsi="Arial" w:cs="Arial"/>
          <w:sz w:val="24"/>
          <w:szCs w:val="24"/>
        </w:rPr>
      </w:pPr>
      <w:r w:rsidRPr="00162D37">
        <w:rPr>
          <w:rFonts w:ascii="Arial" w:hAnsi="Arial" w:cs="Arial"/>
          <w:noProof/>
          <w:sz w:val="24"/>
          <w:szCs w:val="24"/>
          <w:lang w:eastAsia="ro-RO"/>
        </w:rPr>
        <w:drawing>
          <wp:inline distT="0" distB="0" distL="0" distR="0">
            <wp:extent cx="4448175" cy="2019300"/>
            <wp:effectExtent l="19050" t="0" r="9525" b="0"/>
            <wp:docPr id="1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442D1" w:rsidRDefault="002442D1" w:rsidP="00C625DB">
      <w:pPr>
        <w:spacing w:after="0" w:line="240" w:lineRule="auto"/>
        <w:rPr>
          <w:rFonts w:ascii="Arial" w:hAnsi="Arial" w:cs="Arial"/>
          <w:b/>
          <w:sz w:val="24"/>
          <w:szCs w:val="24"/>
        </w:rPr>
      </w:pPr>
    </w:p>
    <w:p w:rsidR="009474A2" w:rsidRPr="002442D1" w:rsidRDefault="009474A2" w:rsidP="002442D1">
      <w:pPr>
        <w:spacing w:after="0" w:line="240" w:lineRule="auto"/>
        <w:jc w:val="center"/>
        <w:rPr>
          <w:rFonts w:ascii="Arial" w:hAnsi="Arial" w:cs="Arial"/>
          <w:sz w:val="24"/>
          <w:szCs w:val="24"/>
          <w:lang w:val="en-US"/>
        </w:rPr>
      </w:pPr>
      <w:r w:rsidRPr="002442D1">
        <w:rPr>
          <w:rFonts w:ascii="Arial" w:hAnsi="Arial" w:cs="Arial"/>
          <w:sz w:val="24"/>
          <w:szCs w:val="24"/>
        </w:rPr>
        <w:t xml:space="preserve">Figura nr.   </w:t>
      </w:r>
      <w:r w:rsidRPr="002442D1">
        <w:rPr>
          <w:rFonts w:ascii="Arial" w:hAnsi="Arial" w:cs="Arial"/>
          <w:sz w:val="24"/>
          <w:szCs w:val="24"/>
          <w:lang w:val="en-US"/>
        </w:rPr>
        <w:t xml:space="preserve">VI.1.1. - 1 Evoluţia fondului forestier în judeţul </w:t>
      </w:r>
      <w:r w:rsidR="00217620" w:rsidRPr="002442D1">
        <w:rPr>
          <w:rFonts w:ascii="Arial" w:hAnsi="Arial" w:cs="Arial"/>
          <w:sz w:val="24"/>
          <w:szCs w:val="24"/>
          <w:lang w:val="en-US"/>
        </w:rPr>
        <w:t>Brăila</w:t>
      </w:r>
      <w:r w:rsidRPr="002442D1">
        <w:rPr>
          <w:rFonts w:ascii="Arial" w:hAnsi="Arial" w:cs="Arial"/>
          <w:sz w:val="24"/>
          <w:szCs w:val="24"/>
          <w:lang w:val="en-US"/>
        </w:rPr>
        <w:t>, în perioada anilor  201</w:t>
      </w:r>
      <w:r w:rsidR="00D85801" w:rsidRPr="002442D1">
        <w:rPr>
          <w:rFonts w:ascii="Arial" w:hAnsi="Arial" w:cs="Arial"/>
          <w:sz w:val="24"/>
          <w:szCs w:val="24"/>
          <w:lang w:val="en-US"/>
        </w:rPr>
        <w:t>2</w:t>
      </w:r>
      <w:r w:rsidRPr="002442D1">
        <w:rPr>
          <w:rFonts w:ascii="Arial" w:hAnsi="Arial" w:cs="Arial"/>
          <w:sz w:val="24"/>
          <w:szCs w:val="24"/>
          <w:lang w:val="en-US"/>
        </w:rPr>
        <w:t>-201</w:t>
      </w:r>
      <w:r w:rsidR="00D85801" w:rsidRPr="002442D1">
        <w:rPr>
          <w:rFonts w:ascii="Arial" w:hAnsi="Arial" w:cs="Arial"/>
          <w:sz w:val="24"/>
          <w:szCs w:val="24"/>
          <w:lang w:val="en-US"/>
        </w:rPr>
        <w:t>6</w:t>
      </w:r>
    </w:p>
    <w:p w:rsidR="002442D1" w:rsidRPr="002442D1" w:rsidRDefault="002442D1" w:rsidP="002442D1">
      <w:pPr>
        <w:pStyle w:val="Header"/>
        <w:jc w:val="center"/>
        <w:rPr>
          <w:rFonts w:ascii="Arial" w:hAnsi="Arial" w:cs="Arial"/>
          <w:sz w:val="24"/>
          <w:szCs w:val="24"/>
        </w:rPr>
      </w:pPr>
    </w:p>
    <w:p w:rsidR="00D85801" w:rsidRPr="00162D37" w:rsidRDefault="00D85801" w:rsidP="00C625DB">
      <w:pPr>
        <w:pStyle w:val="Header"/>
        <w:jc w:val="both"/>
        <w:rPr>
          <w:rFonts w:ascii="Arial" w:hAnsi="Arial" w:cs="Arial"/>
          <w:b/>
          <w:sz w:val="24"/>
          <w:szCs w:val="24"/>
        </w:rPr>
      </w:pPr>
      <w:r w:rsidRPr="00162D37">
        <w:rPr>
          <w:rFonts w:ascii="Arial" w:hAnsi="Arial" w:cs="Arial"/>
          <w:sz w:val="24"/>
          <w:szCs w:val="24"/>
        </w:rPr>
        <w:t xml:space="preserve">Conform datelor furnizate de către Garda Forestieră Focşani suprafaţa fondului forestier al judeţului </w:t>
      </w:r>
      <w:r w:rsidR="00217620">
        <w:rPr>
          <w:rFonts w:ascii="Arial" w:hAnsi="Arial" w:cs="Arial"/>
          <w:sz w:val="24"/>
          <w:szCs w:val="24"/>
        </w:rPr>
        <w:t>Brăila</w:t>
      </w:r>
      <w:r w:rsidRPr="00162D37">
        <w:rPr>
          <w:rFonts w:ascii="Arial" w:hAnsi="Arial" w:cs="Arial"/>
          <w:sz w:val="24"/>
          <w:szCs w:val="24"/>
        </w:rPr>
        <w:t xml:space="preserve"> era în anul 2016 de 28230 ha din care cea mai mare parte este proprietate de stat (24245ha). </w:t>
      </w:r>
    </w:p>
    <w:p w:rsidR="00D85801" w:rsidRPr="00162D37" w:rsidRDefault="00D85801" w:rsidP="00C625DB">
      <w:pPr>
        <w:spacing w:after="0" w:line="240" w:lineRule="auto"/>
        <w:jc w:val="both"/>
        <w:rPr>
          <w:rFonts w:ascii="Arial" w:hAnsi="Arial" w:cs="Arial"/>
          <w:sz w:val="24"/>
          <w:szCs w:val="24"/>
        </w:rPr>
      </w:pPr>
      <w:r w:rsidRPr="00162D37">
        <w:rPr>
          <w:rFonts w:ascii="Arial" w:hAnsi="Arial" w:cs="Arial"/>
          <w:sz w:val="24"/>
          <w:szCs w:val="24"/>
        </w:rPr>
        <w:t>Repartizarea pe forme de proprietate a suprafeţelor din fondul forestier în perioada 2012-2016 este redată în tabelul următor:</w:t>
      </w:r>
    </w:p>
    <w:p w:rsidR="002442D1" w:rsidRDefault="002442D1" w:rsidP="00C625DB">
      <w:pPr>
        <w:spacing w:after="0" w:line="240" w:lineRule="auto"/>
        <w:jc w:val="both"/>
        <w:rPr>
          <w:rFonts w:ascii="Arial" w:hAnsi="Arial" w:cs="Arial"/>
          <w:sz w:val="24"/>
          <w:szCs w:val="24"/>
          <w:lang w:val="en-US"/>
        </w:rPr>
      </w:pPr>
    </w:p>
    <w:p w:rsidR="00D85801" w:rsidRPr="002442D1" w:rsidRDefault="00D85801" w:rsidP="00C625DB">
      <w:pPr>
        <w:spacing w:after="0" w:line="240" w:lineRule="auto"/>
        <w:jc w:val="both"/>
        <w:rPr>
          <w:rFonts w:ascii="Arial" w:hAnsi="Arial" w:cs="Arial"/>
          <w:sz w:val="24"/>
          <w:szCs w:val="24"/>
        </w:rPr>
      </w:pPr>
      <w:r w:rsidRPr="002442D1">
        <w:rPr>
          <w:rFonts w:ascii="Arial" w:hAnsi="Arial" w:cs="Arial"/>
          <w:sz w:val="24"/>
          <w:szCs w:val="24"/>
          <w:lang w:val="en-US"/>
        </w:rPr>
        <w:t xml:space="preserve">Tabelul nr. VI.1.1. - 2 </w:t>
      </w:r>
      <w:r w:rsidRPr="002442D1">
        <w:rPr>
          <w:rFonts w:ascii="Arial" w:hAnsi="Arial" w:cs="Arial"/>
          <w:sz w:val="24"/>
          <w:szCs w:val="24"/>
        </w:rPr>
        <w:t xml:space="preserve">Repartiția fondului forestier în judeţul </w:t>
      </w:r>
      <w:r w:rsidR="00217620" w:rsidRPr="002442D1">
        <w:rPr>
          <w:rFonts w:ascii="Arial" w:hAnsi="Arial" w:cs="Arial"/>
          <w:sz w:val="24"/>
          <w:szCs w:val="24"/>
        </w:rPr>
        <w:t>Brăila</w:t>
      </w:r>
      <w:r w:rsidRPr="002442D1">
        <w:rPr>
          <w:rFonts w:ascii="Arial" w:hAnsi="Arial" w:cs="Arial"/>
          <w:sz w:val="24"/>
          <w:szCs w:val="24"/>
        </w:rPr>
        <w:t>, pe forme de proprietate, în perioada anilor 2012-2016</w:t>
      </w:r>
    </w:p>
    <w:tbl>
      <w:tblPr>
        <w:tblW w:w="9689" w:type="dxa"/>
        <w:jc w:val="center"/>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4464"/>
        <w:gridCol w:w="927"/>
        <w:gridCol w:w="1057"/>
        <w:gridCol w:w="992"/>
        <w:gridCol w:w="993"/>
        <w:gridCol w:w="1256"/>
      </w:tblGrid>
      <w:tr w:rsidR="007F35C9" w:rsidRPr="00162D37" w:rsidTr="00DC03E4">
        <w:trPr>
          <w:trHeight w:val="211"/>
          <w:jc w:val="center"/>
        </w:trPr>
        <w:tc>
          <w:tcPr>
            <w:tcW w:w="446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C625DB">
            <w:pPr>
              <w:tabs>
                <w:tab w:val="left" w:pos="4860"/>
              </w:tabs>
              <w:spacing w:after="0" w:line="240" w:lineRule="auto"/>
              <w:jc w:val="both"/>
              <w:rPr>
                <w:rFonts w:ascii="Arial" w:hAnsi="Arial" w:cs="Arial"/>
                <w:bCs/>
                <w:sz w:val="24"/>
                <w:szCs w:val="24"/>
              </w:rPr>
            </w:pPr>
            <w:r w:rsidRPr="00162D37">
              <w:rPr>
                <w:rFonts w:ascii="Arial" w:hAnsi="Arial" w:cs="Arial"/>
                <w:bCs/>
                <w:sz w:val="24"/>
                <w:szCs w:val="24"/>
              </w:rPr>
              <w:t>Forma de proprietate</w:t>
            </w:r>
          </w:p>
        </w:tc>
        <w:tc>
          <w:tcPr>
            <w:tcW w:w="5225"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Suprafeţe (ha) pe ani</w:t>
            </w:r>
          </w:p>
        </w:tc>
      </w:tr>
      <w:tr w:rsidR="007F35C9" w:rsidRPr="00162D37" w:rsidTr="00DC03E4">
        <w:trPr>
          <w:trHeight w:val="211"/>
          <w:jc w:val="center"/>
        </w:trPr>
        <w:tc>
          <w:tcPr>
            <w:tcW w:w="4464"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F35C9" w:rsidRPr="00162D37" w:rsidRDefault="007F35C9" w:rsidP="00C625DB">
            <w:pPr>
              <w:tabs>
                <w:tab w:val="left" w:pos="4860"/>
              </w:tabs>
              <w:spacing w:after="0" w:line="240" w:lineRule="auto"/>
              <w:jc w:val="both"/>
              <w:rPr>
                <w:rFonts w:ascii="Arial" w:hAnsi="Arial" w:cs="Arial"/>
                <w:bCs/>
                <w:sz w:val="24"/>
                <w:szCs w:val="24"/>
              </w:rPr>
            </w:pP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2012</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2013</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2014</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2015</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2016</w:t>
            </w:r>
          </w:p>
        </w:tc>
      </w:tr>
      <w:tr w:rsidR="007F35C9" w:rsidRPr="00162D37" w:rsidTr="00DC03E4">
        <w:trPr>
          <w:trHeight w:val="211"/>
          <w:jc w:val="center"/>
        </w:trPr>
        <w:tc>
          <w:tcPr>
            <w:tcW w:w="44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C625DB">
            <w:pPr>
              <w:tabs>
                <w:tab w:val="left" w:pos="4860"/>
              </w:tabs>
              <w:spacing w:after="0" w:line="240" w:lineRule="auto"/>
              <w:jc w:val="both"/>
              <w:rPr>
                <w:rFonts w:ascii="Arial" w:hAnsi="Arial" w:cs="Arial"/>
                <w:bCs/>
                <w:sz w:val="24"/>
                <w:szCs w:val="24"/>
              </w:rPr>
            </w:pPr>
            <w:r w:rsidRPr="00162D37">
              <w:rPr>
                <w:rFonts w:ascii="Arial" w:hAnsi="Arial" w:cs="Arial"/>
                <w:bCs/>
                <w:sz w:val="24"/>
                <w:szCs w:val="24"/>
              </w:rPr>
              <w:t xml:space="preserve">Proprietate de stat </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24075</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24048</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24049</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24011</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24215</w:t>
            </w:r>
          </w:p>
        </w:tc>
      </w:tr>
      <w:tr w:rsidR="007F35C9" w:rsidRPr="00162D37" w:rsidTr="00DC03E4">
        <w:trPr>
          <w:trHeight w:val="398"/>
          <w:jc w:val="center"/>
        </w:trPr>
        <w:tc>
          <w:tcPr>
            <w:tcW w:w="44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C625DB">
            <w:pPr>
              <w:tabs>
                <w:tab w:val="left" w:pos="4860"/>
              </w:tabs>
              <w:spacing w:after="0" w:line="240" w:lineRule="auto"/>
              <w:jc w:val="both"/>
              <w:rPr>
                <w:rFonts w:ascii="Arial" w:hAnsi="Arial" w:cs="Arial"/>
                <w:bCs/>
                <w:sz w:val="24"/>
                <w:szCs w:val="24"/>
              </w:rPr>
            </w:pPr>
            <w:r w:rsidRPr="00162D37">
              <w:rPr>
                <w:rFonts w:ascii="Arial" w:hAnsi="Arial" w:cs="Arial"/>
                <w:bCs/>
                <w:sz w:val="24"/>
                <w:szCs w:val="24"/>
              </w:rPr>
              <w:t>Proprietate publică a UAT</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382</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449</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449</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449</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449</w:t>
            </w:r>
          </w:p>
        </w:tc>
      </w:tr>
      <w:tr w:rsidR="007F35C9" w:rsidRPr="00162D37" w:rsidTr="00DC03E4">
        <w:trPr>
          <w:trHeight w:val="284"/>
          <w:jc w:val="center"/>
        </w:trPr>
        <w:tc>
          <w:tcPr>
            <w:tcW w:w="44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C625DB">
            <w:pPr>
              <w:tabs>
                <w:tab w:val="left" w:pos="4860"/>
              </w:tabs>
              <w:spacing w:after="0" w:line="240" w:lineRule="auto"/>
              <w:jc w:val="both"/>
              <w:rPr>
                <w:rFonts w:ascii="Arial" w:hAnsi="Arial" w:cs="Arial"/>
                <w:bCs/>
                <w:sz w:val="24"/>
                <w:szCs w:val="24"/>
              </w:rPr>
            </w:pPr>
            <w:r w:rsidRPr="00162D37">
              <w:rPr>
                <w:rFonts w:ascii="Arial" w:hAnsi="Arial" w:cs="Arial"/>
                <w:bCs/>
                <w:sz w:val="24"/>
                <w:szCs w:val="24"/>
              </w:rPr>
              <w:t>Proprietate privată a persoanelor juridice</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1392</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1520</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1520</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1566</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1566</w:t>
            </w:r>
          </w:p>
        </w:tc>
      </w:tr>
      <w:tr w:rsidR="007F35C9" w:rsidRPr="00162D37" w:rsidTr="00DC03E4">
        <w:trPr>
          <w:trHeight w:val="284"/>
          <w:jc w:val="center"/>
        </w:trPr>
        <w:tc>
          <w:tcPr>
            <w:tcW w:w="44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C625DB">
            <w:pPr>
              <w:tabs>
                <w:tab w:val="left" w:pos="4860"/>
              </w:tabs>
              <w:spacing w:after="0" w:line="240" w:lineRule="auto"/>
              <w:jc w:val="both"/>
              <w:rPr>
                <w:rFonts w:ascii="Arial" w:hAnsi="Arial" w:cs="Arial"/>
                <w:bCs/>
                <w:sz w:val="24"/>
                <w:szCs w:val="24"/>
              </w:rPr>
            </w:pPr>
            <w:r w:rsidRPr="00162D37">
              <w:rPr>
                <w:rFonts w:ascii="Arial" w:hAnsi="Arial" w:cs="Arial"/>
                <w:bCs/>
                <w:sz w:val="24"/>
                <w:szCs w:val="24"/>
              </w:rPr>
              <w:t>Proprietate privată a persoanelor fizice</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1938</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1818</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1396</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2000</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2000</w:t>
            </w:r>
          </w:p>
        </w:tc>
      </w:tr>
      <w:tr w:rsidR="007F35C9" w:rsidRPr="00162D37" w:rsidTr="00DC03E4">
        <w:trPr>
          <w:trHeight w:val="284"/>
          <w:jc w:val="center"/>
        </w:trPr>
        <w:tc>
          <w:tcPr>
            <w:tcW w:w="44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C625DB">
            <w:pPr>
              <w:tabs>
                <w:tab w:val="left" w:pos="4860"/>
              </w:tabs>
              <w:spacing w:after="0" w:line="240" w:lineRule="auto"/>
              <w:jc w:val="both"/>
              <w:rPr>
                <w:rFonts w:ascii="Arial" w:hAnsi="Arial" w:cs="Arial"/>
                <w:bCs/>
                <w:sz w:val="24"/>
                <w:szCs w:val="24"/>
              </w:rPr>
            </w:pPr>
            <w:r w:rsidRPr="00162D37">
              <w:rPr>
                <w:rFonts w:ascii="Arial" w:hAnsi="Arial" w:cs="Arial"/>
                <w:bCs/>
                <w:sz w:val="24"/>
                <w:szCs w:val="24"/>
              </w:rPr>
              <w:t>Total</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27787</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27835</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27414</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28026</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28230</w:t>
            </w:r>
          </w:p>
        </w:tc>
      </w:tr>
      <w:tr w:rsidR="007F35C9" w:rsidRPr="00162D37" w:rsidTr="00DC03E4">
        <w:trPr>
          <w:trHeight w:val="284"/>
          <w:jc w:val="center"/>
        </w:trPr>
        <w:tc>
          <w:tcPr>
            <w:tcW w:w="44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F35C9" w:rsidP="00C625DB">
            <w:pPr>
              <w:tabs>
                <w:tab w:val="left" w:pos="4860"/>
              </w:tabs>
              <w:spacing w:after="0" w:line="240" w:lineRule="auto"/>
              <w:jc w:val="both"/>
              <w:rPr>
                <w:rFonts w:ascii="Arial" w:hAnsi="Arial" w:cs="Arial"/>
                <w:bCs/>
                <w:sz w:val="24"/>
                <w:szCs w:val="24"/>
              </w:rPr>
            </w:pPr>
            <w:r w:rsidRPr="00162D37">
              <w:rPr>
                <w:rFonts w:ascii="Arial" w:hAnsi="Arial" w:cs="Arial"/>
                <w:bCs/>
                <w:sz w:val="24"/>
                <w:szCs w:val="24"/>
              </w:rPr>
              <w:t>% din suprafaţa judeţului</w:t>
            </w:r>
          </w:p>
        </w:tc>
        <w:tc>
          <w:tcPr>
            <w:tcW w:w="9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E0DAD"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5,83</w:t>
            </w:r>
          </w:p>
        </w:tc>
        <w:tc>
          <w:tcPr>
            <w:tcW w:w="10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E0DAD"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5,84</w:t>
            </w:r>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E0DAD"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5,75</w:t>
            </w:r>
          </w:p>
        </w:tc>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E0DAD"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5,88</w:t>
            </w:r>
          </w:p>
        </w:tc>
        <w:tc>
          <w:tcPr>
            <w:tcW w:w="1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7F35C9" w:rsidRPr="00162D37" w:rsidRDefault="007E0DAD" w:rsidP="00DC03E4">
            <w:pPr>
              <w:tabs>
                <w:tab w:val="left" w:pos="4860"/>
              </w:tabs>
              <w:spacing w:after="0" w:line="240" w:lineRule="auto"/>
              <w:jc w:val="center"/>
              <w:rPr>
                <w:rFonts w:ascii="Arial" w:hAnsi="Arial" w:cs="Arial"/>
                <w:bCs/>
                <w:sz w:val="24"/>
                <w:szCs w:val="24"/>
              </w:rPr>
            </w:pPr>
            <w:r w:rsidRPr="00162D37">
              <w:rPr>
                <w:rFonts w:ascii="Arial" w:hAnsi="Arial" w:cs="Arial"/>
                <w:bCs/>
                <w:sz w:val="24"/>
                <w:szCs w:val="24"/>
              </w:rPr>
              <w:t>5,92</w:t>
            </w:r>
          </w:p>
        </w:tc>
      </w:tr>
    </w:tbl>
    <w:p w:rsidR="007F35C9" w:rsidRPr="00162D37" w:rsidRDefault="007F35C9" w:rsidP="00C625DB">
      <w:pPr>
        <w:spacing w:after="0" w:line="240" w:lineRule="auto"/>
        <w:jc w:val="both"/>
        <w:rPr>
          <w:rFonts w:ascii="Arial" w:hAnsi="Arial" w:cs="Arial"/>
          <w:sz w:val="24"/>
          <w:szCs w:val="24"/>
        </w:rPr>
      </w:pPr>
    </w:p>
    <w:p w:rsidR="007F35C9" w:rsidRPr="00162D37" w:rsidRDefault="007F35C9" w:rsidP="00C625DB">
      <w:pPr>
        <w:spacing w:after="0" w:line="240" w:lineRule="auto"/>
        <w:rPr>
          <w:rFonts w:ascii="Arial" w:hAnsi="Arial" w:cs="Arial"/>
          <w:sz w:val="24"/>
          <w:szCs w:val="24"/>
          <w:lang w:val="en-US"/>
        </w:rPr>
      </w:pPr>
      <w:r w:rsidRPr="00162D37">
        <w:rPr>
          <w:rFonts w:ascii="Arial" w:hAnsi="Arial" w:cs="Arial"/>
          <w:sz w:val="24"/>
          <w:szCs w:val="24"/>
          <w:lang w:val="en-US"/>
        </w:rPr>
        <w:t xml:space="preserve">Tabelul </w:t>
      </w:r>
      <w:r w:rsidRPr="002442D1">
        <w:rPr>
          <w:rFonts w:ascii="Arial" w:hAnsi="Arial" w:cs="Arial"/>
          <w:sz w:val="24"/>
          <w:szCs w:val="24"/>
          <w:lang w:val="en-US"/>
        </w:rPr>
        <w:t>nr. VI.1.1. - 3   Evoluţia</w:t>
      </w:r>
      <w:r w:rsidRPr="00162D37">
        <w:rPr>
          <w:rFonts w:ascii="Arial" w:hAnsi="Arial" w:cs="Arial"/>
          <w:sz w:val="24"/>
          <w:szCs w:val="24"/>
          <w:lang w:val="en-US"/>
        </w:rPr>
        <w:t xml:space="preserve"> fondului forestier în judeţul </w:t>
      </w:r>
      <w:r w:rsidR="00217620">
        <w:rPr>
          <w:rFonts w:ascii="Arial" w:hAnsi="Arial" w:cs="Arial"/>
          <w:sz w:val="24"/>
          <w:szCs w:val="24"/>
          <w:lang w:val="en-US"/>
        </w:rPr>
        <w:t>Brăila</w:t>
      </w:r>
      <w:r w:rsidRPr="00162D37">
        <w:rPr>
          <w:rFonts w:ascii="Arial" w:hAnsi="Arial" w:cs="Arial"/>
          <w:sz w:val="24"/>
          <w:szCs w:val="24"/>
          <w:lang w:val="en-US"/>
        </w:rPr>
        <w:t>, în perioada anilor  2012-2016</w:t>
      </w:r>
    </w:p>
    <w:tbl>
      <w:tblPr>
        <w:tblStyle w:val="TableGrid"/>
        <w:tblW w:w="0" w:type="auto"/>
        <w:jc w:val="center"/>
        <w:shd w:val="clear" w:color="auto" w:fill="E5DFEC" w:themeFill="accent4" w:themeFillTint="33"/>
        <w:tblLook w:val="04A0"/>
      </w:tblPr>
      <w:tblGrid>
        <w:gridCol w:w="3912"/>
        <w:gridCol w:w="1006"/>
        <w:gridCol w:w="1130"/>
        <w:gridCol w:w="1130"/>
        <w:gridCol w:w="1014"/>
        <w:gridCol w:w="1096"/>
      </w:tblGrid>
      <w:tr w:rsidR="007F35C9" w:rsidRPr="00162D37" w:rsidTr="00E046A5">
        <w:trPr>
          <w:jc w:val="center"/>
        </w:trPr>
        <w:tc>
          <w:tcPr>
            <w:tcW w:w="3912" w:type="dxa"/>
            <w:shd w:val="clear" w:color="auto" w:fill="E5DFEC" w:themeFill="accent4" w:themeFillTint="33"/>
          </w:tcPr>
          <w:p w:rsidR="007F35C9" w:rsidRPr="00162D37" w:rsidRDefault="007F35C9" w:rsidP="00C625DB">
            <w:pPr>
              <w:rPr>
                <w:rFonts w:ascii="Arial" w:hAnsi="Arial" w:cs="Arial"/>
                <w:sz w:val="24"/>
                <w:szCs w:val="24"/>
                <w:lang w:val="en-US"/>
              </w:rPr>
            </w:pPr>
          </w:p>
        </w:tc>
        <w:tc>
          <w:tcPr>
            <w:tcW w:w="1006" w:type="dxa"/>
            <w:shd w:val="clear" w:color="auto" w:fill="E5DFEC" w:themeFill="accent4" w:themeFillTint="33"/>
          </w:tcPr>
          <w:p w:rsidR="007F35C9" w:rsidRPr="00162D37" w:rsidRDefault="007F35C9" w:rsidP="00C625DB">
            <w:pPr>
              <w:rPr>
                <w:rFonts w:ascii="Arial" w:hAnsi="Arial" w:cs="Arial"/>
                <w:b/>
                <w:sz w:val="24"/>
                <w:szCs w:val="24"/>
                <w:lang w:val="en-US"/>
              </w:rPr>
            </w:pPr>
            <w:r w:rsidRPr="00162D37">
              <w:rPr>
                <w:rFonts w:ascii="Arial" w:hAnsi="Arial" w:cs="Arial"/>
                <w:b/>
                <w:sz w:val="24"/>
                <w:szCs w:val="24"/>
                <w:lang w:val="en-US"/>
              </w:rPr>
              <w:t>2012</w:t>
            </w:r>
          </w:p>
        </w:tc>
        <w:tc>
          <w:tcPr>
            <w:tcW w:w="1130" w:type="dxa"/>
            <w:shd w:val="clear" w:color="auto" w:fill="E5DFEC" w:themeFill="accent4" w:themeFillTint="33"/>
          </w:tcPr>
          <w:p w:rsidR="007F35C9" w:rsidRPr="00162D37" w:rsidRDefault="007F35C9" w:rsidP="00C625DB">
            <w:pPr>
              <w:rPr>
                <w:rFonts w:ascii="Arial" w:hAnsi="Arial" w:cs="Arial"/>
                <w:b/>
                <w:sz w:val="24"/>
                <w:szCs w:val="24"/>
                <w:lang w:val="en-US"/>
              </w:rPr>
            </w:pPr>
            <w:r w:rsidRPr="00162D37">
              <w:rPr>
                <w:rFonts w:ascii="Arial" w:hAnsi="Arial" w:cs="Arial"/>
                <w:b/>
                <w:sz w:val="24"/>
                <w:szCs w:val="24"/>
                <w:lang w:val="en-US"/>
              </w:rPr>
              <w:t>2013</w:t>
            </w:r>
          </w:p>
        </w:tc>
        <w:tc>
          <w:tcPr>
            <w:tcW w:w="1130" w:type="dxa"/>
            <w:shd w:val="clear" w:color="auto" w:fill="E5DFEC" w:themeFill="accent4" w:themeFillTint="33"/>
          </w:tcPr>
          <w:p w:rsidR="007F35C9" w:rsidRPr="00162D37" w:rsidRDefault="007F35C9" w:rsidP="00C625DB">
            <w:pPr>
              <w:rPr>
                <w:rFonts w:ascii="Arial" w:hAnsi="Arial" w:cs="Arial"/>
                <w:b/>
                <w:sz w:val="24"/>
                <w:szCs w:val="24"/>
                <w:lang w:val="en-US"/>
              </w:rPr>
            </w:pPr>
            <w:r w:rsidRPr="00162D37">
              <w:rPr>
                <w:rFonts w:ascii="Arial" w:hAnsi="Arial" w:cs="Arial"/>
                <w:b/>
                <w:sz w:val="24"/>
                <w:szCs w:val="24"/>
                <w:lang w:val="en-US"/>
              </w:rPr>
              <w:t>2014</w:t>
            </w:r>
          </w:p>
        </w:tc>
        <w:tc>
          <w:tcPr>
            <w:tcW w:w="1014" w:type="dxa"/>
            <w:shd w:val="clear" w:color="auto" w:fill="E5DFEC" w:themeFill="accent4" w:themeFillTint="33"/>
          </w:tcPr>
          <w:p w:rsidR="007F35C9" w:rsidRPr="00162D37" w:rsidRDefault="007F35C9" w:rsidP="00C625DB">
            <w:pPr>
              <w:rPr>
                <w:rFonts w:ascii="Arial" w:hAnsi="Arial" w:cs="Arial"/>
                <w:b/>
                <w:sz w:val="24"/>
                <w:szCs w:val="24"/>
                <w:lang w:val="en-US"/>
              </w:rPr>
            </w:pPr>
            <w:r w:rsidRPr="00162D37">
              <w:rPr>
                <w:rFonts w:ascii="Arial" w:hAnsi="Arial" w:cs="Arial"/>
                <w:b/>
                <w:sz w:val="24"/>
                <w:szCs w:val="24"/>
                <w:lang w:val="en-US"/>
              </w:rPr>
              <w:t>2015</w:t>
            </w:r>
          </w:p>
        </w:tc>
        <w:tc>
          <w:tcPr>
            <w:tcW w:w="1096" w:type="dxa"/>
            <w:shd w:val="clear" w:color="auto" w:fill="E5DFEC" w:themeFill="accent4" w:themeFillTint="33"/>
          </w:tcPr>
          <w:p w:rsidR="007F35C9" w:rsidRPr="00162D37" w:rsidRDefault="007F35C9" w:rsidP="00C625DB">
            <w:pPr>
              <w:rPr>
                <w:rFonts w:ascii="Arial" w:hAnsi="Arial" w:cs="Arial"/>
                <w:b/>
                <w:sz w:val="24"/>
                <w:szCs w:val="24"/>
                <w:lang w:val="en-US"/>
              </w:rPr>
            </w:pPr>
            <w:r w:rsidRPr="00162D37">
              <w:rPr>
                <w:rFonts w:ascii="Arial" w:hAnsi="Arial" w:cs="Arial"/>
                <w:b/>
                <w:sz w:val="24"/>
                <w:szCs w:val="24"/>
                <w:lang w:val="en-US"/>
              </w:rPr>
              <w:t>2016</w:t>
            </w:r>
          </w:p>
        </w:tc>
      </w:tr>
      <w:tr w:rsidR="007F35C9" w:rsidRPr="00162D37" w:rsidTr="00E046A5">
        <w:trPr>
          <w:jc w:val="center"/>
        </w:trPr>
        <w:tc>
          <w:tcPr>
            <w:tcW w:w="3912" w:type="dxa"/>
            <w:shd w:val="clear" w:color="auto" w:fill="E5DFEC" w:themeFill="accent4" w:themeFillTint="33"/>
          </w:tcPr>
          <w:p w:rsidR="007F35C9" w:rsidRPr="00162D37" w:rsidRDefault="007F35C9" w:rsidP="00C625DB">
            <w:pPr>
              <w:rPr>
                <w:rFonts w:ascii="Arial" w:hAnsi="Arial" w:cs="Arial"/>
                <w:sz w:val="24"/>
                <w:szCs w:val="24"/>
                <w:lang w:val="en-US"/>
              </w:rPr>
            </w:pPr>
            <w:r w:rsidRPr="00162D37">
              <w:rPr>
                <w:rFonts w:ascii="Arial" w:hAnsi="Arial" w:cs="Arial"/>
                <w:sz w:val="24"/>
                <w:szCs w:val="24"/>
                <w:lang w:val="en-US"/>
              </w:rPr>
              <w:t>Fond forestier/populaţie ( ha/loc)</w:t>
            </w:r>
          </w:p>
        </w:tc>
        <w:tc>
          <w:tcPr>
            <w:tcW w:w="1006" w:type="dxa"/>
            <w:shd w:val="clear" w:color="auto" w:fill="E5DFEC" w:themeFill="accent4" w:themeFillTint="33"/>
          </w:tcPr>
          <w:p w:rsidR="007F35C9" w:rsidRPr="00162D37" w:rsidRDefault="007F35C9" w:rsidP="00C625DB">
            <w:pPr>
              <w:rPr>
                <w:rFonts w:ascii="Arial" w:hAnsi="Arial" w:cs="Arial"/>
                <w:sz w:val="24"/>
                <w:szCs w:val="24"/>
                <w:lang w:val="en-US"/>
              </w:rPr>
            </w:pPr>
            <w:r w:rsidRPr="00162D37">
              <w:rPr>
                <w:rFonts w:ascii="Arial" w:hAnsi="Arial" w:cs="Arial"/>
                <w:sz w:val="24"/>
                <w:szCs w:val="24"/>
                <w:lang w:val="en-US"/>
              </w:rPr>
              <w:t>0,074</w:t>
            </w:r>
          </w:p>
        </w:tc>
        <w:tc>
          <w:tcPr>
            <w:tcW w:w="1130" w:type="dxa"/>
            <w:shd w:val="clear" w:color="auto" w:fill="E5DFEC" w:themeFill="accent4" w:themeFillTint="33"/>
          </w:tcPr>
          <w:p w:rsidR="007F35C9" w:rsidRPr="00162D37" w:rsidRDefault="007F35C9" w:rsidP="00C625DB">
            <w:pPr>
              <w:rPr>
                <w:rFonts w:ascii="Arial" w:hAnsi="Arial" w:cs="Arial"/>
                <w:sz w:val="24"/>
                <w:szCs w:val="24"/>
                <w:lang w:val="en-US"/>
              </w:rPr>
            </w:pPr>
            <w:r w:rsidRPr="00162D37">
              <w:rPr>
                <w:rFonts w:ascii="Arial" w:hAnsi="Arial" w:cs="Arial"/>
                <w:sz w:val="24"/>
                <w:szCs w:val="24"/>
                <w:lang w:val="en-US"/>
              </w:rPr>
              <w:t>0,074</w:t>
            </w:r>
          </w:p>
        </w:tc>
        <w:tc>
          <w:tcPr>
            <w:tcW w:w="1130" w:type="dxa"/>
            <w:shd w:val="clear" w:color="auto" w:fill="E5DFEC" w:themeFill="accent4" w:themeFillTint="33"/>
          </w:tcPr>
          <w:p w:rsidR="007F35C9" w:rsidRPr="00162D37" w:rsidRDefault="007F35C9" w:rsidP="00C625DB">
            <w:pPr>
              <w:rPr>
                <w:rFonts w:ascii="Arial" w:hAnsi="Arial" w:cs="Arial"/>
                <w:sz w:val="24"/>
                <w:szCs w:val="24"/>
                <w:lang w:val="en-US"/>
              </w:rPr>
            </w:pPr>
            <w:r w:rsidRPr="00162D37">
              <w:rPr>
                <w:rFonts w:ascii="Arial" w:hAnsi="Arial" w:cs="Arial"/>
                <w:sz w:val="24"/>
                <w:szCs w:val="24"/>
                <w:lang w:val="en-US"/>
              </w:rPr>
              <w:t>0,073</w:t>
            </w:r>
          </w:p>
        </w:tc>
        <w:tc>
          <w:tcPr>
            <w:tcW w:w="1014" w:type="dxa"/>
            <w:shd w:val="clear" w:color="auto" w:fill="E5DFEC" w:themeFill="accent4" w:themeFillTint="33"/>
          </w:tcPr>
          <w:p w:rsidR="007F35C9" w:rsidRPr="00162D37" w:rsidRDefault="007F35C9" w:rsidP="00C625DB">
            <w:pPr>
              <w:rPr>
                <w:rFonts w:ascii="Arial" w:hAnsi="Arial" w:cs="Arial"/>
                <w:sz w:val="24"/>
                <w:szCs w:val="24"/>
                <w:lang w:val="en-US"/>
              </w:rPr>
            </w:pPr>
            <w:r w:rsidRPr="00162D37">
              <w:rPr>
                <w:rFonts w:ascii="Arial" w:hAnsi="Arial" w:cs="Arial"/>
                <w:sz w:val="24"/>
                <w:szCs w:val="24"/>
                <w:lang w:val="en-US"/>
              </w:rPr>
              <w:t>0,075</w:t>
            </w:r>
          </w:p>
        </w:tc>
        <w:tc>
          <w:tcPr>
            <w:tcW w:w="1096" w:type="dxa"/>
            <w:shd w:val="clear" w:color="auto" w:fill="E5DFEC" w:themeFill="accent4" w:themeFillTint="33"/>
          </w:tcPr>
          <w:p w:rsidR="007F35C9" w:rsidRPr="00162D37" w:rsidRDefault="007F35C9" w:rsidP="00C625DB">
            <w:pPr>
              <w:rPr>
                <w:rFonts w:ascii="Arial" w:hAnsi="Arial" w:cs="Arial"/>
                <w:sz w:val="24"/>
                <w:szCs w:val="24"/>
                <w:lang w:val="en-US"/>
              </w:rPr>
            </w:pPr>
            <w:r w:rsidRPr="00162D37">
              <w:rPr>
                <w:rFonts w:ascii="Arial" w:hAnsi="Arial" w:cs="Arial"/>
                <w:sz w:val="24"/>
                <w:szCs w:val="24"/>
                <w:lang w:val="en-US"/>
              </w:rPr>
              <w:t>0,076</w:t>
            </w:r>
          </w:p>
        </w:tc>
      </w:tr>
    </w:tbl>
    <w:p w:rsidR="007F35C9" w:rsidRPr="00162D37" w:rsidRDefault="007F35C9" w:rsidP="00C625DB">
      <w:pPr>
        <w:pStyle w:val="Default"/>
        <w:jc w:val="both"/>
        <w:rPr>
          <w:rFonts w:ascii="Arial" w:hAnsi="Arial" w:cs="Arial"/>
          <w:color w:val="auto"/>
        </w:rPr>
      </w:pPr>
    </w:p>
    <w:p w:rsidR="007F35C9" w:rsidRPr="00162D37" w:rsidRDefault="007F35C9" w:rsidP="00C625DB">
      <w:pPr>
        <w:pStyle w:val="Default"/>
        <w:jc w:val="center"/>
        <w:rPr>
          <w:rFonts w:ascii="Arial" w:hAnsi="Arial" w:cs="Arial"/>
          <w:color w:val="auto"/>
        </w:rPr>
      </w:pPr>
      <w:r w:rsidRPr="00162D37">
        <w:rPr>
          <w:rFonts w:ascii="Arial" w:hAnsi="Arial" w:cs="Arial"/>
          <w:noProof/>
          <w:color w:val="auto"/>
          <w:lang w:val="ro-RO" w:eastAsia="ro-RO"/>
        </w:rPr>
        <w:drawing>
          <wp:inline distT="0" distB="0" distL="0" distR="0">
            <wp:extent cx="4286250" cy="2247900"/>
            <wp:effectExtent l="19050" t="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442D1" w:rsidRDefault="002442D1" w:rsidP="00C625DB">
      <w:pPr>
        <w:spacing w:after="0" w:line="240" w:lineRule="auto"/>
        <w:rPr>
          <w:rFonts w:ascii="Arial" w:hAnsi="Arial" w:cs="Arial"/>
          <w:sz w:val="24"/>
          <w:szCs w:val="24"/>
        </w:rPr>
      </w:pPr>
    </w:p>
    <w:p w:rsidR="007F35C9" w:rsidRPr="00162D37" w:rsidRDefault="007F35C9" w:rsidP="002442D1">
      <w:pPr>
        <w:spacing w:after="0" w:line="240" w:lineRule="auto"/>
        <w:jc w:val="center"/>
        <w:rPr>
          <w:rFonts w:ascii="Arial" w:hAnsi="Arial" w:cs="Arial"/>
          <w:sz w:val="24"/>
          <w:szCs w:val="24"/>
        </w:rPr>
      </w:pPr>
      <w:r w:rsidRPr="00162D37">
        <w:rPr>
          <w:rFonts w:ascii="Arial" w:hAnsi="Arial" w:cs="Arial"/>
          <w:sz w:val="24"/>
          <w:szCs w:val="24"/>
        </w:rPr>
        <w:t>Figura nr</w:t>
      </w:r>
      <w:r w:rsidRPr="002442D1">
        <w:rPr>
          <w:rFonts w:ascii="Arial" w:hAnsi="Arial" w:cs="Arial"/>
          <w:b/>
          <w:sz w:val="24"/>
          <w:szCs w:val="24"/>
        </w:rPr>
        <w:t xml:space="preserve">.   </w:t>
      </w:r>
      <w:r w:rsidRPr="002442D1">
        <w:rPr>
          <w:rFonts w:ascii="Arial" w:hAnsi="Arial" w:cs="Arial"/>
          <w:b/>
          <w:sz w:val="24"/>
          <w:szCs w:val="24"/>
          <w:lang w:val="en-US"/>
        </w:rPr>
        <w:t>VI.1.1. - 2</w:t>
      </w:r>
      <w:r w:rsidRPr="00162D37">
        <w:rPr>
          <w:rFonts w:ascii="Arial" w:hAnsi="Arial" w:cs="Arial"/>
          <w:b/>
          <w:sz w:val="24"/>
          <w:szCs w:val="24"/>
          <w:lang w:val="en-US"/>
        </w:rPr>
        <w:t xml:space="preserve">  </w:t>
      </w:r>
      <w:r w:rsidRPr="00162D37">
        <w:rPr>
          <w:rFonts w:ascii="Arial" w:hAnsi="Arial" w:cs="Arial"/>
          <w:sz w:val="24"/>
          <w:szCs w:val="24"/>
          <w:lang w:val="en-US"/>
        </w:rPr>
        <w:t xml:space="preserve">Evoluţia fondului forestier (ha/loc) în judeţul </w:t>
      </w:r>
      <w:r w:rsidR="00217620">
        <w:rPr>
          <w:rFonts w:ascii="Arial" w:hAnsi="Arial" w:cs="Arial"/>
          <w:sz w:val="24"/>
          <w:szCs w:val="24"/>
          <w:lang w:val="en-US"/>
        </w:rPr>
        <w:t>Brăila</w:t>
      </w:r>
      <w:r w:rsidRPr="00162D37">
        <w:rPr>
          <w:rFonts w:ascii="Arial" w:hAnsi="Arial" w:cs="Arial"/>
          <w:sz w:val="24"/>
          <w:szCs w:val="24"/>
          <w:lang w:val="en-US"/>
        </w:rPr>
        <w:t>, în perioada anilor  2012-2016</w:t>
      </w:r>
    </w:p>
    <w:p w:rsidR="009474A2" w:rsidRPr="00162D37" w:rsidRDefault="009474A2" w:rsidP="00C625DB">
      <w:pPr>
        <w:pStyle w:val="Default"/>
        <w:ind w:firstLine="708"/>
        <w:jc w:val="both"/>
        <w:rPr>
          <w:rFonts w:ascii="Arial" w:hAnsi="Arial" w:cs="Arial"/>
          <w:color w:val="auto"/>
        </w:rPr>
      </w:pPr>
      <w:r w:rsidRPr="00162D37">
        <w:rPr>
          <w:rFonts w:ascii="Arial" w:hAnsi="Arial" w:cs="Arial"/>
          <w:color w:val="auto"/>
        </w:rPr>
        <w:t>Raportul dintre creşterea şi tăierea arborilor arată sustenabilitatea producţiei de masă lemnoasă în timp, disponibilitatea actuală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potenţialul producţiei de masă lemnoasă şi pentru starea biodiversităţii, a sănătăţii şi funcţiilor pădurilor.</w:t>
      </w:r>
    </w:p>
    <w:p w:rsidR="002442D1" w:rsidRDefault="002442D1" w:rsidP="00C625DB">
      <w:pPr>
        <w:pStyle w:val="Default"/>
        <w:jc w:val="both"/>
        <w:rPr>
          <w:rFonts w:ascii="Arial" w:hAnsi="Arial" w:cs="Arial"/>
          <w:color w:val="auto"/>
        </w:rPr>
      </w:pPr>
    </w:p>
    <w:p w:rsidR="00BD71DD" w:rsidRPr="00162D37" w:rsidRDefault="00BD71DD" w:rsidP="00C625DB">
      <w:pPr>
        <w:pStyle w:val="Default"/>
        <w:jc w:val="both"/>
        <w:rPr>
          <w:rFonts w:ascii="Arial" w:hAnsi="Arial" w:cs="Arial"/>
          <w:color w:val="auto"/>
        </w:rPr>
      </w:pPr>
      <w:r w:rsidRPr="00162D37">
        <w:rPr>
          <w:rFonts w:ascii="Arial" w:hAnsi="Arial" w:cs="Arial"/>
          <w:color w:val="auto"/>
        </w:rPr>
        <w:t>Tabelul nr.</w:t>
      </w:r>
      <w:r w:rsidRPr="00162D37">
        <w:rPr>
          <w:rFonts w:ascii="Arial" w:hAnsi="Arial" w:cs="Arial"/>
          <w:b/>
          <w:color w:val="auto"/>
        </w:rPr>
        <w:t xml:space="preserve"> </w:t>
      </w:r>
      <w:r w:rsidRPr="002442D1">
        <w:rPr>
          <w:rFonts w:ascii="Arial" w:hAnsi="Arial" w:cs="Arial"/>
          <w:color w:val="auto"/>
        </w:rPr>
        <w:t>VI.1.1. - 4 Evoluţia</w:t>
      </w:r>
      <w:r w:rsidRPr="00162D37">
        <w:rPr>
          <w:rFonts w:ascii="Arial" w:hAnsi="Arial" w:cs="Arial"/>
          <w:color w:val="auto"/>
        </w:rPr>
        <w:t xml:space="preserve"> creşterii anuale a fondului forestier comparativ cu tăierea masei lemnoase, în judeţul </w:t>
      </w:r>
      <w:r w:rsidR="00217620">
        <w:rPr>
          <w:rFonts w:ascii="Arial" w:hAnsi="Arial" w:cs="Arial"/>
          <w:color w:val="auto"/>
        </w:rPr>
        <w:t>Brăila</w:t>
      </w:r>
      <w:r w:rsidRPr="00162D37">
        <w:rPr>
          <w:rFonts w:ascii="Arial" w:hAnsi="Arial" w:cs="Arial"/>
          <w:color w:val="auto"/>
        </w:rPr>
        <w:t>, în perioada anilor 2012-2016</w:t>
      </w:r>
    </w:p>
    <w:p w:rsidR="00BD71DD" w:rsidRPr="00162D37" w:rsidRDefault="00BD71DD" w:rsidP="00C625DB">
      <w:pPr>
        <w:pStyle w:val="Default"/>
        <w:jc w:val="both"/>
        <w:rPr>
          <w:rFonts w:ascii="Arial" w:hAnsi="Arial" w:cs="Arial"/>
          <w:color w:val="auto"/>
        </w:rPr>
      </w:pPr>
    </w:p>
    <w:tbl>
      <w:tblPr>
        <w:tblStyle w:val="TableGrid"/>
        <w:tblW w:w="0" w:type="auto"/>
        <w:jc w:val="center"/>
        <w:tblLook w:val="04A0"/>
      </w:tblPr>
      <w:tblGrid>
        <w:gridCol w:w="3936"/>
        <w:gridCol w:w="992"/>
        <w:gridCol w:w="1134"/>
        <w:gridCol w:w="1134"/>
        <w:gridCol w:w="992"/>
        <w:gridCol w:w="1100"/>
      </w:tblGrid>
      <w:tr w:rsidR="00BD71DD" w:rsidRPr="00162D37" w:rsidTr="00E046A5">
        <w:trPr>
          <w:jc w:val="center"/>
        </w:trPr>
        <w:tc>
          <w:tcPr>
            <w:tcW w:w="3936" w:type="dxa"/>
            <w:shd w:val="clear" w:color="auto" w:fill="B2A1C7" w:themeFill="accent4" w:themeFillTint="99"/>
          </w:tcPr>
          <w:p w:rsidR="00BD71DD" w:rsidRPr="00162D37" w:rsidRDefault="00BD71DD" w:rsidP="00C625DB">
            <w:pPr>
              <w:jc w:val="both"/>
              <w:rPr>
                <w:rFonts w:ascii="Arial" w:hAnsi="Arial" w:cs="Arial"/>
                <w:sz w:val="24"/>
                <w:szCs w:val="24"/>
              </w:rPr>
            </w:pPr>
          </w:p>
        </w:tc>
        <w:tc>
          <w:tcPr>
            <w:tcW w:w="992" w:type="dxa"/>
            <w:shd w:val="clear" w:color="auto" w:fill="B2A1C7" w:themeFill="accent4" w:themeFillTint="99"/>
          </w:tcPr>
          <w:p w:rsidR="00BD71DD" w:rsidRPr="00162D37" w:rsidRDefault="00BD71DD" w:rsidP="00C625DB">
            <w:pPr>
              <w:jc w:val="both"/>
              <w:rPr>
                <w:rFonts w:ascii="Arial" w:hAnsi="Arial" w:cs="Arial"/>
                <w:b/>
                <w:sz w:val="24"/>
                <w:szCs w:val="24"/>
              </w:rPr>
            </w:pPr>
            <w:r w:rsidRPr="00162D37">
              <w:rPr>
                <w:rFonts w:ascii="Arial" w:hAnsi="Arial" w:cs="Arial"/>
                <w:b/>
                <w:sz w:val="24"/>
                <w:szCs w:val="24"/>
              </w:rPr>
              <w:t>2012</w:t>
            </w:r>
          </w:p>
        </w:tc>
        <w:tc>
          <w:tcPr>
            <w:tcW w:w="1134" w:type="dxa"/>
            <w:shd w:val="clear" w:color="auto" w:fill="B2A1C7" w:themeFill="accent4" w:themeFillTint="99"/>
          </w:tcPr>
          <w:p w:rsidR="00BD71DD" w:rsidRPr="00162D37" w:rsidRDefault="00BD71DD" w:rsidP="00C625DB">
            <w:pPr>
              <w:jc w:val="both"/>
              <w:rPr>
                <w:rFonts w:ascii="Arial" w:hAnsi="Arial" w:cs="Arial"/>
                <w:b/>
                <w:sz w:val="24"/>
                <w:szCs w:val="24"/>
              </w:rPr>
            </w:pPr>
            <w:r w:rsidRPr="00162D37">
              <w:rPr>
                <w:rFonts w:ascii="Arial" w:hAnsi="Arial" w:cs="Arial"/>
                <w:b/>
                <w:sz w:val="24"/>
                <w:szCs w:val="24"/>
              </w:rPr>
              <w:t>2013</w:t>
            </w:r>
          </w:p>
        </w:tc>
        <w:tc>
          <w:tcPr>
            <w:tcW w:w="1134" w:type="dxa"/>
            <w:shd w:val="clear" w:color="auto" w:fill="B2A1C7" w:themeFill="accent4" w:themeFillTint="99"/>
          </w:tcPr>
          <w:p w:rsidR="00BD71DD" w:rsidRPr="00162D37" w:rsidRDefault="00BD71DD" w:rsidP="00C625DB">
            <w:pPr>
              <w:jc w:val="both"/>
              <w:rPr>
                <w:rFonts w:ascii="Arial" w:hAnsi="Arial" w:cs="Arial"/>
                <w:b/>
                <w:sz w:val="24"/>
                <w:szCs w:val="24"/>
              </w:rPr>
            </w:pPr>
            <w:r w:rsidRPr="00162D37">
              <w:rPr>
                <w:rFonts w:ascii="Arial" w:hAnsi="Arial" w:cs="Arial"/>
                <w:b/>
                <w:sz w:val="24"/>
                <w:szCs w:val="24"/>
              </w:rPr>
              <w:t>2014</w:t>
            </w:r>
          </w:p>
        </w:tc>
        <w:tc>
          <w:tcPr>
            <w:tcW w:w="992" w:type="dxa"/>
            <w:shd w:val="clear" w:color="auto" w:fill="B2A1C7" w:themeFill="accent4" w:themeFillTint="99"/>
          </w:tcPr>
          <w:p w:rsidR="00BD71DD" w:rsidRPr="00162D37" w:rsidRDefault="00BD71DD" w:rsidP="00C625DB">
            <w:pPr>
              <w:jc w:val="both"/>
              <w:rPr>
                <w:rFonts w:ascii="Arial" w:hAnsi="Arial" w:cs="Arial"/>
                <w:b/>
                <w:sz w:val="24"/>
                <w:szCs w:val="24"/>
              </w:rPr>
            </w:pPr>
            <w:r w:rsidRPr="00162D37">
              <w:rPr>
                <w:rFonts w:ascii="Arial" w:hAnsi="Arial" w:cs="Arial"/>
                <w:b/>
                <w:sz w:val="24"/>
                <w:szCs w:val="24"/>
              </w:rPr>
              <w:t>2015</w:t>
            </w:r>
          </w:p>
        </w:tc>
        <w:tc>
          <w:tcPr>
            <w:tcW w:w="1100" w:type="dxa"/>
            <w:shd w:val="clear" w:color="auto" w:fill="B2A1C7" w:themeFill="accent4" w:themeFillTint="99"/>
          </w:tcPr>
          <w:p w:rsidR="00BD71DD" w:rsidRPr="00162D37" w:rsidRDefault="00BD71DD" w:rsidP="00C625DB">
            <w:pPr>
              <w:jc w:val="both"/>
              <w:rPr>
                <w:rFonts w:ascii="Arial" w:hAnsi="Arial" w:cs="Arial"/>
                <w:b/>
                <w:sz w:val="24"/>
                <w:szCs w:val="24"/>
              </w:rPr>
            </w:pPr>
            <w:r w:rsidRPr="00162D37">
              <w:rPr>
                <w:rFonts w:ascii="Arial" w:hAnsi="Arial" w:cs="Arial"/>
                <w:b/>
                <w:sz w:val="24"/>
                <w:szCs w:val="24"/>
              </w:rPr>
              <w:t>2016</w:t>
            </w:r>
          </w:p>
        </w:tc>
      </w:tr>
      <w:tr w:rsidR="00BD71DD" w:rsidRPr="00162D37" w:rsidTr="00E046A5">
        <w:trPr>
          <w:jc w:val="center"/>
        </w:trPr>
        <w:tc>
          <w:tcPr>
            <w:tcW w:w="3936"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Creşterea anuală a fondului forestier  (m</w:t>
            </w:r>
            <w:r w:rsidRPr="00162D37">
              <w:rPr>
                <w:rFonts w:ascii="Arial" w:hAnsi="Arial" w:cs="Arial"/>
                <w:sz w:val="24"/>
                <w:szCs w:val="24"/>
                <w:vertAlign w:val="superscript"/>
              </w:rPr>
              <w:t>3</w:t>
            </w:r>
            <w:r w:rsidRPr="00162D37">
              <w:rPr>
                <w:rFonts w:ascii="Arial" w:hAnsi="Arial" w:cs="Arial"/>
                <w:sz w:val="24"/>
                <w:szCs w:val="24"/>
              </w:rPr>
              <w:t>/ha/an)</w:t>
            </w:r>
          </w:p>
          <w:p w:rsidR="00BD71DD" w:rsidRPr="00162D37" w:rsidRDefault="00BD71DD" w:rsidP="00C625DB">
            <w:pPr>
              <w:jc w:val="both"/>
              <w:rPr>
                <w:rFonts w:ascii="Arial" w:hAnsi="Arial" w:cs="Arial"/>
                <w:sz w:val="24"/>
                <w:szCs w:val="24"/>
              </w:rPr>
            </w:pPr>
            <w:r w:rsidRPr="00162D37">
              <w:rPr>
                <w:rFonts w:ascii="Arial" w:hAnsi="Arial" w:cs="Arial"/>
                <w:sz w:val="24"/>
                <w:szCs w:val="24"/>
              </w:rPr>
              <w:t>suprafaţa x creşterea medie anuală (0-2 m3/ha/an pt păduri naturale; 2-18 m3/ha/an pt plantaţii de pădure)</w:t>
            </w:r>
          </w:p>
        </w:tc>
        <w:tc>
          <w:tcPr>
            <w:tcW w:w="992"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5,5</w:t>
            </w:r>
          </w:p>
        </w:tc>
        <w:tc>
          <w:tcPr>
            <w:tcW w:w="1134"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5,5</w:t>
            </w:r>
          </w:p>
        </w:tc>
        <w:tc>
          <w:tcPr>
            <w:tcW w:w="1134"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5,5</w:t>
            </w:r>
          </w:p>
        </w:tc>
        <w:tc>
          <w:tcPr>
            <w:tcW w:w="992"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5,5</w:t>
            </w:r>
          </w:p>
        </w:tc>
        <w:tc>
          <w:tcPr>
            <w:tcW w:w="1100"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5,5</w:t>
            </w:r>
          </w:p>
        </w:tc>
      </w:tr>
      <w:tr w:rsidR="00BD71DD" w:rsidRPr="00162D37" w:rsidTr="00E046A5">
        <w:trPr>
          <w:jc w:val="center"/>
        </w:trPr>
        <w:tc>
          <w:tcPr>
            <w:tcW w:w="3936"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Tăieri - cantitatea de masă lemnoasă recoltată anual (m</w:t>
            </w:r>
            <w:r w:rsidRPr="00162D37">
              <w:rPr>
                <w:rFonts w:ascii="Arial" w:hAnsi="Arial" w:cs="Arial"/>
                <w:sz w:val="24"/>
                <w:szCs w:val="24"/>
                <w:vertAlign w:val="superscript"/>
              </w:rPr>
              <w:t>3</w:t>
            </w:r>
            <w:r w:rsidRPr="00162D37">
              <w:rPr>
                <w:rFonts w:ascii="Arial" w:hAnsi="Arial" w:cs="Arial"/>
                <w:sz w:val="24"/>
                <w:szCs w:val="24"/>
              </w:rPr>
              <w:t xml:space="preserve">/ha/an) </w:t>
            </w:r>
          </w:p>
          <w:p w:rsidR="00BD71DD" w:rsidRPr="00162D37" w:rsidRDefault="00BD71DD" w:rsidP="00C625DB">
            <w:pPr>
              <w:jc w:val="both"/>
              <w:rPr>
                <w:rFonts w:ascii="Arial" w:hAnsi="Arial" w:cs="Arial"/>
                <w:sz w:val="24"/>
                <w:szCs w:val="24"/>
              </w:rPr>
            </w:pPr>
            <w:r w:rsidRPr="00162D37">
              <w:rPr>
                <w:rFonts w:ascii="Arial" w:hAnsi="Arial" w:cs="Arial"/>
                <w:sz w:val="24"/>
                <w:szCs w:val="24"/>
              </w:rPr>
              <w:t>(cuprinde tăieri pentru industrie, pentru alte utilizări, reziduuri de la rărire şi curăţare)</w:t>
            </w:r>
          </w:p>
        </w:tc>
        <w:tc>
          <w:tcPr>
            <w:tcW w:w="992"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5,4</w:t>
            </w:r>
          </w:p>
        </w:tc>
        <w:tc>
          <w:tcPr>
            <w:tcW w:w="1134"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5,2</w:t>
            </w:r>
          </w:p>
        </w:tc>
        <w:tc>
          <w:tcPr>
            <w:tcW w:w="1134"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5,5</w:t>
            </w:r>
          </w:p>
        </w:tc>
        <w:tc>
          <w:tcPr>
            <w:tcW w:w="992"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5,3</w:t>
            </w:r>
          </w:p>
        </w:tc>
        <w:tc>
          <w:tcPr>
            <w:tcW w:w="1100"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5,3</w:t>
            </w:r>
          </w:p>
          <w:p w:rsidR="00BD71DD" w:rsidRPr="00162D37" w:rsidRDefault="00BD71DD" w:rsidP="00C625DB">
            <w:pPr>
              <w:jc w:val="both"/>
              <w:rPr>
                <w:rFonts w:ascii="Arial" w:hAnsi="Arial" w:cs="Arial"/>
                <w:sz w:val="24"/>
                <w:szCs w:val="24"/>
              </w:rPr>
            </w:pPr>
          </w:p>
          <w:p w:rsidR="00BD71DD" w:rsidRPr="00162D37" w:rsidRDefault="00BD71DD" w:rsidP="00C625DB">
            <w:pPr>
              <w:jc w:val="both"/>
              <w:rPr>
                <w:rFonts w:ascii="Arial" w:hAnsi="Arial" w:cs="Arial"/>
                <w:sz w:val="24"/>
                <w:szCs w:val="24"/>
              </w:rPr>
            </w:pPr>
          </w:p>
          <w:p w:rsidR="00BD71DD" w:rsidRPr="00162D37" w:rsidRDefault="00BD71DD" w:rsidP="00C625DB">
            <w:pPr>
              <w:jc w:val="both"/>
              <w:rPr>
                <w:rFonts w:ascii="Arial" w:hAnsi="Arial" w:cs="Arial"/>
                <w:sz w:val="24"/>
                <w:szCs w:val="24"/>
              </w:rPr>
            </w:pPr>
          </w:p>
          <w:p w:rsidR="00BD71DD" w:rsidRPr="00162D37" w:rsidRDefault="00BD71DD" w:rsidP="00C625DB">
            <w:pPr>
              <w:jc w:val="both"/>
              <w:rPr>
                <w:rFonts w:ascii="Arial" w:hAnsi="Arial" w:cs="Arial"/>
                <w:sz w:val="24"/>
                <w:szCs w:val="24"/>
              </w:rPr>
            </w:pPr>
          </w:p>
          <w:p w:rsidR="00BD71DD" w:rsidRPr="00162D37" w:rsidRDefault="00BD71DD" w:rsidP="00C625DB">
            <w:pPr>
              <w:jc w:val="both"/>
              <w:rPr>
                <w:rFonts w:ascii="Arial" w:hAnsi="Arial" w:cs="Arial"/>
                <w:sz w:val="24"/>
                <w:szCs w:val="24"/>
              </w:rPr>
            </w:pPr>
          </w:p>
        </w:tc>
      </w:tr>
      <w:tr w:rsidR="00BD71DD" w:rsidRPr="00162D37" w:rsidTr="00E046A5">
        <w:trPr>
          <w:jc w:val="center"/>
        </w:trPr>
        <w:tc>
          <w:tcPr>
            <w:tcW w:w="3936"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Rata de utilizare a pădurilor (%)</w:t>
            </w:r>
          </w:p>
        </w:tc>
        <w:tc>
          <w:tcPr>
            <w:tcW w:w="992"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98</w:t>
            </w:r>
          </w:p>
        </w:tc>
        <w:tc>
          <w:tcPr>
            <w:tcW w:w="1134"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94</w:t>
            </w:r>
          </w:p>
        </w:tc>
        <w:tc>
          <w:tcPr>
            <w:tcW w:w="1134"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100</w:t>
            </w:r>
          </w:p>
        </w:tc>
        <w:tc>
          <w:tcPr>
            <w:tcW w:w="992"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96</w:t>
            </w:r>
          </w:p>
        </w:tc>
        <w:tc>
          <w:tcPr>
            <w:tcW w:w="1100"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96</w:t>
            </w:r>
          </w:p>
        </w:tc>
      </w:tr>
    </w:tbl>
    <w:p w:rsidR="00BD71DD" w:rsidRPr="00162D37" w:rsidRDefault="00BD71DD" w:rsidP="00C625DB">
      <w:pPr>
        <w:spacing w:after="0" w:line="240" w:lineRule="auto"/>
        <w:rPr>
          <w:rFonts w:ascii="Arial" w:hAnsi="Arial" w:cs="Arial"/>
          <w:sz w:val="24"/>
          <w:szCs w:val="24"/>
          <w:lang w:val="en-US"/>
        </w:rPr>
      </w:pPr>
    </w:p>
    <w:p w:rsidR="00BD71DD" w:rsidRPr="00162D37" w:rsidRDefault="00BD71DD" w:rsidP="00C625DB">
      <w:pPr>
        <w:spacing w:after="0" w:line="240" w:lineRule="auto"/>
        <w:jc w:val="center"/>
        <w:rPr>
          <w:rFonts w:ascii="Arial" w:hAnsi="Arial" w:cs="Arial"/>
          <w:sz w:val="24"/>
          <w:szCs w:val="24"/>
          <w:lang w:val="en-US"/>
        </w:rPr>
      </w:pPr>
      <w:r w:rsidRPr="00162D37">
        <w:rPr>
          <w:rFonts w:ascii="Arial" w:hAnsi="Arial" w:cs="Arial"/>
          <w:noProof/>
          <w:sz w:val="24"/>
          <w:szCs w:val="24"/>
          <w:lang w:eastAsia="ro-RO"/>
        </w:rPr>
        <w:lastRenderedPageBreak/>
        <w:drawing>
          <wp:inline distT="0" distB="0" distL="0" distR="0">
            <wp:extent cx="5553075" cy="2543175"/>
            <wp:effectExtent l="19050" t="0" r="9525" b="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D71DD" w:rsidRPr="00162D37" w:rsidRDefault="00BD71DD" w:rsidP="00C625DB">
      <w:pPr>
        <w:spacing w:after="0" w:line="240" w:lineRule="auto"/>
        <w:jc w:val="center"/>
        <w:rPr>
          <w:rFonts w:ascii="Arial" w:hAnsi="Arial" w:cs="Arial"/>
          <w:sz w:val="24"/>
          <w:szCs w:val="24"/>
        </w:rPr>
      </w:pPr>
    </w:p>
    <w:p w:rsidR="00BD71DD" w:rsidRPr="002442D1" w:rsidRDefault="00BD71DD" w:rsidP="00C625DB">
      <w:pPr>
        <w:spacing w:after="0" w:line="240" w:lineRule="auto"/>
        <w:jc w:val="center"/>
        <w:rPr>
          <w:rFonts w:ascii="Arial" w:hAnsi="Arial" w:cs="Arial"/>
          <w:sz w:val="24"/>
          <w:szCs w:val="24"/>
          <w:lang w:val="en-US"/>
        </w:rPr>
      </w:pPr>
      <w:r w:rsidRPr="002442D1">
        <w:rPr>
          <w:rFonts w:ascii="Arial" w:hAnsi="Arial" w:cs="Arial"/>
          <w:sz w:val="24"/>
          <w:szCs w:val="24"/>
        </w:rPr>
        <w:t xml:space="preserve">Figura nr.   </w:t>
      </w:r>
      <w:r w:rsidRPr="002442D1">
        <w:rPr>
          <w:rFonts w:ascii="Arial" w:hAnsi="Arial" w:cs="Arial"/>
          <w:sz w:val="24"/>
          <w:szCs w:val="24"/>
          <w:lang w:val="en-US"/>
        </w:rPr>
        <w:t xml:space="preserve">VI.1.1. - 3  </w:t>
      </w:r>
      <w:r w:rsidRPr="002442D1">
        <w:rPr>
          <w:rFonts w:ascii="Arial" w:hAnsi="Arial" w:cs="Arial"/>
          <w:sz w:val="24"/>
          <w:szCs w:val="24"/>
        </w:rPr>
        <w:t>Evoluţia creşterii anuale a fondului forestier comparativ cu tăierea masei lemnoase</w:t>
      </w:r>
    </w:p>
    <w:p w:rsidR="00BD71DD" w:rsidRPr="002442D1" w:rsidRDefault="00BD71DD" w:rsidP="00C625DB">
      <w:pPr>
        <w:spacing w:after="0" w:line="240" w:lineRule="auto"/>
        <w:jc w:val="both"/>
        <w:rPr>
          <w:rFonts w:ascii="Arial" w:hAnsi="Arial" w:cs="Arial"/>
          <w:sz w:val="24"/>
          <w:szCs w:val="24"/>
          <w:lang w:val="en-US"/>
        </w:rPr>
      </w:pPr>
    </w:p>
    <w:p w:rsidR="00BD71DD" w:rsidRPr="002442D1" w:rsidRDefault="00BD71DD" w:rsidP="00C625DB">
      <w:pPr>
        <w:spacing w:after="0" w:line="240" w:lineRule="auto"/>
        <w:jc w:val="both"/>
        <w:rPr>
          <w:rFonts w:ascii="Arial" w:hAnsi="Arial" w:cs="Arial"/>
          <w:sz w:val="24"/>
          <w:szCs w:val="24"/>
        </w:rPr>
      </w:pPr>
      <w:r w:rsidRPr="002442D1">
        <w:rPr>
          <w:rFonts w:ascii="Arial" w:hAnsi="Arial" w:cs="Arial"/>
          <w:sz w:val="24"/>
          <w:szCs w:val="24"/>
          <w:lang w:val="en-US"/>
        </w:rPr>
        <w:t xml:space="preserve">Tabelul nr. VI.1.1. - 5 </w:t>
      </w:r>
      <w:r w:rsidRPr="002442D1">
        <w:rPr>
          <w:rFonts w:ascii="Arial" w:hAnsi="Arial" w:cs="Arial"/>
          <w:sz w:val="24"/>
          <w:szCs w:val="24"/>
        </w:rPr>
        <w:t>Masa lemnoasă pusă în circuitul economic în funcţie de tipul produselor şi esenţă</w:t>
      </w:r>
    </w:p>
    <w:tbl>
      <w:tblPr>
        <w:tblW w:w="0" w:type="auto"/>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7"/>
        <w:gridCol w:w="1276"/>
        <w:gridCol w:w="1134"/>
        <w:gridCol w:w="1585"/>
      </w:tblGrid>
      <w:tr w:rsidR="00BD71DD" w:rsidRPr="00162D37" w:rsidTr="00DC03E4">
        <w:trPr>
          <w:jc w:val="center"/>
        </w:trPr>
        <w:tc>
          <w:tcPr>
            <w:tcW w:w="2447"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D71DD" w:rsidRPr="00162D37" w:rsidRDefault="00BD71DD" w:rsidP="00C625DB">
            <w:pPr>
              <w:tabs>
                <w:tab w:val="left" w:pos="4860"/>
              </w:tabs>
              <w:spacing w:after="0" w:line="240" w:lineRule="auto"/>
              <w:jc w:val="both"/>
              <w:rPr>
                <w:rFonts w:ascii="Arial" w:hAnsi="Arial" w:cs="Arial"/>
                <w:sz w:val="24"/>
                <w:szCs w:val="24"/>
              </w:rPr>
            </w:pPr>
            <w:r w:rsidRPr="00162D37">
              <w:rPr>
                <w:rFonts w:ascii="Arial" w:hAnsi="Arial" w:cs="Arial"/>
                <w:sz w:val="24"/>
                <w:szCs w:val="24"/>
              </w:rPr>
              <w:t>Tipul produselor</w:t>
            </w:r>
          </w:p>
        </w:tc>
        <w:tc>
          <w:tcPr>
            <w:tcW w:w="3995"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Esenţa (mii mc)</w:t>
            </w:r>
          </w:p>
        </w:tc>
      </w:tr>
      <w:tr w:rsidR="00BD71DD" w:rsidRPr="00162D37" w:rsidTr="00DC03E4">
        <w:trPr>
          <w:jc w:val="center"/>
        </w:trPr>
        <w:tc>
          <w:tcPr>
            <w:tcW w:w="2447"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D71DD" w:rsidRPr="00162D37" w:rsidRDefault="00BD71DD" w:rsidP="00C625DB">
            <w:pPr>
              <w:spacing w:after="0" w:line="240" w:lineRule="auto"/>
              <w:jc w:val="both"/>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Plop</w:t>
            </w:r>
          </w:p>
        </w:tc>
        <w:tc>
          <w:tcPr>
            <w:tcW w:w="113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Salcie</w:t>
            </w:r>
          </w:p>
        </w:tc>
        <w:tc>
          <w:tcPr>
            <w:tcW w:w="1585"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Alte esenţe</w:t>
            </w:r>
          </w:p>
        </w:tc>
      </w:tr>
      <w:tr w:rsidR="00BD71DD" w:rsidRPr="00162D37" w:rsidTr="00DC03E4">
        <w:trPr>
          <w:jc w:val="center"/>
        </w:trPr>
        <w:tc>
          <w:tcPr>
            <w:tcW w:w="24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C625DB">
            <w:pPr>
              <w:tabs>
                <w:tab w:val="left" w:pos="4860"/>
              </w:tabs>
              <w:spacing w:after="0" w:line="240" w:lineRule="auto"/>
              <w:jc w:val="both"/>
              <w:rPr>
                <w:rFonts w:ascii="Arial" w:hAnsi="Arial" w:cs="Arial"/>
                <w:sz w:val="24"/>
                <w:szCs w:val="24"/>
              </w:rPr>
            </w:pPr>
            <w:r w:rsidRPr="00162D37">
              <w:rPr>
                <w:rFonts w:ascii="Arial" w:hAnsi="Arial" w:cs="Arial"/>
                <w:sz w:val="24"/>
                <w:szCs w:val="24"/>
              </w:rPr>
              <w:t>Principale</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33,0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21,1</w:t>
            </w:r>
          </w:p>
        </w:tc>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2,5</w:t>
            </w:r>
          </w:p>
        </w:tc>
      </w:tr>
      <w:tr w:rsidR="00BD71DD" w:rsidRPr="00162D37" w:rsidTr="00DC03E4">
        <w:trPr>
          <w:jc w:val="center"/>
        </w:trPr>
        <w:tc>
          <w:tcPr>
            <w:tcW w:w="24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C625DB">
            <w:pPr>
              <w:tabs>
                <w:tab w:val="left" w:pos="4860"/>
              </w:tabs>
              <w:spacing w:after="0" w:line="240" w:lineRule="auto"/>
              <w:jc w:val="both"/>
              <w:rPr>
                <w:rFonts w:ascii="Arial" w:hAnsi="Arial" w:cs="Arial"/>
                <w:sz w:val="24"/>
                <w:szCs w:val="24"/>
              </w:rPr>
            </w:pPr>
            <w:r w:rsidRPr="00162D37">
              <w:rPr>
                <w:rFonts w:ascii="Arial" w:hAnsi="Arial" w:cs="Arial"/>
                <w:sz w:val="24"/>
                <w:szCs w:val="24"/>
              </w:rPr>
              <w:t>Secundare</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2</w:t>
            </w:r>
          </w:p>
        </w:tc>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2</w:t>
            </w:r>
          </w:p>
        </w:tc>
      </w:tr>
      <w:tr w:rsidR="00BD71DD" w:rsidRPr="00162D37" w:rsidTr="00DC03E4">
        <w:trPr>
          <w:jc w:val="center"/>
        </w:trPr>
        <w:tc>
          <w:tcPr>
            <w:tcW w:w="24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C625DB">
            <w:pPr>
              <w:tabs>
                <w:tab w:val="left" w:pos="4860"/>
              </w:tabs>
              <w:spacing w:after="0" w:line="240" w:lineRule="auto"/>
              <w:jc w:val="both"/>
              <w:rPr>
                <w:rFonts w:ascii="Arial" w:hAnsi="Arial" w:cs="Arial"/>
                <w:sz w:val="24"/>
                <w:szCs w:val="24"/>
              </w:rPr>
            </w:pPr>
            <w:r w:rsidRPr="00162D37">
              <w:rPr>
                <w:rFonts w:ascii="Arial" w:hAnsi="Arial" w:cs="Arial"/>
                <w:sz w:val="24"/>
                <w:szCs w:val="24"/>
              </w:rPr>
              <w:t>Accidentale</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0</w:t>
            </w:r>
          </w:p>
        </w:tc>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sz w:val="24"/>
                <w:szCs w:val="24"/>
              </w:rPr>
            </w:pPr>
            <w:r w:rsidRPr="00162D37">
              <w:rPr>
                <w:rFonts w:ascii="Arial" w:hAnsi="Arial" w:cs="Arial"/>
                <w:sz w:val="24"/>
                <w:szCs w:val="24"/>
              </w:rPr>
              <w:t>0</w:t>
            </w:r>
          </w:p>
        </w:tc>
      </w:tr>
      <w:tr w:rsidR="00BD71DD" w:rsidRPr="00162D37" w:rsidTr="00DC03E4">
        <w:trPr>
          <w:jc w:val="center"/>
        </w:trPr>
        <w:tc>
          <w:tcPr>
            <w:tcW w:w="2447"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C625DB">
            <w:pPr>
              <w:tabs>
                <w:tab w:val="left" w:pos="4860"/>
              </w:tabs>
              <w:spacing w:after="0" w:line="240" w:lineRule="auto"/>
              <w:jc w:val="both"/>
              <w:rPr>
                <w:rFonts w:ascii="Arial" w:hAnsi="Arial" w:cs="Arial"/>
                <w:b/>
                <w:sz w:val="24"/>
                <w:szCs w:val="24"/>
              </w:rPr>
            </w:pPr>
            <w:r w:rsidRPr="00162D37">
              <w:rPr>
                <w:rFonts w:ascii="Arial" w:hAnsi="Arial" w:cs="Arial"/>
                <w:b/>
                <w:sz w:val="24"/>
                <w:szCs w:val="24"/>
              </w:rPr>
              <w:t>Total</w:t>
            </w:r>
          </w:p>
        </w:tc>
        <w:tc>
          <w:tcPr>
            <w:tcW w:w="127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b/>
                <w:sz w:val="24"/>
                <w:szCs w:val="24"/>
              </w:rPr>
            </w:pPr>
            <w:r w:rsidRPr="00162D37">
              <w:rPr>
                <w:rFonts w:ascii="Arial" w:hAnsi="Arial" w:cs="Arial"/>
                <w:b/>
                <w:sz w:val="24"/>
                <w:szCs w:val="24"/>
              </w:rPr>
              <w:t>36,5</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b/>
                <w:sz w:val="24"/>
                <w:szCs w:val="24"/>
              </w:rPr>
            </w:pPr>
            <w:r w:rsidRPr="00162D37">
              <w:rPr>
                <w:rFonts w:ascii="Arial" w:hAnsi="Arial" w:cs="Arial"/>
                <w:b/>
                <w:sz w:val="24"/>
                <w:szCs w:val="24"/>
              </w:rPr>
              <w:t>23,1</w:t>
            </w:r>
          </w:p>
        </w:tc>
        <w:tc>
          <w:tcPr>
            <w:tcW w:w="158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71DD" w:rsidRPr="00162D37" w:rsidRDefault="00BD71DD" w:rsidP="00DC03E4">
            <w:pPr>
              <w:tabs>
                <w:tab w:val="left" w:pos="4860"/>
              </w:tabs>
              <w:spacing w:after="0" w:line="240" w:lineRule="auto"/>
              <w:jc w:val="center"/>
              <w:rPr>
                <w:rFonts w:ascii="Arial" w:hAnsi="Arial" w:cs="Arial"/>
                <w:b/>
                <w:sz w:val="24"/>
                <w:szCs w:val="24"/>
              </w:rPr>
            </w:pPr>
            <w:r w:rsidRPr="00162D37">
              <w:rPr>
                <w:rFonts w:ascii="Arial" w:hAnsi="Arial" w:cs="Arial"/>
                <w:b/>
                <w:sz w:val="24"/>
                <w:szCs w:val="24"/>
              </w:rPr>
              <w:t>4,5</w:t>
            </w:r>
          </w:p>
        </w:tc>
      </w:tr>
    </w:tbl>
    <w:p w:rsidR="00BD71DD" w:rsidRPr="00162D37" w:rsidRDefault="00BD71DD" w:rsidP="00C625DB">
      <w:pPr>
        <w:spacing w:after="0" w:line="240" w:lineRule="auto"/>
        <w:jc w:val="both"/>
        <w:rPr>
          <w:rFonts w:ascii="Arial" w:hAnsi="Arial" w:cs="Arial"/>
          <w:sz w:val="24"/>
          <w:szCs w:val="24"/>
        </w:rPr>
      </w:pPr>
    </w:p>
    <w:p w:rsidR="00BD71DD" w:rsidRPr="00162D37" w:rsidRDefault="00BD71DD" w:rsidP="00C625DB">
      <w:pPr>
        <w:spacing w:after="0" w:line="240" w:lineRule="auto"/>
        <w:jc w:val="center"/>
        <w:rPr>
          <w:rFonts w:ascii="Arial" w:hAnsi="Arial" w:cs="Arial"/>
          <w:sz w:val="24"/>
          <w:szCs w:val="24"/>
        </w:rPr>
      </w:pPr>
      <w:r w:rsidRPr="00162D37">
        <w:rPr>
          <w:rFonts w:ascii="Arial" w:hAnsi="Arial" w:cs="Arial"/>
          <w:noProof/>
          <w:sz w:val="24"/>
          <w:szCs w:val="24"/>
          <w:lang w:eastAsia="ro-RO"/>
        </w:rPr>
        <w:drawing>
          <wp:inline distT="0" distB="0" distL="0" distR="0">
            <wp:extent cx="4848225" cy="2495550"/>
            <wp:effectExtent l="19050" t="0" r="9525"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442D1" w:rsidRDefault="00BD71DD" w:rsidP="00C625DB">
      <w:pPr>
        <w:spacing w:after="0" w:line="240" w:lineRule="auto"/>
        <w:jc w:val="both"/>
        <w:rPr>
          <w:rFonts w:ascii="Arial" w:hAnsi="Arial" w:cs="Arial"/>
          <w:sz w:val="24"/>
          <w:szCs w:val="24"/>
        </w:rPr>
      </w:pPr>
      <w:r w:rsidRPr="00162D37">
        <w:rPr>
          <w:rFonts w:ascii="Arial" w:hAnsi="Arial" w:cs="Arial"/>
          <w:sz w:val="24"/>
          <w:szCs w:val="24"/>
        </w:rPr>
        <w:t xml:space="preserve">              </w:t>
      </w:r>
    </w:p>
    <w:p w:rsidR="00BD71DD" w:rsidRPr="002442D1" w:rsidRDefault="00BD71DD" w:rsidP="002442D1">
      <w:pPr>
        <w:spacing w:after="0" w:line="240" w:lineRule="auto"/>
        <w:jc w:val="center"/>
        <w:rPr>
          <w:rFonts w:ascii="Arial" w:hAnsi="Arial" w:cs="Arial"/>
          <w:sz w:val="24"/>
          <w:szCs w:val="24"/>
        </w:rPr>
      </w:pPr>
      <w:r w:rsidRPr="002442D1">
        <w:rPr>
          <w:rFonts w:ascii="Arial" w:hAnsi="Arial" w:cs="Arial"/>
          <w:sz w:val="24"/>
          <w:szCs w:val="24"/>
        </w:rPr>
        <w:t xml:space="preserve">Figura nr.   </w:t>
      </w:r>
      <w:r w:rsidRPr="002442D1">
        <w:rPr>
          <w:rFonts w:ascii="Arial" w:hAnsi="Arial" w:cs="Arial"/>
          <w:sz w:val="24"/>
          <w:szCs w:val="24"/>
          <w:lang w:val="en-US"/>
        </w:rPr>
        <w:t>VI.1.1. - 4    Masa lemnoasă pusă în circuitul economic</w:t>
      </w:r>
    </w:p>
    <w:p w:rsidR="00BD71DD" w:rsidRPr="002442D1" w:rsidRDefault="00BD71DD" w:rsidP="002442D1">
      <w:pPr>
        <w:spacing w:after="0" w:line="240" w:lineRule="auto"/>
        <w:jc w:val="center"/>
        <w:rPr>
          <w:rFonts w:ascii="Arial" w:hAnsi="Arial" w:cs="Arial"/>
          <w:sz w:val="24"/>
          <w:szCs w:val="24"/>
          <w:lang w:val="en-US"/>
        </w:rPr>
      </w:pPr>
    </w:p>
    <w:p w:rsidR="00BD71DD" w:rsidRPr="002442D1" w:rsidRDefault="00BD71DD" w:rsidP="00C625DB">
      <w:pPr>
        <w:spacing w:after="0" w:line="240" w:lineRule="auto"/>
        <w:jc w:val="both"/>
        <w:rPr>
          <w:rFonts w:ascii="Arial" w:hAnsi="Arial" w:cs="Arial"/>
          <w:sz w:val="24"/>
          <w:szCs w:val="24"/>
          <w:lang w:val="en-US"/>
        </w:rPr>
      </w:pPr>
      <w:r w:rsidRPr="002442D1">
        <w:rPr>
          <w:rFonts w:ascii="Arial" w:hAnsi="Arial" w:cs="Arial"/>
          <w:sz w:val="24"/>
          <w:szCs w:val="24"/>
          <w:lang w:val="en-US"/>
        </w:rPr>
        <w:t xml:space="preserve">Tabelul nr. VI.1.1. - 6  </w:t>
      </w:r>
      <w:r w:rsidRPr="002442D1">
        <w:rPr>
          <w:rFonts w:ascii="Arial" w:hAnsi="Arial" w:cs="Arial"/>
          <w:sz w:val="24"/>
          <w:szCs w:val="24"/>
        </w:rPr>
        <w:t xml:space="preserve">Ponderea compoziţiei fondului forestier  în judeţul </w:t>
      </w:r>
      <w:r w:rsidR="00217620" w:rsidRPr="002442D1">
        <w:rPr>
          <w:rFonts w:ascii="Arial" w:hAnsi="Arial" w:cs="Arial"/>
          <w:sz w:val="24"/>
          <w:szCs w:val="24"/>
        </w:rPr>
        <w:t>Brăila</w:t>
      </w:r>
      <w:r w:rsidRPr="002442D1">
        <w:rPr>
          <w:rFonts w:ascii="Arial" w:hAnsi="Arial" w:cs="Arial"/>
          <w:sz w:val="24"/>
          <w:szCs w:val="24"/>
        </w:rPr>
        <w:t xml:space="preserve"> în perioada anilor  </w:t>
      </w:r>
      <w:r w:rsidRPr="002442D1">
        <w:rPr>
          <w:rFonts w:ascii="Arial" w:hAnsi="Arial" w:cs="Arial"/>
          <w:sz w:val="24"/>
          <w:szCs w:val="24"/>
          <w:lang w:val="en-US"/>
        </w:rPr>
        <w:t>2012-2016</w:t>
      </w:r>
    </w:p>
    <w:p w:rsidR="002442D1" w:rsidRPr="00162D37" w:rsidRDefault="002442D1" w:rsidP="00C625DB">
      <w:pPr>
        <w:spacing w:after="0" w:line="240" w:lineRule="auto"/>
        <w:jc w:val="both"/>
        <w:rPr>
          <w:rFonts w:ascii="Arial" w:hAnsi="Arial" w:cs="Arial"/>
          <w:sz w:val="24"/>
          <w:szCs w:val="24"/>
        </w:rPr>
      </w:pPr>
    </w:p>
    <w:tbl>
      <w:tblPr>
        <w:tblStyle w:val="TableGrid"/>
        <w:tblW w:w="0" w:type="auto"/>
        <w:tblInd w:w="959" w:type="dxa"/>
        <w:tblLook w:val="04A0"/>
      </w:tblPr>
      <w:tblGrid>
        <w:gridCol w:w="2892"/>
        <w:gridCol w:w="962"/>
        <w:gridCol w:w="1119"/>
        <w:gridCol w:w="1119"/>
        <w:gridCol w:w="982"/>
        <w:gridCol w:w="1255"/>
      </w:tblGrid>
      <w:tr w:rsidR="00BD71DD" w:rsidRPr="00162D37" w:rsidTr="00DC03E4">
        <w:tc>
          <w:tcPr>
            <w:tcW w:w="2892" w:type="dxa"/>
            <w:shd w:val="clear" w:color="auto" w:fill="CCC0D9" w:themeFill="accent4" w:themeFillTint="66"/>
          </w:tcPr>
          <w:p w:rsidR="00BD71DD" w:rsidRPr="00162D37" w:rsidRDefault="00BD71DD" w:rsidP="00C625DB">
            <w:pPr>
              <w:jc w:val="both"/>
              <w:rPr>
                <w:rFonts w:ascii="Arial" w:hAnsi="Arial" w:cs="Arial"/>
                <w:b/>
                <w:sz w:val="24"/>
                <w:szCs w:val="24"/>
              </w:rPr>
            </w:pPr>
          </w:p>
        </w:tc>
        <w:tc>
          <w:tcPr>
            <w:tcW w:w="962" w:type="dxa"/>
            <w:shd w:val="clear" w:color="auto" w:fill="CCC0D9" w:themeFill="accent4" w:themeFillTint="66"/>
          </w:tcPr>
          <w:p w:rsidR="00BD71DD" w:rsidRPr="00162D37" w:rsidRDefault="00BD71DD" w:rsidP="00DC03E4">
            <w:pPr>
              <w:jc w:val="center"/>
              <w:rPr>
                <w:rFonts w:ascii="Arial" w:hAnsi="Arial" w:cs="Arial"/>
                <w:b/>
                <w:sz w:val="24"/>
                <w:szCs w:val="24"/>
              </w:rPr>
            </w:pPr>
            <w:r w:rsidRPr="00162D37">
              <w:rPr>
                <w:rFonts w:ascii="Arial" w:hAnsi="Arial" w:cs="Arial"/>
                <w:b/>
                <w:sz w:val="24"/>
                <w:szCs w:val="24"/>
              </w:rPr>
              <w:t>2012</w:t>
            </w:r>
          </w:p>
        </w:tc>
        <w:tc>
          <w:tcPr>
            <w:tcW w:w="1119" w:type="dxa"/>
            <w:shd w:val="clear" w:color="auto" w:fill="CCC0D9" w:themeFill="accent4" w:themeFillTint="66"/>
          </w:tcPr>
          <w:p w:rsidR="00BD71DD" w:rsidRPr="00162D37" w:rsidRDefault="00BD71DD" w:rsidP="00DC03E4">
            <w:pPr>
              <w:jc w:val="center"/>
              <w:rPr>
                <w:rFonts w:ascii="Arial" w:hAnsi="Arial" w:cs="Arial"/>
                <w:b/>
                <w:sz w:val="24"/>
                <w:szCs w:val="24"/>
              </w:rPr>
            </w:pPr>
            <w:r w:rsidRPr="00162D37">
              <w:rPr>
                <w:rFonts w:ascii="Arial" w:hAnsi="Arial" w:cs="Arial"/>
                <w:b/>
                <w:sz w:val="24"/>
                <w:szCs w:val="24"/>
              </w:rPr>
              <w:t>2013</w:t>
            </w:r>
          </w:p>
        </w:tc>
        <w:tc>
          <w:tcPr>
            <w:tcW w:w="1119" w:type="dxa"/>
            <w:shd w:val="clear" w:color="auto" w:fill="CCC0D9" w:themeFill="accent4" w:themeFillTint="66"/>
          </w:tcPr>
          <w:p w:rsidR="00BD71DD" w:rsidRPr="00162D37" w:rsidRDefault="00BD71DD" w:rsidP="00DC03E4">
            <w:pPr>
              <w:jc w:val="center"/>
              <w:rPr>
                <w:rFonts w:ascii="Arial" w:hAnsi="Arial" w:cs="Arial"/>
                <w:b/>
                <w:sz w:val="24"/>
                <w:szCs w:val="24"/>
              </w:rPr>
            </w:pPr>
            <w:r w:rsidRPr="00162D37">
              <w:rPr>
                <w:rFonts w:ascii="Arial" w:hAnsi="Arial" w:cs="Arial"/>
                <w:b/>
                <w:sz w:val="24"/>
                <w:szCs w:val="24"/>
              </w:rPr>
              <w:t>2014</w:t>
            </w:r>
          </w:p>
        </w:tc>
        <w:tc>
          <w:tcPr>
            <w:tcW w:w="982" w:type="dxa"/>
            <w:shd w:val="clear" w:color="auto" w:fill="CCC0D9" w:themeFill="accent4" w:themeFillTint="66"/>
          </w:tcPr>
          <w:p w:rsidR="00BD71DD" w:rsidRPr="00162D37" w:rsidRDefault="00BD71DD" w:rsidP="00DC03E4">
            <w:pPr>
              <w:jc w:val="center"/>
              <w:rPr>
                <w:rFonts w:ascii="Arial" w:hAnsi="Arial" w:cs="Arial"/>
                <w:b/>
                <w:sz w:val="24"/>
                <w:szCs w:val="24"/>
              </w:rPr>
            </w:pPr>
            <w:r w:rsidRPr="00162D37">
              <w:rPr>
                <w:rFonts w:ascii="Arial" w:hAnsi="Arial" w:cs="Arial"/>
                <w:b/>
                <w:sz w:val="24"/>
                <w:szCs w:val="24"/>
              </w:rPr>
              <w:t>2015</w:t>
            </w:r>
          </w:p>
        </w:tc>
        <w:tc>
          <w:tcPr>
            <w:tcW w:w="1255" w:type="dxa"/>
            <w:shd w:val="clear" w:color="auto" w:fill="CCC0D9" w:themeFill="accent4" w:themeFillTint="66"/>
          </w:tcPr>
          <w:p w:rsidR="00BD71DD" w:rsidRPr="00162D37" w:rsidRDefault="00BD71DD" w:rsidP="00DC03E4">
            <w:pPr>
              <w:jc w:val="center"/>
              <w:rPr>
                <w:rFonts w:ascii="Arial" w:hAnsi="Arial" w:cs="Arial"/>
                <w:b/>
                <w:sz w:val="24"/>
                <w:szCs w:val="24"/>
              </w:rPr>
            </w:pPr>
            <w:r w:rsidRPr="00162D37">
              <w:rPr>
                <w:rFonts w:ascii="Arial" w:hAnsi="Arial" w:cs="Arial"/>
                <w:b/>
                <w:sz w:val="24"/>
                <w:szCs w:val="24"/>
              </w:rPr>
              <w:t>2016</w:t>
            </w:r>
          </w:p>
        </w:tc>
      </w:tr>
      <w:tr w:rsidR="00BD71DD" w:rsidRPr="00162D37" w:rsidTr="00DC03E4">
        <w:tc>
          <w:tcPr>
            <w:tcW w:w="2892"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Păduri de foioase(%)</w:t>
            </w:r>
          </w:p>
        </w:tc>
        <w:tc>
          <w:tcPr>
            <w:tcW w:w="962"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98,0</w:t>
            </w:r>
          </w:p>
        </w:tc>
        <w:tc>
          <w:tcPr>
            <w:tcW w:w="1119"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98,0</w:t>
            </w:r>
          </w:p>
        </w:tc>
        <w:tc>
          <w:tcPr>
            <w:tcW w:w="1119"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98,0</w:t>
            </w:r>
          </w:p>
        </w:tc>
        <w:tc>
          <w:tcPr>
            <w:tcW w:w="982"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98,0</w:t>
            </w:r>
          </w:p>
        </w:tc>
        <w:tc>
          <w:tcPr>
            <w:tcW w:w="1255"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98,0</w:t>
            </w:r>
          </w:p>
        </w:tc>
      </w:tr>
      <w:tr w:rsidR="00BD71DD" w:rsidRPr="00162D37" w:rsidTr="00DC03E4">
        <w:tc>
          <w:tcPr>
            <w:tcW w:w="2892"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Păduri de cvercinee(%)</w:t>
            </w:r>
          </w:p>
        </w:tc>
        <w:tc>
          <w:tcPr>
            <w:tcW w:w="962"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c>
          <w:tcPr>
            <w:tcW w:w="1119"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c>
          <w:tcPr>
            <w:tcW w:w="1119"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c>
          <w:tcPr>
            <w:tcW w:w="982"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c>
          <w:tcPr>
            <w:tcW w:w="1255"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r>
      <w:tr w:rsidR="00BD71DD" w:rsidRPr="00162D37" w:rsidTr="00DC03E4">
        <w:tc>
          <w:tcPr>
            <w:tcW w:w="2892" w:type="dxa"/>
            <w:shd w:val="clear" w:color="auto" w:fill="E5DFEC" w:themeFill="accent4" w:themeFillTint="33"/>
          </w:tcPr>
          <w:p w:rsidR="00BD71DD" w:rsidRPr="00162D37" w:rsidRDefault="00BD71DD" w:rsidP="00C625DB">
            <w:pPr>
              <w:jc w:val="both"/>
              <w:rPr>
                <w:rFonts w:ascii="Arial" w:hAnsi="Arial" w:cs="Arial"/>
                <w:sz w:val="24"/>
                <w:szCs w:val="24"/>
              </w:rPr>
            </w:pPr>
            <w:r w:rsidRPr="00162D37">
              <w:rPr>
                <w:rFonts w:ascii="Arial" w:hAnsi="Arial" w:cs="Arial"/>
                <w:sz w:val="24"/>
                <w:szCs w:val="24"/>
              </w:rPr>
              <w:t>Alte terenuri (%)</w:t>
            </w:r>
          </w:p>
        </w:tc>
        <w:tc>
          <w:tcPr>
            <w:tcW w:w="962"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c>
          <w:tcPr>
            <w:tcW w:w="1119"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c>
          <w:tcPr>
            <w:tcW w:w="1119"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c>
          <w:tcPr>
            <w:tcW w:w="982"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c>
          <w:tcPr>
            <w:tcW w:w="1255" w:type="dxa"/>
            <w:shd w:val="clear" w:color="auto" w:fill="E5DFEC" w:themeFill="accent4" w:themeFillTint="33"/>
          </w:tcPr>
          <w:p w:rsidR="00BD71DD" w:rsidRPr="00162D37" w:rsidRDefault="00BD71DD" w:rsidP="00DC03E4">
            <w:pPr>
              <w:jc w:val="center"/>
              <w:rPr>
                <w:rFonts w:ascii="Arial" w:hAnsi="Arial" w:cs="Arial"/>
                <w:sz w:val="24"/>
                <w:szCs w:val="24"/>
              </w:rPr>
            </w:pPr>
            <w:r w:rsidRPr="00162D37">
              <w:rPr>
                <w:rFonts w:ascii="Arial" w:hAnsi="Arial" w:cs="Arial"/>
                <w:sz w:val="24"/>
                <w:szCs w:val="24"/>
              </w:rPr>
              <w:t>1,0</w:t>
            </w:r>
          </w:p>
        </w:tc>
      </w:tr>
    </w:tbl>
    <w:p w:rsidR="00BD71DD" w:rsidRPr="00162D37" w:rsidRDefault="00BD71DD" w:rsidP="00C625DB">
      <w:pPr>
        <w:pStyle w:val="Default"/>
        <w:rPr>
          <w:rFonts w:ascii="Arial" w:hAnsi="Arial" w:cs="Arial"/>
          <w:color w:val="auto"/>
        </w:rPr>
      </w:pPr>
    </w:p>
    <w:p w:rsidR="00BD71DD" w:rsidRPr="00162D37" w:rsidRDefault="00BD71DD" w:rsidP="00C625DB">
      <w:pPr>
        <w:spacing w:after="0" w:line="240" w:lineRule="auto"/>
        <w:jc w:val="center"/>
        <w:rPr>
          <w:rFonts w:ascii="Arial" w:hAnsi="Arial" w:cs="Arial"/>
          <w:sz w:val="24"/>
          <w:szCs w:val="24"/>
          <w:lang w:val="en-US"/>
        </w:rPr>
      </w:pPr>
      <w:r w:rsidRPr="00162D37">
        <w:rPr>
          <w:rFonts w:ascii="Arial" w:hAnsi="Arial" w:cs="Arial"/>
          <w:noProof/>
          <w:sz w:val="24"/>
          <w:szCs w:val="24"/>
          <w:lang w:eastAsia="ro-RO"/>
        </w:rPr>
        <w:lastRenderedPageBreak/>
        <w:drawing>
          <wp:inline distT="0" distB="0" distL="0" distR="0">
            <wp:extent cx="4438650" cy="2162175"/>
            <wp:effectExtent l="19050" t="0" r="19050" b="0"/>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D71DD" w:rsidRPr="00162D37" w:rsidRDefault="00BD71DD" w:rsidP="00C625DB">
      <w:pPr>
        <w:pStyle w:val="Default"/>
        <w:jc w:val="center"/>
        <w:rPr>
          <w:rFonts w:ascii="Arial" w:hAnsi="Arial" w:cs="Arial"/>
          <w:color w:val="auto"/>
        </w:rPr>
      </w:pPr>
    </w:p>
    <w:p w:rsidR="00BD71DD" w:rsidRPr="002442D1" w:rsidRDefault="00BD71DD" w:rsidP="00C625DB">
      <w:pPr>
        <w:pStyle w:val="Default"/>
        <w:jc w:val="center"/>
        <w:rPr>
          <w:rFonts w:ascii="Arial" w:hAnsi="Arial" w:cs="Arial"/>
          <w:color w:val="auto"/>
        </w:rPr>
      </w:pPr>
      <w:r w:rsidRPr="002442D1">
        <w:rPr>
          <w:rFonts w:ascii="Arial" w:hAnsi="Arial" w:cs="Arial"/>
          <w:color w:val="auto"/>
        </w:rPr>
        <w:t>Figura nr.   VI.1.1. - 5 Ponderea compoziţiei fondului forestier</w:t>
      </w:r>
    </w:p>
    <w:p w:rsidR="00BD71DD" w:rsidRPr="00162D37" w:rsidRDefault="00BD71DD" w:rsidP="00C625DB">
      <w:pPr>
        <w:pStyle w:val="Default"/>
        <w:jc w:val="center"/>
        <w:rPr>
          <w:rFonts w:ascii="Arial" w:hAnsi="Arial" w:cs="Arial"/>
          <w:color w:val="auto"/>
        </w:rPr>
      </w:pPr>
    </w:p>
    <w:p w:rsidR="00BD71DD" w:rsidRPr="00162D37" w:rsidRDefault="00BD71DD" w:rsidP="00C625DB">
      <w:pPr>
        <w:spacing w:after="0" w:line="240" w:lineRule="auto"/>
        <w:rPr>
          <w:rFonts w:ascii="Arial" w:hAnsi="Arial" w:cs="Arial"/>
          <w:b/>
          <w:sz w:val="24"/>
          <w:szCs w:val="24"/>
          <w:lang w:val="en-US"/>
        </w:rPr>
      </w:pPr>
    </w:p>
    <w:p w:rsidR="009474A2" w:rsidRPr="00162D37" w:rsidRDefault="009474A2" w:rsidP="00C625DB">
      <w:pPr>
        <w:spacing w:after="0" w:line="240" w:lineRule="auto"/>
        <w:rPr>
          <w:rFonts w:ascii="Arial" w:hAnsi="Arial" w:cs="Arial"/>
          <w:b/>
          <w:i/>
          <w:sz w:val="24"/>
          <w:szCs w:val="24"/>
          <w:lang w:val="en-US"/>
        </w:rPr>
      </w:pPr>
      <w:r w:rsidRPr="00162D37">
        <w:rPr>
          <w:rFonts w:ascii="Arial" w:hAnsi="Arial" w:cs="Arial"/>
          <w:b/>
          <w:sz w:val="24"/>
          <w:szCs w:val="24"/>
          <w:lang w:val="en-US"/>
        </w:rPr>
        <w:t xml:space="preserve">         </w:t>
      </w:r>
      <w:r w:rsidRPr="00162D37">
        <w:rPr>
          <w:rFonts w:ascii="Arial" w:hAnsi="Arial" w:cs="Arial"/>
          <w:b/>
          <w:i/>
          <w:sz w:val="24"/>
          <w:szCs w:val="24"/>
          <w:lang w:val="en-US"/>
        </w:rPr>
        <w:t>VI.1.2. Distribuţia pădurilor după principalele forme de relief</w:t>
      </w:r>
    </w:p>
    <w:p w:rsidR="002442D1" w:rsidRDefault="002442D1" w:rsidP="00C625DB">
      <w:pPr>
        <w:spacing w:after="0" w:line="240" w:lineRule="auto"/>
        <w:ind w:firstLine="708"/>
        <w:jc w:val="both"/>
        <w:rPr>
          <w:rFonts w:ascii="Arial" w:hAnsi="Arial" w:cs="Arial"/>
          <w:sz w:val="24"/>
          <w:szCs w:val="24"/>
        </w:rPr>
      </w:pPr>
    </w:p>
    <w:p w:rsidR="00BD71DD" w:rsidRPr="00162D37" w:rsidRDefault="00BD71DD" w:rsidP="00C625DB">
      <w:pPr>
        <w:spacing w:after="0" w:line="240" w:lineRule="auto"/>
        <w:ind w:firstLine="708"/>
        <w:jc w:val="both"/>
        <w:rPr>
          <w:rFonts w:ascii="Arial" w:hAnsi="Arial" w:cs="Arial"/>
          <w:sz w:val="24"/>
          <w:szCs w:val="24"/>
        </w:rPr>
      </w:pPr>
      <w:r w:rsidRPr="00162D37">
        <w:rPr>
          <w:rFonts w:ascii="Arial" w:hAnsi="Arial" w:cs="Arial"/>
          <w:sz w:val="24"/>
          <w:szCs w:val="24"/>
        </w:rPr>
        <w:t xml:space="preserve">Judeţul </w:t>
      </w:r>
      <w:r w:rsidR="00217620">
        <w:rPr>
          <w:rFonts w:ascii="Arial" w:hAnsi="Arial" w:cs="Arial"/>
          <w:sz w:val="24"/>
          <w:szCs w:val="24"/>
        </w:rPr>
        <w:t>Brăila</w:t>
      </w:r>
      <w:r w:rsidRPr="00162D37">
        <w:rPr>
          <w:rFonts w:ascii="Arial" w:hAnsi="Arial" w:cs="Arial"/>
          <w:sz w:val="24"/>
          <w:szCs w:val="24"/>
        </w:rPr>
        <w:t xml:space="preserve"> este situat integral în zona de câmpie, în lunca inundabilă a fluviului Dunărea (reprezentând cca. 57 % din suprafaţa totală de fond forestier), în luncile râurilor interioare Buzău şi Siret (cca. 21% din suprafaţa totală de fond forestier) şi 10% pe terasă. Terenurile ocupate cu păduri sau destinate împăduririi, distribuite neuniform pe suprafaţa judeţului în trupuri izolate ocupă o suprafaţă redusă. Dacă în trupurile izolate şi pe terasă predomină esenţele tari (ulm, stejar, frasin, salcâm), pădurile din luncă sunt alcătuite din plop şi salcie.</w:t>
      </w:r>
    </w:p>
    <w:p w:rsidR="002442D1" w:rsidRDefault="002442D1" w:rsidP="00C625DB">
      <w:pPr>
        <w:spacing w:after="0" w:line="240" w:lineRule="auto"/>
        <w:rPr>
          <w:rFonts w:ascii="Arial" w:hAnsi="Arial" w:cs="Arial"/>
          <w:sz w:val="24"/>
          <w:szCs w:val="24"/>
          <w:lang w:val="en-US"/>
        </w:rPr>
      </w:pPr>
    </w:p>
    <w:p w:rsidR="00BD71DD" w:rsidRPr="002442D1" w:rsidRDefault="00BD71DD" w:rsidP="00C625DB">
      <w:pPr>
        <w:spacing w:after="0" w:line="240" w:lineRule="auto"/>
        <w:rPr>
          <w:rFonts w:ascii="Arial" w:hAnsi="Arial" w:cs="Arial"/>
          <w:sz w:val="24"/>
          <w:szCs w:val="24"/>
          <w:lang w:val="en-US"/>
        </w:rPr>
      </w:pPr>
      <w:r w:rsidRPr="002442D1">
        <w:rPr>
          <w:rFonts w:ascii="Arial" w:hAnsi="Arial" w:cs="Arial"/>
          <w:sz w:val="24"/>
          <w:szCs w:val="24"/>
          <w:lang w:val="en-US"/>
        </w:rPr>
        <w:t xml:space="preserve">Tabelul nr. VI.1.2. -1 Distribuţia pădurilor după principalele forme de relief </w:t>
      </w:r>
    </w:p>
    <w:tbl>
      <w:tblPr>
        <w:tblStyle w:val="TableGrid"/>
        <w:tblW w:w="0" w:type="auto"/>
        <w:jc w:val="center"/>
        <w:tblInd w:w="1385" w:type="dxa"/>
        <w:shd w:val="clear" w:color="auto" w:fill="FDE9D9" w:themeFill="accent6" w:themeFillTint="33"/>
        <w:tblLook w:val="04A0"/>
      </w:tblPr>
      <w:tblGrid>
        <w:gridCol w:w="3259"/>
        <w:gridCol w:w="4644"/>
      </w:tblGrid>
      <w:tr w:rsidR="00BD71DD" w:rsidRPr="002442D1" w:rsidTr="00DC03E4">
        <w:trPr>
          <w:jc w:val="center"/>
        </w:trPr>
        <w:tc>
          <w:tcPr>
            <w:tcW w:w="3259"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Principalele forme de relief</w:t>
            </w:r>
          </w:p>
        </w:tc>
        <w:tc>
          <w:tcPr>
            <w:tcW w:w="4644"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Ponderea pădurilor după principalele forme de relief (%)</w:t>
            </w:r>
          </w:p>
        </w:tc>
      </w:tr>
      <w:tr w:rsidR="00BD71DD" w:rsidRPr="002442D1" w:rsidTr="00DC03E4">
        <w:trPr>
          <w:jc w:val="center"/>
        </w:trPr>
        <w:tc>
          <w:tcPr>
            <w:tcW w:w="3259"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Câmpie</w:t>
            </w:r>
          </w:p>
        </w:tc>
        <w:tc>
          <w:tcPr>
            <w:tcW w:w="4644"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28230</w:t>
            </w:r>
          </w:p>
        </w:tc>
      </w:tr>
    </w:tbl>
    <w:p w:rsidR="002442D1" w:rsidRPr="002442D1" w:rsidRDefault="002442D1" w:rsidP="002442D1">
      <w:pPr>
        <w:spacing w:after="0" w:line="240" w:lineRule="auto"/>
        <w:rPr>
          <w:rFonts w:ascii="Arial" w:hAnsi="Arial" w:cs="Arial"/>
          <w:sz w:val="24"/>
          <w:szCs w:val="24"/>
          <w:lang w:val="en-US"/>
        </w:rPr>
      </w:pPr>
    </w:p>
    <w:p w:rsidR="00BD71DD" w:rsidRPr="002442D1" w:rsidRDefault="00BD71DD" w:rsidP="002442D1">
      <w:pPr>
        <w:spacing w:after="0" w:line="240" w:lineRule="auto"/>
        <w:rPr>
          <w:rFonts w:ascii="Arial" w:hAnsi="Arial" w:cs="Arial"/>
          <w:sz w:val="24"/>
          <w:szCs w:val="24"/>
          <w:lang w:val="en-US"/>
        </w:rPr>
      </w:pPr>
      <w:r w:rsidRPr="002442D1">
        <w:rPr>
          <w:rFonts w:ascii="Arial" w:hAnsi="Arial" w:cs="Arial"/>
          <w:sz w:val="24"/>
          <w:szCs w:val="24"/>
          <w:lang w:val="en-US"/>
        </w:rPr>
        <w:t xml:space="preserve">Tabelul nr. VI.1.2. - 2 Distribuţia pădurilor pe specii şi grupe de specii </w:t>
      </w:r>
    </w:p>
    <w:tbl>
      <w:tblPr>
        <w:tblStyle w:val="TableGrid"/>
        <w:tblW w:w="0" w:type="auto"/>
        <w:jc w:val="center"/>
        <w:tblInd w:w="1102" w:type="dxa"/>
        <w:shd w:val="clear" w:color="auto" w:fill="FDE9D9" w:themeFill="accent6" w:themeFillTint="33"/>
        <w:tblLook w:val="04A0"/>
      </w:tblPr>
      <w:tblGrid>
        <w:gridCol w:w="3542"/>
        <w:gridCol w:w="2962"/>
      </w:tblGrid>
      <w:tr w:rsidR="00BD71DD" w:rsidRPr="002442D1" w:rsidTr="00DC03E4">
        <w:trPr>
          <w:jc w:val="center"/>
        </w:trPr>
        <w:tc>
          <w:tcPr>
            <w:tcW w:w="354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Principalele tipuri</w:t>
            </w:r>
          </w:p>
        </w:tc>
        <w:tc>
          <w:tcPr>
            <w:tcW w:w="296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Ponderea speciilor  (%)</w:t>
            </w:r>
          </w:p>
        </w:tc>
      </w:tr>
      <w:tr w:rsidR="00BD71DD" w:rsidRPr="002442D1" w:rsidTr="00DC03E4">
        <w:trPr>
          <w:jc w:val="center"/>
        </w:trPr>
        <w:tc>
          <w:tcPr>
            <w:tcW w:w="354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Fag</w:t>
            </w:r>
          </w:p>
        </w:tc>
        <w:tc>
          <w:tcPr>
            <w:tcW w:w="296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0</w:t>
            </w:r>
          </w:p>
        </w:tc>
      </w:tr>
      <w:tr w:rsidR="00BD71DD" w:rsidRPr="002442D1" w:rsidTr="00DC03E4">
        <w:trPr>
          <w:jc w:val="center"/>
        </w:trPr>
        <w:tc>
          <w:tcPr>
            <w:tcW w:w="354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Stejar</w:t>
            </w:r>
          </w:p>
        </w:tc>
        <w:tc>
          <w:tcPr>
            <w:tcW w:w="296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1,0</w:t>
            </w:r>
          </w:p>
        </w:tc>
      </w:tr>
      <w:tr w:rsidR="00BD71DD" w:rsidRPr="002442D1" w:rsidTr="00DC03E4">
        <w:trPr>
          <w:jc w:val="center"/>
        </w:trPr>
        <w:tc>
          <w:tcPr>
            <w:tcW w:w="354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Diverse tari</w:t>
            </w:r>
          </w:p>
        </w:tc>
        <w:tc>
          <w:tcPr>
            <w:tcW w:w="296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12,0</w:t>
            </w:r>
          </w:p>
        </w:tc>
      </w:tr>
      <w:tr w:rsidR="00BD71DD" w:rsidRPr="002442D1" w:rsidTr="00DC03E4">
        <w:trPr>
          <w:jc w:val="center"/>
        </w:trPr>
        <w:tc>
          <w:tcPr>
            <w:tcW w:w="354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Diverse moi</w:t>
            </w:r>
          </w:p>
        </w:tc>
        <w:tc>
          <w:tcPr>
            <w:tcW w:w="2962" w:type="dxa"/>
            <w:shd w:val="clear" w:color="auto" w:fill="FDE9D9" w:themeFill="accent6" w:themeFillTint="33"/>
          </w:tcPr>
          <w:p w:rsidR="00BD71DD" w:rsidRPr="002442D1" w:rsidRDefault="00BD71DD" w:rsidP="00C625DB">
            <w:pPr>
              <w:rPr>
                <w:rFonts w:ascii="Arial" w:hAnsi="Arial" w:cs="Arial"/>
                <w:sz w:val="24"/>
                <w:szCs w:val="24"/>
                <w:lang w:val="en-US"/>
              </w:rPr>
            </w:pPr>
            <w:r w:rsidRPr="002442D1">
              <w:rPr>
                <w:rFonts w:ascii="Arial" w:hAnsi="Arial" w:cs="Arial"/>
                <w:sz w:val="24"/>
                <w:szCs w:val="24"/>
                <w:lang w:val="en-US"/>
              </w:rPr>
              <w:t>87,0</w:t>
            </w:r>
          </w:p>
        </w:tc>
      </w:tr>
    </w:tbl>
    <w:p w:rsidR="00BD71DD" w:rsidRPr="002442D1" w:rsidRDefault="00BD71DD" w:rsidP="00C625DB">
      <w:pPr>
        <w:spacing w:after="0" w:line="240" w:lineRule="auto"/>
        <w:rPr>
          <w:rFonts w:ascii="Arial" w:hAnsi="Arial" w:cs="Arial"/>
          <w:sz w:val="24"/>
          <w:szCs w:val="24"/>
          <w:lang w:val="en-US"/>
        </w:rPr>
      </w:pPr>
    </w:p>
    <w:p w:rsidR="00BD71DD" w:rsidRPr="002442D1" w:rsidRDefault="00BD71DD" w:rsidP="00C625DB">
      <w:pPr>
        <w:spacing w:after="0" w:line="240" w:lineRule="auto"/>
        <w:rPr>
          <w:rFonts w:ascii="Arial" w:hAnsi="Arial" w:cs="Arial"/>
          <w:sz w:val="24"/>
          <w:szCs w:val="24"/>
          <w:lang w:val="en-US"/>
        </w:rPr>
      </w:pPr>
      <w:r w:rsidRPr="002442D1">
        <w:rPr>
          <w:rFonts w:ascii="Arial" w:hAnsi="Arial" w:cs="Arial"/>
          <w:sz w:val="24"/>
          <w:szCs w:val="24"/>
          <w:lang w:val="en-US"/>
        </w:rPr>
        <w:t xml:space="preserve">Tabelul nr. VI.1.2. -1 Distribuţia pădurilor, grupe de specii, după principalele forme de relief  </w:t>
      </w:r>
    </w:p>
    <w:p w:rsidR="00BD71DD" w:rsidRPr="002442D1" w:rsidRDefault="00BD71DD" w:rsidP="00C625DB">
      <w:pPr>
        <w:spacing w:after="0" w:line="240" w:lineRule="auto"/>
        <w:rPr>
          <w:rFonts w:ascii="Arial" w:hAnsi="Arial" w:cs="Arial"/>
          <w:sz w:val="24"/>
          <w:szCs w:val="24"/>
          <w:lang w:val="en-US"/>
        </w:rPr>
      </w:pPr>
      <w:r w:rsidRPr="002442D1">
        <w:rPr>
          <w:rFonts w:ascii="Arial" w:hAnsi="Arial" w:cs="Arial"/>
          <w:sz w:val="24"/>
          <w:szCs w:val="24"/>
          <w:lang w:val="en-US"/>
        </w:rPr>
        <w:t xml:space="preserve">                                                                                                                 (ha)                                                                                  </w:t>
      </w:r>
    </w:p>
    <w:tbl>
      <w:tblPr>
        <w:tblStyle w:val="TableGrid"/>
        <w:tblW w:w="0" w:type="auto"/>
        <w:jc w:val="center"/>
        <w:tblInd w:w="334" w:type="dxa"/>
        <w:shd w:val="clear" w:color="auto" w:fill="FDE9D9" w:themeFill="accent6" w:themeFillTint="33"/>
        <w:tblLook w:val="04A0"/>
      </w:tblPr>
      <w:tblGrid>
        <w:gridCol w:w="1379"/>
        <w:gridCol w:w="1351"/>
        <w:gridCol w:w="1144"/>
        <w:gridCol w:w="1548"/>
        <w:gridCol w:w="1565"/>
        <w:gridCol w:w="1565"/>
      </w:tblGrid>
      <w:tr w:rsidR="00BD71DD" w:rsidRPr="00162D37" w:rsidTr="00DC03E4">
        <w:trPr>
          <w:jc w:val="center"/>
        </w:trPr>
        <w:tc>
          <w:tcPr>
            <w:tcW w:w="1379"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p>
        </w:tc>
        <w:tc>
          <w:tcPr>
            <w:tcW w:w="1351"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Răşinoase</w:t>
            </w:r>
          </w:p>
        </w:tc>
        <w:tc>
          <w:tcPr>
            <w:tcW w:w="1144"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Fag</w:t>
            </w:r>
          </w:p>
        </w:tc>
        <w:tc>
          <w:tcPr>
            <w:tcW w:w="1548"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Cvercinee</w:t>
            </w:r>
          </w:p>
        </w:tc>
        <w:tc>
          <w:tcPr>
            <w:tcW w:w="1565"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Foioase tari</w:t>
            </w:r>
          </w:p>
        </w:tc>
        <w:tc>
          <w:tcPr>
            <w:tcW w:w="1565"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Foioase moi</w:t>
            </w:r>
          </w:p>
        </w:tc>
      </w:tr>
      <w:tr w:rsidR="00BD71DD" w:rsidRPr="00162D37" w:rsidTr="00DC03E4">
        <w:trPr>
          <w:jc w:val="center"/>
        </w:trPr>
        <w:tc>
          <w:tcPr>
            <w:tcW w:w="1379"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Câmpie</w:t>
            </w:r>
          </w:p>
        </w:tc>
        <w:tc>
          <w:tcPr>
            <w:tcW w:w="1351"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0</w:t>
            </w:r>
          </w:p>
        </w:tc>
        <w:tc>
          <w:tcPr>
            <w:tcW w:w="1144"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0</w:t>
            </w:r>
          </w:p>
        </w:tc>
        <w:tc>
          <w:tcPr>
            <w:tcW w:w="1548" w:type="dxa"/>
            <w:shd w:val="clear" w:color="auto" w:fill="FDE9D9" w:themeFill="accent6" w:themeFillTint="33"/>
            <w:vAlign w:val="center"/>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2304</w:t>
            </w:r>
          </w:p>
        </w:tc>
        <w:tc>
          <w:tcPr>
            <w:tcW w:w="1565" w:type="dxa"/>
            <w:shd w:val="clear" w:color="auto" w:fill="FDE9D9" w:themeFill="accent6" w:themeFillTint="33"/>
            <w:vAlign w:val="center"/>
          </w:tcPr>
          <w:p w:rsidR="00BD71DD" w:rsidRPr="00162D37" w:rsidRDefault="00BD71DD" w:rsidP="00DC03E4">
            <w:pPr>
              <w:jc w:val="center"/>
              <w:rPr>
                <w:rFonts w:ascii="Arial" w:hAnsi="Arial" w:cs="Arial"/>
                <w:sz w:val="24"/>
                <w:szCs w:val="24"/>
                <w:lang w:val="en-US"/>
              </w:rPr>
            </w:pPr>
            <w:r w:rsidRPr="00162D37">
              <w:rPr>
                <w:rFonts w:ascii="Arial" w:hAnsi="Arial" w:cs="Arial"/>
                <w:sz w:val="24"/>
                <w:szCs w:val="24"/>
                <w:lang w:val="en-US"/>
              </w:rPr>
              <w:t>3207</w:t>
            </w:r>
          </w:p>
        </w:tc>
        <w:tc>
          <w:tcPr>
            <w:tcW w:w="1565" w:type="dxa"/>
            <w:shd w:val="clear" w:color="auto" w:fill="FDE9D9" w:themeFill="accent6" w:themeFillTint="33"/>
            <w:vAlign w:val="center"/>
          </w:tcPr>
          <w:p w:rsidR="00BD71DD" w:rsidRPr="00162D37" w:rsidRDefault="00BD71DD" w:rsidP="00DC03E4">
            <w:pPr>
              <w:jc w:val="center"/>
              <w:rPr>
                <w:rFonts w:ascii="Arial" w:hAnsi="Arial" w:cs="Arial"/>
                <w:sz w:val="24"/>
                <w:szCs w:val="24"/>
                <w:lang w:val="en-US"/>
              </w:rPr>
            </w:pPr>
            <w:r w:rsidRPr="00162D37">
              <w:rPr>
                <w:rFonts w:ascii="Arial" w:hAnsi="Arial" w:cs="Arial"/>
                <w:sz w:val="24"/>
                <w:szCs w:val="24"/>
                <w:lang w:val="en-US"/>
              </w:rPr>
              <w:t>22311</w:t>
            </w:r>
          </w:p>
        </w:tc>
      </w:tr>
    </w:tbl>
    <w:p w:rsidR="00BD71DD" w:rsidRPr="00162D37" w:rsidRDefault="00BD71DD" w:rsidP="00C625DB">
      <w:pPr>
        <w:tabs>
          <w:tab w:val="left" w:pos="0"/>
          <w:tab w:val="left" w:pos="2268"/>
          <w:tab w:val="left" w:leader="dot" w:pos="8640"/>
        </w:tabs>
        <w:spacing w:after="0" w:line="240" w:lineRule="auto"/>
        <w:contextualSpacing/>
        <w:jc w:val="both"/>
        <w:rPr>
          <w:rFonts w:ascii="Arial" w:hAnsi="Arial" w:cs="Arial"/>
          <w:sz w:val="24"/>
          <w:szCs w:val="24"/>
        </w:rPr>
      </w:pPr>
    </w:p>
    <w:p w:rsidR="00BD71DD" w:rsidRPr="00162D37" w:rsidRDefault="00BD71DD" w:rsidP="00C625DB">
      <w:pPr>
        <w:tabs>
          <w:tab w:val="left" w:pos="0"/>
          <w:tab w:val="left" w:pos="2268"/>
          <w:tab w:val="left" w:leader="dot" w:pos="8640"/>
        </w:tabs>
        <w:spacing w:after="0" w:line="240" w:lineRule="auto"/>
        <w:contextualSpacing/>
        <w:jc w:val="both"/>
        <w:rPr>
          <w:rFonts w:ascii="Arial" w:hAnsi="Arial" w:cs="Arial"/>
          <w:b/>
          <w:sz w:val="24"/>
          <w:szCs w:val="24"/>
        </w:rPr>
      </w:pPr>
      <w:r w:rsidRPr="00162D37">
        <w:rPr>
          <w:rFonts w:ascii="Arial" w:hAnsi="Arial" w:cs="Arial"/>
          <w:b/>
          <w:sz w:val="24"/>
          <w:szCs w:val="24"/>
        </w:rPr>
        <w:t>Funcţia economică a pădurilor</w:t>
      </w:r>
    </w:p>
    <w:p w:rsidR="00BD71DD" w:rsidRPr="00162D37" w:rsidRDefault="00BD71DD" w:rsidP="00C625DB">
      <w:pPr>
        <w:pStyle w:val="ListParagraph"/>
        <w:tabs>
          <w:tab w:val="left" w:pos="0"/>
          <w:tab w:val="left" w:pos="2268"/>
          <w:tab w:val="left" w:leader="dot" w:pos="8640"/>
        </w:tabs>
        <w:ind w:left="0"/>
        <w:jc w:val="both"/>
        <w:rPr>
          <w:rFonts w:ascii="Arial" w:hAnsi="Arial" w:cs="Arial"/>
        </w:rPr>
      </w:pPr>
      <w:r w:rsidRPr="00162D37">
        <w:rPr>
          <w:rFonts w:ascii="Arial" w:hAnsi="Arial" w:cs="Arial"/>
        </w:rPr>
        <w:t xml:space="preserve">Pădurea îndeplineşte multiplele funcţii: ecologice, economice şi sociale, este un bun de interes naţional, care condiţionează diverse domenii de activitate, de la protecţia mediului, până la cele legate de valorificarea resurselor naturale. </w:t>
      </w:r>
    </w:p>
    <w:p w:rsidR="00BD71DD" w:rsidRPr="00162D37" w:rsidRDefault="00BD71DD" w:rsidP="00C625DB">
      <w:pPr>
        <w:pStyle w:val="ListParagraph"/>
        <w:tabs>
          <w:tab w:val="left" w:pos="0"/>
          <w:tab w:val="left" w:pos="2268"/>
          <w:tab w:val="left" w:leader="dot" w:pos="8640"/>
        </w:tabs>
        <w:ind w:left="0"/>
        <w:jc w:val="both"/>
        <w:rPr>
          <w:rFonts w:ascii="Arial" w:hAnsi="Arial" w:cs="Arial"/>
        </w:rPr>
      </w:pPr>
      <w:r w:rsidRPr="00162D37">
        <w:rPr>
          <w:rFonts w:ascii="Arial" w:hAnsi="Arial" w:cs="Arial"/>
        </w:rPr>
        <w:t>Lemnul constituie principalul produs valorificabil al pădurilor. Acesta este, deopotrivă, materie primă în industria de prelucrare şi industria materialelor de construcţii, cât şi combustibil.</w:t>
      </w:r>
    </w:p>
    <w:p w:rsidR="00BD71DD" w:rsidRPr="00162D37" w:rsidRDefault="00BD71DD" w:rsidP="00C625DB">
      <w:pPr>
        <w:spacing w:after="0" w:line="240" w:lineRule="auto"/>
        <w:jc w:val="both"/>
        <w:rPr>
          <w:rFonts w:ascii="Arial" w:hAnsi="Arial" w:cs="Arial"/>
          <w:sz w:val="24"/>
          <w:szCs w:val="24"/>
          <w:lang w:val="en-US"/>
        </w:rPr>
      </w:pPr>
      <w:r w:rsidRPr="00162D37">
        <w:rPr>
          <w:rFonts w:ascii="Arial" w:hAnsi="Arial" w:cs="Arial"/>
          <w:sz w:val="24"/>
          <w:szCs w:val="24"/>
        </w:rPr>
        <w:t xml:space="preserve">Cea mai mare suprafaţă a pădurilor din judeţul </w:t>
      </w:r>
      <w:r w:rsidR="00217620">
        <w:rPr>
          <w:rFonts w:ascii="Arial" w:hAnsi="Arial" w:cs="Arial"/>
          <w:sz w:val="24"/>
          <w:szCs w:val="24"/>
        </w:rPr>
        <w:t>Brăila</w:t>
      </w:r>
      <w:r w:rsidRPr="00162D37">
        <w:rPr>
          <w:rFonts w:ascii="Arial" w:hAnsi="Arial" w:cs="Arial"/>
          <w:sz w:val="24"/>
          <w:szCs w:val="24"/>
        </w:rPr>
        <w:t xml:space="preserve"> se încadrează în grupa a II –a funcţională, (1010,47 ha) având rol de producţie şi protecţie şi doar 482 ha (zona Insula Mică a </w:t>
      </w:r>
      <w:r w:rsidR="007C1699">
        <w:rPr>
          <w:rFonts w:ascii="Arial" w:hAnsi="Arial" w:cs="Arial"/>
          <w:sz w:val="24"/>
          <w:szCs w:val="24"/>
        </w:rPr>
        <w:t>BR</w:t>
      </w:r>
      <w:r w:rsidRPr="00162D37">
        <w:rPr>
          <w:rFonts w:ascii="Arial" w:hAnsi="Arial" w:cs="Arial"/>
          <w:sz w:val="24"/>
          <w:szCs w:val="24"/>
        </w:rPr>
        <w:t>ăilei) au rol exclusiv de protecţie, încadrându-se în grupa a I-a de protecţie.</w:t>
      </w:r>
    </w:p>
    <w:p w:rsidR="00972F0D" w:rsidRPr="00162D37" w:rsidRDefault="00972F0D" w:rsidP="00C625DB">
      <w:pPr>
        <w:spacing w:after="0" w:line="240" w:lineRule="auto"/>
        <w:jc w:val="both"/>
        <w:rPr>
          <w:rFonts w:ascii="Arial" w:hAnsi="Arial" w:cs="Arial"/>
          <w:sz w:val="24"/>
          <w:szCs w:val="24"/>
          <w:lang w:val="en-US"/>
        </w:rPr>
      </w:pPr>
    </w:p>
    <w:p w:rsidR="00BD71DD" w:rsidRPr="00162D37" w:rsidRDefault="00BD71DD" w:rsidP="00C625DB">
      <w:pPr>
        <w:spacing w:after="0" w:line="240" w:lineRule="auto"/>
        <w:jc w:val="both"/>
        <w:rPr>
          <w:rFonts w:ascii="Arial" w:hAnsi="Arial" w:cs="Arial"/>
          <w:sz w:val="24"/>
          <w:szCs w:val="24"/>
        </w:rPr>
      </w:pPr>
      <w:r w:rsidRPr="002442D1">
        <w:rPr>
          <w:rFonts w:ascii="Arial" w:hAnsi="Arial" w:cs="Arial"/>
          <w:sz w:val="24"/>
          <w:szCs w:val="24"/>
          <w:lang w:val="en-US"/>
        </w:rPr>
        <w:t xml:space="preserve">Tabelul nr. VI.1.2. - 2 </w:t>
      </w:r>
      <w:r w:rsidRPr="002442D1">
        <w:rPr>
          <w:rFonts w:ascii="Arial" w:hAnsi="Arial" w:cs="Arial"/>
          <w:sz w:val="24"/>
          <w:szCs w:val="24"/>
        </w:rPr>
        <w:t>Distribuţia</w:t>
      </w:r>
      <w:r w:rsidRPr="00162D37">
        <w:rPr>
          <w:rFonts w:ascii="Arial" w:hAnsi="Arial" w:cs="Arial"/>
          <w:sz w:val="24"/>
          <w:szCs w:val="24"/>
        </w:rPr>
        <w:t xml:space="preserve"> pădurilor pe tipuri funcţionale </w:t>
      </w:r>
    </w:p>
    <w:tbl>
      <w:tblPr>
        <w:tblStyle w:val="TableGrid"/>
        <w:tblW w:w="0" w:type="auto"/>
        <w:jc w:val="center"/>
        <w:tblInd w:w="561" w:type="dxa"/>
        <w:shd w:val="clear" w:color="auto" w:fill="FDE9D9" w:themeFill="accent6" w:themeFillTint="33"/>
        <w:tblLook w:val="04A0"/>
      </w:tblPr>
      <w:tblGrid>
        <w:gridCol w:w="4250"/>
        <w:gridCol w:w="3395"/>
      </w:tblGrid>
      <w:tr w:rsidR="00BD71DD" w:rsidRPr="00162D37" w:rsidTr="00DC03E4">
        <w:trPr>
          <w:jc w:val="center"/>
        </w:trPr>
        <w:tc>
          <w:tcPr>
            <w:tcW w:w="4250" w:type="dxa"/>
            <w:shd w:val="clear" w:color="auto" w:fill="FDE9D9" w:themeFill="accent6" w:themeFillTint="33"/>
          </w:tcPr>
          <w:p w:rsidR="00BD71DD" w:rsidRPr="00162D37" w:rsidRDefault="00BD71DD" w:rsidP="00C625DB">
            <w:pPr>
              <w:jc w:val="center"/>
              <w:rPr>
                <w:rFonts w:ascii="Arial" w:eastAsia="Calibri" w:hAnsi="Arial" w:cs="Arial"/>
                <w:b/>
                <w:sz w:val="24"/>
                <w:szCs w:val="24"/>
              </w:rPr>
            </w:pPr>
            <w:r w:rsidRPr="00162D37">
              <w:rPr>
                <w:rFonts w:ascii="Arial" w:eastAsia="Calibri" w:hAnsi="Arial" w:cs="Arial"/>
                <w:b/>
                <w:sz w:val="24"/>
                <w:szCs w:val="24"/>
              </w:rPr>
              <w:t xml:space="preserve">Tipuri functionale </w:t>
            </w:r>
          </w:p>
        </w:tc>
        <w:tc>
          <w:tcPr>
            <w:tcW w:w="3395" w:type="dxa"/>
            <w:shd w:val="clear" w:color="auto" w:fill="FDE9D9" w:themeFill="accent6" w:themeFillTint="33"/>
          </w:tcPr>
          <w:p w:rsidR="00BD71DD" w:rsidRPr="00162D37" w:rsidRDefault="00BD71DD" w:rsidP="00C625DB">
            <w:pPr>
              <w:jc w:val="center"/>
              <w:rPr>
                <w:rFonts w:ascii="Arial" w:eastAsia="Calibri" w:hAnsi="Arial" w:cs="Arial"/>
                <w:b/>
                <w:sz w:val="24"/>
                <w:szCs w:val="24"/>
              </w:rPr>
            </w:pPr>
            <w:r w:rsidRPr="00162D37">
              <w:rPr>
                <w:rFonts w:ascii="Arial" w:eastAsia="Calibri" w:hAnsi="Arial" w:cs="Arial"/>
                <w:b/>
                <w:sz w:val="24"/>
                <w:szCs w:val="24"/>
              </w:rPr>
              <w:t>Suprafata (ha)</w:t>
            </w:r>
          </w:p>
        </w:tc>
      </w:tr>
      <w:tr w:rsidR="00BD71DD" w:rsidRPr="00162D37" w:rsidTr="00DC03E4">
        <w:trPr>
          <w:jc w:val="center"/>
        </w:trPr>
        <w:tc>
          <w:tcPr>
            <w:tcW w:w="4250" w:type="dxa"/>
            <w:shd w:val="clear" w:color="auto" w:fill="FDE9D9" w:themeFill="accent6" w:themeFillTint="33"/>
          </w:tcPr>
          <w:p w:rsidR="00BD71DD" w:rsidRPr="00162D37" w:rsidRDefault="00BD71DD" w:rsidP="00C625DB">
            <w:pPr>
              <w:rPr>
                <w:rFonts w:ascii="Arial" w:eastAsia="Calibri" w:hAnsi="Arial" w:cs="Arial"/>
                <w:sz w:val="24"/>
                <w:szCs w:val="24"/>
              </w:rPr>
            </w:pPr>
            <w:r w:rsidRPr="00162D37">
              <w:rPr>
                <w:rFonts w:ascii="Arial" w:eastAsia="Calibri" w:hAnsi="Arial" w:cs="Arial"/>
                <w:sz w:val="24"/>
                <w:szCs w:val="24"/>
              </w:rPr>
              <w:t>T1 - protectie</w:t>
            </w:r>
          </w:p>
        </w:tc>
        <w:tc>
          <w:tcPr>
            <w:tcW w:w="3395"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482</w:t>
            </w:r>
          </w:p>
        </w:tc>
      </w:tr>
      <w:tr w:rsidR="00BD71DD" w:rsidRPr="00162D37" w:rsidTr="00DC03E4">
        <w:trPr>
          <w:jc w:val="center"/>
        </w:trPr>
        <w:tc>
          <w:tcPr>
            <w:tcW w:w="4250" w:type="dxa"/>
            <w:shd w:val="clear" w:color="auto" w:fill="FDE9D9" w:themeFill="accent6" w:themeFillTint="33"/>
          </w:tcPr>
          <w:p w:rsidR="00BD71DD" w:rsidRPr="00162D37" w:rsidRDefault="00BD71DD" w:rsidP="00C625DB">
            <w:pPr>
              <w:rPr>
                <w:rFonts w:ascii="Arial" w:eastAsia="Calibri" w:hAnsi="Arial" w:cs="Arial"/>
                <w:sz w:val="24"/>
                <w:szCs w:val="24"/>
              </w:rPr>
            </w:pPr>
            <w:r w:rsidRPr="00162D37">
              <w:rPr>
                <w:rFonts w:ascii="Arial" w:eastAsia="Calibri" w:hAnsi="Arial" w:cs="Arial"/>
                <w:sz w:val="24"/>
                <w:szCs w:val="24"/>
              </w:rPr>
              <w:t>T2- productie si protectie</w:t>
            </w:r>
          </w:p>
        </w:tc>
        <w:tc>
          <w:tcPr>
            <w:tcW w:w="3395"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1010,47</w:t>
            </w:r>
          </w:p>
        </w:tc>
      </w:tr>
    </w:tbl>
    <w:p w:rsidR="00BD71DD" w:rsidRPr="00162D37" w:rsidRDefault="00BD71DD" w:rsidP="00C625DB">
      <w:pPr>
        <w:spacing w:after="0" w:line="240" w:lineRule="auto"/>
        <w:jc w:val="both"/>
        <w:rPr>
          <w:rFonts w:ascii="Arial" w:hAnsi="Arial" w:cs="Arial"/>
          <w:b/>
          <w:sz w:val="24"/>
          <w:szCs w:val="24"/>
        </w:rPr>
      </w:pPr>
    </w:p>
    <w:p w:rsidR="00BD71DD" w:rsidRPr="00162D37" w:rsidRDefault="00BD71DD" w:rsidP="00C625DB">
      <w:pPr>
        <w:tabs>
          <w:tab w:val="left" w:pos="0"/>
          <w:tab w:val="left" w:pos="2268"/>
          <w:tab w:val="left" w:leader="dot" w:pos="8640"/>
        </w:tabs>
        <w:spacing w:after="0" w:line="240" w:lineRule="auto"/>
        <w:contextualSpacing/>
        <w:jc w:val="both"/>
        <w:rPr>
          <w:rFonts w:ascii="Arial" w:hAnsi="Arial" w:cs="Arial"/>
          <w:sz w:val="24"/>
          <w:szCs w:val="24"/>
          <w:lang w:val="it-IT"/>
        </w:rPr>
      </w:pPr>
      <w:r w:rsidRPr="00162D37">
        <w:rPr>
          <w:rFonts w:ascii="Arial" w:hAnsi="Arial" w:cs="Arial"/>
          <w:sz w:val="24"/>
          <w:szCs w:val="24"/>
          <w:lang w:val="en-US"/>
        </w:rPr>
        <w:t>Tabelul nr</w:t>
      </w:r>
      <w:r w:rsidRPr="002442D1">
        <w:rPr>
          <w:rFonts w:ascii="Arial" w:hAnsi="Arial" w:cs="Arial"/>
          <w:sz w:val="24"/>
          <w:szCs w:val="24"/>
          <w:lang w:val="en-US"/>
        </w:rPr>
        <w:t>. VI.1.2. - 3</w:t>
      </w:r>
      <w:r w:rsidRPr="00162D37">
        <w:rPr>
          <w:rFonts w:ascii="Arial" w:hAnsi="Arial" w:cs="Arial"/>
          <w:sz w:val="24"/>
          <w:szCs w:val="24"/>
          <w:lang w:val="en-US"/>
        </w:rPr>
        <w:t xml:space="preserve"> </w:t>
      </w:r>
      <w:r w:rsidRPr="00162D37">
        <w:rPr>
          <w:rFonts w:ascii="Arial" w:hAnsi="Arial" w:cs="Arial"/>
          <w:sz w:val="24"/>
          <w:szCs w:val="24"/>
          <w:lang w:val="it-IT"/>
        </w:rPr>
        <w:t>Păduri cu funcţii speciale de protecţie</w:t>
      </w:r>
    </w:p>
    <w:p w:rsidR="00BD71DD" w:rsidRPr="00162D37" w:rsidRDefault="00BD71DD" w:rsidP="00C625DB">
      <w:pPr>
        <w:tabs>
          <w:tab w:val="left" w:pos="0"/>
          <w:tab w:val="left" w:pos="2268"/>
          <w:tab w:val="left" w:leader="dot" w:pos="8640"/>
        </w:tabs>
        <w:spacing w:after="0" w:line="240" w:lineRule="auto"/>
        <w:contextualSpacing/>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693"/>
        <w:gridCol w:w="4557"/>
        <w:gridCol w:w="2398"/>
      </w:tblGrid>
      <w:tr w:rsidR="00BD71DD" w:rsidRPr="00162D37" w:rsidTr="00DC03E4">
        <w:trPr>
          <w:jc w:val="center"/>
        </w:trPr>
        <w:tc>
          <w:tcPr>
            <w:tcW w:w="6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71DD" w:rsidRPr="00162D37" w:rsidRDefault="00BD71DD" w:rsidP="00C625DB">
            <w:pPr>
              <w:spacing w:after="0" w:line="240" w:lineRule="auto"/>
              <w:jc w:val="center"/>
              <w:rPr>
                <w:rFonts w:ascii="Arial" w:eastAsia="Calibri" w:hAnsi="Arial" w:cs="Arial"/>
                <w:b/>
                <w:sz w:val="24"/>
                <w:szCs w:val="24"/>
              </w:rPr>
            </w:pPr>
            <w:r w:rsidRPr="00162D37">
              <w:rPr>
                <w:rFonts w:ascii="Arial" w:eastAsia="Calibri" w:hAnsi="Arial" w:cs="Arial"/>
                <w:b/>
                <w:sz w:val="24"/>
                <w:szCs w:val="24"/>
              </w:rPr>
              <w:t>Nr. crt.</w:t>
            </w:r>
          </w:p>
        </w:tc>
        <w:tc>
          <w:tcPr>
            <w:tcW w:w="45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71DD" w:rsidRPr="00162D37" w:rsidRDefault="00BD71DD" w:rsidP="00C625DB">
            <w:pPr>
              <w:spacing w:after="0" w:line="240" w:lineRule="auto"/>
              <w:jc w:val="center"/>
              <w:rPr>
                <w:rFonts w:ascii="Arial" w:eastAsia="Calibri" w:hAnsi="Arial" w:cs="Arial"/>
                <w:b/>
                <w:sz w:val="24"/>
                <w:szCs w:val="24"/>
              </w:rPr>
            </w:pPr>
            <w:r w:rsidRPr="00162D37">
              <w:rPr>
                <w:rFonts w:ascii="Arial" w:eastAsia="Calibri" w:hAnsi="Arial" w:cs="Arial"/>
                <w:b/>
                <w:sz w:val="24"/>
                <w:szCs w:val="24"/>
              </w:rPr>
              <w:t>Tipul de pădure</w:t>
            </w:r>
          </w:p>
        </w:tc>
        <w:tc>
          <w:tcPr>
            <w:tcW w:w="23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71DD" w:rsidRPr="00162D37" w:rsidRDefault="00BD71DD" w:rsidP="00C625DB">
            <w:pPr>
              <w:spacing w:after="0" w:line="240" w:lineRule="auto"/>
              <w:jc w:val="center"/>
              <w:rPr>
                <w:rFonts w:ascii="Arial" w:eastAsia="Calibri" w:hAnsi="Arial" w:cs="Arial"/>
                <w:b/>
                <w:sz w:val="24"/>
                <w:szCs w:val="24"/>
              </w:rPr>
            </w:pPr>
            <w:r w:rsidRPr="00162D37">
              <w:rPr>
                <w:rFonts w:ascii="Arial" w:eastAsia="Calibri" w:hAnsi="Arial" w:cs="Arial"/>
                <w:b/>
                <w:sz w:val="24"/>
                <w:szCs w:val="24"/>
              </w:rPr>
              <w:t>Suprafaţa (ha)</w:t>
            </w:r>
          </w:p>
          <w:p w:rsidR="00BD71DD" w:rsidRPr="00162D37" w:rsidRDefault="00BD71DD" w:rsidP="00C625DB">
            <w:pPr>
              <w:spacing w:after="0" w:line="240" w:lineRule="auto"/>
              <w:jc w:val="center"/>
              <w:rPr>
                <w:rFonts w:ascii="Arial" w:eastAsia="Calibri" w:hAnsi="Arial" w:cs="Arial"/>
                <w:b/>
                <w:sz w:val="24"/>
                <w:szCs w:val="24"/>
              </w:rPr>
            </w:pPr>
          </w:p>
        </w:tc>
      </w:tr>
      <w:tr w:rsidR="00BD71DD" w:rsidRPr="00162D37" w:rsidTr="00DC03E4">
        <w:trPr>
          <w:jc w:val="center"/>
        </w:trPr>
        <w:tc>
          <w:tcPr>
            <w:tcW w:w="6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D71DD" w:rsidRPr="00162D37" w:rsidRDefault="00BD71DD" w:rsidP="00252ED3">
            <w:pPr>
              <w:numPr>
                <w:ilvl w:val="0"/>
                <w:numId w:val="40"/>
              </w:numPr>
              <w:spacing w:after="0" w:line="240" w:lineRule="auto"/>
              <w:jc w:val="both"/>
              <w:rPr>
                <w:rFonts w:ascii="Arial" w:hAnsi="Arial" w:cs="Arial"/>
                <w:sz w:val="24"/>
                <w:szCs w:val="24"/>
              </w:rPr>
            </w:pPr>
          </w:p>
        </w:tc>
        <w:tc>
          <w:tcPr>
            <w:tcW w:w="45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71DD" w:rsidRPr="00162D37" w:rsidRDefault="00BD71DD" w:rsidP="00C625DB">
            <w:pPr>
              <w:spacing w:after="0" w:line="240" w:lineRule="auto"/>
              <w:rPr>
                <w:rFonts w:ascii="Arial" w:eastAsia="Calibri" w:hAnsi="Arial" w:cs="Arial"/>
                <w:b/>
                <w:sz w:val="24"/>
                <w:szCs w:val="24"/>
              </w:rPr>
            </w:pPr>
            <w:r w:rsidRPr="00162D37">
              <w:rPr>
                <w:rFonts w:ascii="Arial" w:eastAsia="Calibri" w:hAnsi="Arial" w:cs="Arial"/>
                <w:b/>
                <w:sz w:val="24"/>
                <w:szCs w:val="24"/>
              </w:rPr>
              <w:t>De protecţie a apelor</w:t>
            </w:r>
          </w:p>
        </w:tc>
        <w:tc>
          <w:tcPr>
            <w:tcW w:w="23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71DD" w:rsidRPr="00162D37" w:rsidRDefault="00BD71DD" w:rsidP="00C625DB">
            <w:pPr>
              <w:spacing w:after="0" w:line="240" w:lineRule="auto"/>
              <w:jc w:val="center"/>
              <w:rPr>
                <w:rFonts w:ascii="Arial" w:eastAsia="Calibri" w:hAnsi="Arial" w:cs="Arial"/>
                <w:b/>
                <w:sz w:val="24"/>
                <w:szCs w:val="24"/>
              </w:rPr>
            </w:pPr>
            <w:r w:rsidRPr="00162D37">
              <w:rPr>
                <w:rFonts w:ascii="Arial" w:eastAsia="Calibri" w:hAnsi="Arial" w:cs="Arial"/>
                <w:b/>
                <w:sz w:val="24"/>
                <w:szCs w:val="24"/>
              </w:rPr>
              <w:t>12764</w:t>
            </w:r>
          </w:p>
        </w:tc>
      </w:tr>
      <w:tr w:rsidR="00BD71DD" w:rsidRPr="00162D37" w:rsidTr="00DC03E4">
        <w:trPr>
          <w:jc w:val="center"/>
        </w:trPr>
        <w:tc>
          <w:tcPr>
            <w:tcW w:w="6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D71DD" w:rsidRPr="00162D37" w:rsidRDefault="00BD71DD" w:rsidP="00252ED3">
            <w:pPr>
              <w:numPr>
                <w:ilvl w:val="0"/>
                <w:numId w:val="40"/>
              </w:numPr>
              <w:spacing w:after="0" w:line="240" w:lineRule="auto"/>
              <w:jc w:val="both"/>
              <w:rPr>
                <w:rFonts w:ascii="Arial" w:hAnsi="Arial" w:cs="Arial"/>
                <w:sz w:val="24"/>
                <w:szCs w:val="24"/>
              </w:rPr>
            </w:pPr>
          </w:p>
        </w:tc>
        <w:tc>
          <w:tcPr>
            <w:tcW w:w="45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71DD" w:rsidRPr="00162D37" w:rsidRDefault="00BD71DD" w:rsidP="00C625DB">
            <w:pPr>
              <w:spacing w:after="0" w:line="240" w:lineRule="auto"/>
              <w:rPr>
                <w:rFonts w:ascii="Arial" w:eastAsia="Calibri" w:hAnsi="Arial" w:cs="Arial"/>
                <w:b/>
                <w:sz w:val="24"/>
                <w:szCs w:val="24"/>
              </w:rPr>
            </w:pPr>
            <w:r w:rsidRPr="00162D37">
              <w:rPr>
                <w:rFonts w:ascii="Arial" w:eastAsia="Calibri" w:hAnsi="Arial" w:cs="Arial"/>
                <w:b/>
                <w:sz w:val="24"/>
                <w:szCs w:val="24"/>
              </w:rPr>
              <w:t>De protecţie a terenurilor degradate</w:t>
            </w:r>
          </w:p>
        </w:tc>
        <w:tc>
          <w:tcPr>
            <w:tcW w:w="23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71DD" w:rsidRPr="00162D37" w:rsidRDefault="00BD71DD" w:rsidP="00C625DB">
            <w:pPr>
              <w:spacing w:after="0" w:line="240" w:lineRule="auto"/>
              <w:jc w:val="center"/>
              <w:rPr>
                <w:rFonts w:ascii="Arial" w:eastAsia="Calibri" w:hAnsi="Arial" w:cs="Arial"/>
                <w:b/>
                <w:sz w:val="24"/>
                <w:szCs w:val="24"/>
              </w:rPr>
            </w:pPr>
            <w:r w:rsidRPr="00162D37">
              <w:rPr>
                <w:rFonts w:ascii="Arial" w:eastAsia="Calibri" w:hAnsi="Arial" w:cs="Arial"/>
                <w:b/>
                <w:sz w:val="24"/>
                <w:szCs w:val="24"/>
              </w:rPr>
              <w:t>364</w:t>
            </w:r>
          </w:p>
        </w:tc>
      </w:tr>
      <w:tr w:rsidR="00BD71DD" w:rsidRPr="00162D37" w:rsidTr="00DC03E4">
        <w:trPr>
          <w:jc w:val="center"/>
        </w:trPr>
        <w:tc>
          <w:tcPr>
            <w:tcW w:w="6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D71DD" w:rsidRPr="00162D37" w:rsidRDefault="00BD71DD" w:rsidP="00252ED3">
            <w:pPr>
              <w:numPr>
                <w:ilvl w:val="0"/>
                <w:numId w:val="40"/>
              </w:numPr>
              <w:spacing w:after="0" w:line="240" w:lineRule="auto"/>
              <w:jc w:val="both"/>
              <w:rPr>
                <w:rFonts w:ascii="Arial" w:hAnsi="Arial" w:cs="Arial"/>
                <w:sz w:val="24"/>
                <w:szCs w:val="24"/>
              </w:rPr>
            </w:pPr>
          </w:p>
        </w:tc>
        <w:tc>
          <w:tcPr>
            <w:tcW w:w="45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71DD" w:rsidRPr="00162D37" w:rsidRDefault="00BD71DD" w:rsidP="00C625DB">
            <w:pPr>
              <w:spacing w:after="0" w:line="240" w:lineRule="auto"/>
              <w:rPr>
                <w:rFonts w:ascii="Arial" w:eastAsia="Calibri" w:hAnsi="Arial" w:cs="Arial"/>
                <w:b/>
                <w:sz w:val="24"/>
                <w:szCs w:val="24"/>
              </w:rPr>
            </w:pPr>
            <w:r w:rsidRPr="00162D37">
              <w:rPr>
                <w:rFonts w:ascii="Arial" w:eastAsia="Calibri" w:hAnsi="Arial" w:cs="Arial"/>
                <w:b/>
                <w:sz w:val="24"/>
                <w:szCs w:val="24"/>
              </w:rPr>
              <w:t>De protecţie contra factorilor climatici</w:t>
            </w:r>
          </w:p>
        </w:tc>
        <w:tc>
          <w:tcPr>
            <w:tcW w:w="23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71DD" w:rsidRPr="00162D37" w:rsidRDefault="00BD71DD" w:rsidP="00C625DB">
            <w:pPr>
              <w:spacing w:after="0" w:line="240" w:lineRule="auto"/>
              <w:jc w:val="center"/>
              <w:rPr>
                <w:rFonts w:ascii="Arial" w:eastAsia="Calibri" w:hAnsi="Arial" w:cs="Arial"/>
                <w:b/>
                <w:sz w:val="24"/>
                <w:szCs w:val="24"/>
              </w:rPr>
            </w:pPr>
            <w:r w:rsidRPr="00162D37">
              <w:rPr>
                <w:rFonts w:ascii="Arial" w:eastAsia="Calibri" w:hAnsi="Arial" w:cs="Arial"/>
                <w:b/>
                <w:sz w:val="24"/>
                <w:szCs w:val="24"/>
              </w:rPr>
              <w:t>150</w:t>
            </w:r>
          </w:p>
        </w:tc>
      </w:tr>
      <w:tr w:rsidR="00BD71DD" w:rsidRPr="00162D37" w:rsidTr="00DC03E4">
        <w:trPr>
          <w:jc w:val="center"/>
        </w:trPr>
        <w:tc>
          <w:tcPr>
            <w:tcW w:w="6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D71DD" w:rsidRPr="00162D37" w:rsidRDefault="00BD71DD" w:rsidP="00252ED3">
            <w:pPr>
              <w:numPr>
                <w:ilvl w:val="0"/>
                <w:numId w:val="40"/>
              </w:numPr>
              <w:spacing w:after="0" w:line="240" w:lineRule="auto"/>
              <w:jc w:val="both"/>
              <w:rPr>
                <w:rFonts w:ascii="Arial" w:hAnsi="Arial" w:cs="Arial"/>
                <w:sz w:val="24"/>
                <w:szCs w:val="24"/>
              </w:rPr>
            </w:pPr>
          </w:p>
        </w:tc>
        <w:tc>
          <w:tcPr>
            <w:tcW w:w="45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71DD" w:rsidRPr="00162D37" w:rsidRDefault="00BD71DD" w:rsidP="00C625DB">
            <w:pPr>
              <w:spacing w:after="0" w:line="240" w:lineRule="auto"/>
              <w:rPr>
                <w:rFonts w:ascii="Arial" w:eastAsia="Calibri" w:hAnsi="Arial" w:cs="Arial"/>
                <w:b/>
                <w:sz w:val="24"/>
                <w:szCs w:val="24"/>
              </w:rPr>
            </w:pPr>
            <w:r w:rsidRPr="00162D37">
              <w:rPr>
                <w:rFonts w:ascii="Arial" w:eastAsia="Calibri" w:hAnsi="Arial" w:cs="Arial"/>
                <w:b/>
                <w:sz w:val="24"/>
                <w:szCs w:val="24"/>
              </w:rPr>
              <w:t>Pentru recreere</w:t>
            </w:r>
          </w:p>
        </w:tc>
        <w:tc>
          <w:tcPr>
            <w:tcW w:w="23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71DD" w:rsidRPr="00162D37" w:rsidRDefault="00BD71DD" w:rsidP="00C625DB">
            <w:pPr>
              <w:spacing w:after="0" w:line="240" w:lineRule="auto"/>
              <w:jc w:val="center"/>
              <w:rPr>
                <w:rFonts w:ascii="Arial" w:eastAsia="Calibri" w:hAnsi="Arial" w:cs="Arial"/>
                <w:b/>
                <w:sz w:val="24"/>
                <w:szCs w:val="24"/>
              </w:rPr>
            </w:pPr>
            <w:r w:rsidRPr="00162D37">
              <w:rPr>
                <w:rFonts w:ascii="Arial" w:eastAsia="Calibri" w:hAnsi="Arial" w:cs="Arial"/>
                <w:b/>
                <w:sz w:val="24"/>
                <w:szCs w:val="24"/>
              </w:rPr>
              <w:t>320</w:t>
            </w:r>
          </w:p>
        </w:tc>
      </w:tr>
      <w:tr w:rsidR="00BD71DD" w:rsidRPr="00162D37" w:rsidTr="00DC03E4">
        <w:trPr>
          <w:jc w:val="center"/>
        </w:trPr>
        <w:tc>
          <w:tcPr>
            <w:tcW w:w="6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D71DD" w:rsidRPr="00162D37" w:rsidRDefault="00BD71DD" w:rsidP="00252ED3">
            <w:pPr>
              <w:numPr>
                <w:ilvl w:val="0"/>
                <w:numId w:val="40"/>
              </w:numPr>
              <w:spacing w:after="0" w:line="240" w:lineRule="auto"/>
              <w:jc w:val="both"/>
              <w:rPr>
                <w:rFonts w:ascii="Arial" w:hAnsi="Arial" w:cs="Arial"/>
                <w:sz w:val="24"/>
                <w:szCs w:val="24"/>
              </w:rPr>
            </w:pPr>
          </w:p>
        </w:tc>
        <w:tc>
          <w:tcPr>
            <w:tcW w:w="45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71DD" w:rsidRPr="00162D37" w:rsidRDefault="00BD71DD" w:rsidP="00C625DB">
            <w:pPr>
              <w:spacing w:after="0" w:line="240" w:lineRule="auto"/>
              <w:rPr>
                <w:rFonts w:ascii="Arial" w:eastAsia="Calibri" w:hAnsi="Arial" w:cs="Arial"/>
                <w:b/>
                <w:sz w:val="24"/>
                <w:szCs w:val="24"/>
              </w:rPr>
            </w:pPr>
            <w:r w:rsidRPr="00162D37">
              <w:rPr>
                <w:rFonts w:ascii="Arial" w:eastAsia="Calibri" w:hAnsi="Arial" w:cs="Arial"/>
                <w:b/>
                <w:sz w:val="24"/>
                <w:szCs w:val="24"/>
              </w:rPr>
              <w:t>Rezervaţii seminţe</w:t>
            </w:r>
          </w:p>
        </w:tc>
        <w:tc>
          <w:tcPr>
            <w:tcW w:w="23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71DD" w:rsidRPr="00162D37" w:rsidRDefault="00BD71DD" w:rsidP="00C625DB">
            <w:pPr>
              <w:spacing w:after="0" w:line="240" w:lineRule="auto"/>
              <w:jc w:val="center"/>
              <w:rPr>
                <w:rFonts w:ascii="Arial" w:eastAsia="Calibri" w:hAnsi="Arial" w:cs="Arial"/>
                <w:b/>
                <w:sz w:val="24"/>
                <w:szCs w:val="24"/>
              </w:rPr>
            </w:pPr>
            <w:r w:rsidRPr="00162D37">
              <w:rPr>
                <w:rFonts w:ascii="Arial" w:eastAsia="Calibri" w:hAnsi="Arial" w:cs="Arial"/>
                <w:b/>
                <w:sz w:val="24"/>
                <w:szCs w:val="24"/>
              </w:rPr>
              <w:t>47</w:t>
            </w:r>
          </w:p>
        </w:tc>
      </w:tr>
      <w:tr w:rsidR="00BD71DD" w:rsidRPr="00162D37" w:rsidTr="00DC03E4">
        <w:trPr>
          <w:jc w:val="center"/>
        </w:trPr>
        <w:tc>
          <w:tcPr>
            <w:tcW w:w="6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BD71DD" w:rsidRPr="00162D37" w:rsidRDefault="00BD71DD" w:rsidP="00252ED3">
            <w:pPr>
              <w:numPr>
                <w:ilvl w:val="0"/>
                <w:numId w:val="40"/>
              </w:numPr>
              <w:spacing w:after="0" w:line="240" w:lineRule="auto"/>
              <w:jc w:val="both"/>
              <w:rPr>
                <w:rFonts w:ascii="Arial" w:hAnsi="Arial" w:cs="Arial"/>
                <w:sz w:val="24"/>
                <w:szCs w:val="24"/>
              </w:rPr>
            </w:pPr>
          </w:p>
        </w:tc>
        <w:tc>
          <w:tcPr>
            <w:tcW w:w="455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D71DD" w:rsidRPr="00162D37" w:rsidRDefault="00BD71DD" w:rsidP="00C625DB">
            <w:pPr>
              <w:spacing w:after="0" w:line="240" w:lineRule="auto"/>
              <w:rPr>
                <w:rFonts w:ascii="Arial" w:eastAsia="Calibri" w:hAnsi="Arial" w:cs="Arial"/>
                <w:b/>
                <w:sz w:val="24"/>
                <w:szCs w:val="24"/>
              </w:rPr>
            </w:pPr>
            <w:r w:rsidRPr="00162D37">
              <w:rPr>
                <w:rFonts w:ascii="Arial" w:eastAsia="Calibri" w:hAnsi="Arial" w:cs="Arial"/>
                <w:b/>
                <w:sz w:val="24"/>
                <w:szCs w:val="24"/>
              </w:rPr>
              <w:t>Destinate ocrotirii unor specii de faună</w:t>
            </w:r>
          </w:p>
        </w:tc>
        <w:tc>
          <w:tcPr>
            <w:tcW w:w="239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BD71DD" w:rsidRPr="00162D37" w:rsidRDefault="00BD71DD" w:rsidP="00C625DB">
            <w:pPr>
              <w:spacing w:after="0" w:line="240" w:lineRule="auto"/>
              <w:jc w:val="center"/>
              <w:rPr>
                <w:rFonts w:ascii="Arial" w:eastAsia="Calibri" w:hAnsi="Arial" w:cs="Arial"/>
                <w:b/>
                <w:sz w:val="24"/>
                <w:szCs w:val="24"/>
              </w:rPr>
            </w:pPr>
            <w:r w:rsidRPr="00162D37">
              <w:rPr>
                <w:rFonts w:ascii="Arial" w:eastAsia="Calibri" w:hAnsi="Arial" w:cs="Arial"/>
                <w:b/>
                <w:sz w:val="24"/>
                <w:szCs w:val="24"/>
              </w:rPr>
              <w:t>14585</w:t>
            </w:r>
          </w:p>
        </w:tc>
      </w:tr>
    </w:tbl>
    <w:p w:rsidR="00BD71DD" w:rsidRPr="00162D37" w:rsidRDefault="00BD71DD" w:rsidP="00C625DB">
      <w:pPr>
        <w:spacing w:after="0" w:line="240" w:lineRule="auto"/>
        <w:rPr>
          <w:rFonts w:ascii="Arial" w:hAnsi="Arial" w:cs="Arial"/>
          <w:sz w:val="24"/>
          <w:szCs w:val="24"/>
          <w:lang w:val="en-US"/>
        </w:rPr>
      </w:pPr>
    </w:p>
    <w:p w:rsidR="00BD71DD" w:rsidRPr="00162D37" w:rsidRDefault="00BD71DD" w:rsidP="00C625DB">
      <w:pPr>
        <w:spacing w:after="0" w:line="240" w:lineRule="auto"/>
        <w:jc w:val="center"/>
        <w:rPr>
          <w:rFonts w:ascii="Arial" w:hAnsi="Arial" w:cs="Arial"/>
          <w:sz w:val="24"/>
          <w:szCs w:val="24"/>
          <w:lang w:val="en-US"/>
        </w:rPr>
      </w:pPr>
      <w:r w:rsidRPr="00162D37">
        <w:rPr>
          <w:rFonts w:ascii="Arial" w:hAnsi="Arial" w:cs="Arial"/>
          <w:noProof/>
          <w:sz w:val="24"/>
          <w:szCs w:val="24"/>
          <w:lang w:eastAsia="ro-RO"/>
        </w:rPr>
        <w:drawing>
          <wp:inline distT="0" distB="0" distL="0" distR="0">
            <wp:extent cx="3648075" cy="2200275"/>
            <wp:effectExtent l="19050" t="0" r="9525" b="0"/>
            <wp:docPr id="6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2442D1" w:rsidRDefault="002442D1" w:rsidP="00C625DB">
      <w:pPr>
        <w:spacing w:after="0" w:line="240" w:lineRule="auto"/>
        <w:jc w:val="center"/>
        <w:rPr>
          <w:rFonts w:ascii="Arial" w:hAnsi="Arial" w:cs="Arial"/>
          <w:sz w:val="24"/>
          <w:szCs w:val="24"/>
          <w:lang w:val="en-US"/>
        </w:rPr>
      </w:pPr>
    </w:p>
    <w:p w:rsidR="00BD71DD" w:rsidRPr="00162D37" w:rsidRDefault="00BD71DD" w:rsidP="00C625DB">
      <w:pPr>
        <w:spacing w:after="0" w:line="240" w:lineRule="auto"/>
        <w:jc w:val="center"/>
        <w:rPr>
          <w:rFonts w:ascii="Arial" w:hAnsi="Arial" w:cs="Arial"/>
          <w:sz w:val="24"/>
          <w:szCs w:val="24"/>
          <w:lang w:val="en-US"/>
        </w:rPr>
      </w:pPr>
      <w:r w:rsidRPr="002442D1">
        <w:rPr>
          <w:rFonts w:ascii="Arial" w:hAnsi="Arial" w:cs="Arial"/>
          <w:sz w:val="24"/>
          <w:szCs w:val="24"/>
          <w:lang w:val="en-US"/>
        </w:rPr>
        <w:t>Figura nr. VI.1.2. -1</w:t>
      </w:r>
      <w:r w:rsidRPr="00162D37">
        <w:rPr>
          <w:rFonts w:ascii="Arial" w:hAnsi="Arial" w:cs="Arial"/>
          <w:b/>
          <w:sz w:val="24"/>
          <w:szCs w:val="24"/>
          <w:lang w:val="en-US"/>
        </w:rPr>
        <w:t xml:space="preserve"> </w:t>
      </w:r>
      <w:r w:rsidRPr="00162D37">
        <w:rPr>
          <w:rFonts w:ascii="Arial" w:hAnsi="Arial" w:cs="Arial"/>
          <w:sz w:val="24"/>
          <w:szCs w:val="24"/>
        </w:rPr>
        <w:t xml:space="preserve">Distribuţia pădurilor </w:t>
      </w:r>
      <w:r w:rsidRPr="00162D37">
        <w:rPr>
          <w:rFonts w:ascii="Arial" w:hAnsi="Arial" w:cs="Arial"/>
          <w:sz w:val="24"/>
          <w:szCs w:val="24"/>
          <w:lang w:val="it-IT"/>
        </w:rPr>
        <w:t>cu funcţii speciale de protecţie</w:t>
      </w:r>
    </w:p>
    <w:p w:rsidR="00BD71DD" w:rsidRPr="00162D37" w:rsidRDefault="00BD71DD" w:rsidP="00C625DB">
      <w:pPr>
        <w:spacing w:after="0" w:line="240" w:lineRule="auto"/>
        <w:rPr>
          <w:rFonts w:ascii="Arial" w:hAnsi="Arial" w:cs="Arial"/>
          <w:b/>
          <w:i/>
          <w:sz w:val="24"/>
          <w:szCs w:val="24"/>
          <w:lang w:val="en-US"/>
        </w:rPr>
      </w:pPr>
      <w:r w:rsidRPr="00162D37">
        <w:rPr>
          <w:rFonts w:ascii="Arial" w:hAnsi="Arial" w:cs="Arial"/>
          <w:b/>
          <w:i/>
          <w:sz w:val="24"/>
          <w:szCs w:val="24"/>
          <w:lang w:val="en-US"/>
        </w:rPr>
        <w:t xml:space="preserve">  </w:t>
      </w:r>
    </w:p>
    <w:p w:rsidR="009474A2" w:rsidRPr="00162D37" w:rsidRDefault="009474A2" w:rsidP="00C625DB">
      <w:pPr>
        <w:spacing w:after="0" w:line="240" w:lineRule="auto"/>
        <w:rPr>
          <w:rFonts w:ascii="Arial" w:hAnsi="Arial" w:cs="Arial"/>
          <w:b/>
          <w:i/>
          <w:sz w:val="24"/>
          <w:szCs w:val="24"/>
          <w:lang w:val="en-US"/>
        </w:rPr>
      </w:pPr>
      <w:r w:rsidRPr="00162D37">
        <w:rPr>
          <w:rFonts w:ascii="Arial" w:hAnsi="Arial" w:cs="Arial"/>
          <w:b/>
          <w:i/>
          <w:sz w:val="24"/>
          <w:szCs w:val="24"/>
          <w:lang w:val="en-US"/>
        </w:rPr>
        <w:t xml:space="preserve">  </w:t>
      </w:r>
    </w:p>
    <w:p w:rsidR="009474A2" w:rsidRPr="00162D37" w:rsidRDefault="009474A2" w:rsidP="00C625DB">
      <w:pPr>
        <w:spacing w:after="0" w:line="240" w:lineRule="auto"/>
        <w:rPr>
          <w:rFonts w:ascii="Arial" w:hAnsi="Arial" w:cs="Arial"/>
          <w:b/>
          <w:sz w:val="24"/>
          <w:szCs w:val="24"/>
          <w:lang w:val="en-US"/>
        </w:rPr>
      </w:pPr>
      <w:r w:rsidRPr="00162D37">
        <w:rPr>
          <w:rFonts w:ascii="Arial" w:hAnsi="Arial" w:cs="Arial"/>
          <w:b/>
          <w:i/>
          <w:sz w:val="24"/>
          <w:szCs w:val="24"/>
          <w:lang w:val="en-US"/>
        </w:rPr>
        <w:t xml:space="preserve">         VI.1.3. Starea de sănătate a pădurilor</w:t>
      </w:r>
    </w:p>
    <w:p w:rsidR="009474A2" w:rsidRPr="00162D37" w:rsidRDefault="009474A2" w:rsidP="00C625DB">
      <w:pPr>
        <w:pStyle w:val="Default"/>
        <w:ind w:firstLine="708"/>
        <w:jc w:val="both"/>
        <w:rPr>
          <w:rFonts w:ascii="Arial" w:hAnsi="Arial" w:cs="Arial"/>
          <w:color w:val="auto"/>
        </w:rPr>
      </w:pPr>
      <w:r w:rsidRPr="00162D37">
        <w:rPr>
          <w:rFonts w:ascii="Arial" w:hAnsi="Arial" w:cs="Arial"/>
          <w:color w:val="auto"/>
        </w:rPr>
        <w:t>Masa lemnoasă uscată/moartă afectează în mod semnificativ fluxul de materie, energie şi nutrienţi în ecosistem. Lemnul mort este un indicator pentru biodiversitatea nevetre</w:t>
      </w:r>
      <w:r w:rsidR="007C1699">
        <w:rPr>
          <w:rFonts w:ascii="Arial" w:hAnsi="Arial" w:cs="Arial"/>
          <w:color w:val="auto"/>
        </w:rPr>
        <w:t>BR</w:t>
      </w:r>
      <w:r w:rsidRPr="00162D37">
        <w:rPr>
          <w:rFonts w:ascii="Arial" w:hAnsi="Arial" w:cs="Arial"/>
          <w:color w:val="auto"/>
        </w:rPr>
        <w:t xml:space="preserve">atelor. De asemenea, joacă un rol important în reciclarea nutrienţilor şi a materiei organice, ca şi în crearea unei mari varietăţi de microhabitate pentru regenerarea speciilor de plante şi pentru alte organisme. Este un foarte bun indicator pentru valoarea de conservare a unei păduri. </w:t>
      </w:r>
    </w:p>
    <w:p w:rsidR="009474A2" w:rsidRPr="00162D37" w:rsidRDefault="009474A2" w:rsidP="00C625DB">
      <w:pPr>
        <w:pStyle w:val="Default"/>
        <w:jc w:val="both"/>
        <w:rPr>
          <w:rFonts w:ascii="Arial" w:hAnsi="Arial" w:cs="Arial"/>
          <w:color w:val="auto"/>
        </w:rPr>
      </w:pPr>
      <w:r w:rsidRPr="00162D37">
        <w:rPr>
          <w:rFonts w:ascii="Arial" w:hAnsi="Arial" w:cs="Arial"/>
          <w:color w:val="auto"/>
        </w:rPr>
        <w:t xml:space="preserve">Lemnul mort din păduri reprezintă un sistem de microhabitate care evoluează continuu în timp, până la degradare. Cantitatea de lemn mort din păduri depinde de compoziţia speciilor de arbori, de tipul şi frecvenţa perturbărilor naturale din zonă, de sol şi de condiţiile climatice şi de tipul de gestiune forestieră (EEA, 2008). Cantitatea variază considerabil între pădurile naturale, virgine şi cele gestionate. În pădurile virgine există o mare cantitate şi varietate de lemn mort. În general, lemnul mort căzut la pământ este mai bogat în specii decât cel pe picior. Dar ambele tipuri de lemn mort sunt importante. Creşterea cantităţii de lemn mort în păduri este considerată o măsură potenţială pentru creşterea biodiversităţii. </w:t>
      </w:r>
    </w:p>
    <w:p w:rsidR="009474A2" w:rsidRPr="00162D37" w:rsidRDefault="009474A2" w:rsidP="00C625DB">
      <w:pPr>
        <w:spacing w:after="0" w:line="240" w:lineRule="auto"/>
        <w:ind w:firstLine="708"/>
        <w:jc w:val="both"/>
        <w:rPr>
          <w:rFonts w:ascii="Arial" w:hAnsi="Arial" w:cs="Arial"/>
          <w:sz w:val="24"/>
          <w:szCs w:val="24"/>
        </w:rPr>
      </w:pPr>
      <w:r w:rsidRPr="00162D37">
        <w:rPr>
          <w:rFonts w:ascii="Arial" w:hAnsi="Arial" w:cs="Arial"/>
          <w:sz w:val="24"/>
          <w:szCs w:val="24"/>
        </w:rPr>
        <w:t xml:space="preserve">În general, în majoritatea ţărilor europene, cantitatea de lemn mort are o tendinţă crescătoare în ultimii ani. Această tendinţă poate fi datorată fie efectelor politicii de gestiune a pădurilor care stimulează managementul forestier orientat pe păstrarea naturaleţii pădurilor şi menţinerea pădurilor necurăţate de lemnul mort, fie unor perturbări puternice cum ar fi </w:t>
      </w:r>
      <w:r w:rsidRPr="00162D37">
        <w:rPr>
          <w:rFonts w:ascii="Arial" w:hAnsi="Arial" w:cs="Arial"/>
          <w:sz w:val="24"/>
          <w:szCs w:val="24"/>
        </w:rPr>
        <w:lastRenderedPageBreak/>
        <w:t xml:space="preserve">furtunile.În viitor, o sursă importantă de date va redeveni Inventarul Forestier Naţional, administrat de ICAS, care urmează să colecteze şi prelucreze inclusiv date referitoare la lemnul mort din păduri. Acest indicator este important şi pentru că reprezintă una din rezervele de carbon din păduri, gestionate de inventarul LULUCF. </w:t>
      </w:r>
    </w:p>
    <w:p w:rsidR="00BD71DD" w:rsidRPr="00162D37" w:rsidRDefault="00BD71DD" w:rsidP="00C625DB">
      <w:pPr>
        <w:spacing w:after="0" w:line="240" w:lineRule="auto"/>
        <w:rPr>
          <w:rFonts w:ascii="Arial" w:hAnsi="Arial" w:cs="Arial"/>
          <w:b/>
          <w:sz w:val="24"/>
          <w:szCs w:val="24"/>
          <w:lang w:val="en-US"/>
        </w:rPr>
      </w:pPr>
      <w:r w:rsidRPr="00162D37">
        <w:rPr>
          <w:rFonts w:ascii="Arial" w:hAnsi="Arial" w:cs="Arial"/>
          <w:b/>
          <w:sz w:val="24"/>
          <w:szCs w:val="24"/>
          <w:lang w:val="en-US"/>
        </w:rPr>
        <w:t xml:space="preserve">               </w:t>
      </w:r>
      <w:r w:rsidRPr="00162D37">
        <w:rPr>
          <w:rFonts w:ascii="Arial" w:hAnsi="Arial" w:cs="Arial"/>
          <w:b/>
          <w:i/>
          <w:sz w:val="24"/>
          <w:szCs w:val="24"/>
          <w:lang w:val="en-US"/>
        </w:rPr>
        <w:t>VI.1.4. Suprafeţe de păduri regenerate</w:t>
      </w:r>
    </w:p>
    <w:p w:rsidR="00BD71DD" w:rsidRPr="00162D37" w:rsidRDefault="00BD71DD" w:rsidP="00C625DB">
      <w:pPr>
        <w:spacing w:after="0" w:line="240" w:lineRule="auto"/>
        <w:jc w:val="both"/>
        <w:rPr>
          <w:rFonts w:ascii="Arial" w:hAnsi="Arial" w:cs="Arial"/>
          <w:sz w:val="24"/>
          <w:szCs w:val="24"/>
          <w:lang w:val="en-US"/>
        </w:rPr>
      </w:pPr>
      <w:r w:rsidRPr="00162D37">
        <w:rPr>
          <w:rFonts w:ascii="Arial" w:hAnsi="Arial" w:cs="Arial"/>
          <w:sz w:val="24"/>
          <w:szCs w:val="24"/>
          <w:lang w:val="en-US"/>
        </w:rPr>
        <w:t>Conform datelor furnizate de către</w:t>
      </w:r>
      <w:r w:rsidRPr="00162D37">
        <w:rPr>
          <w:rFonts w:ascii="Arial" w:hAnsi="Arial" w:cs="Arial"/>
          <w:b/>
          <w:sz w:val="24"/>
          <w:szCs w:val="24"/>
          <w:lang w:val="en-US"/>
        </w:rPr>
        <w:t xml:space="preserve"> </w:t>
      </w:r>
      <w:r w:rsidRPr="00162D37">
        <w:rPr>
          <w:rFonts w:ascii="Arial" w:hAnsi="Arial" w:cs="Arial"/>
          <w:sz w:val="24"/>
          <w:szCs w:val="24"/>
        </w:rPr>
        <w:t xml:space="preserve">Garda Forestieră Focşani, în anul 2016 în judeţul </w:t>
      </w:r>
      <w:r w:rsidR="00217620">
        <w:rPr>
          <w:rFonts w:ascii="Arial" w:hAnsi="Arial" w:cs="Arial"/>
          <w:sz w:val="24"/>
          <w:szCs w:val="24"/>
        </w:rPr>
        <w:t>Brăila</w:t>
      </w:r>
      <w:r w:rsidRPr="00162D37">
        <w:rPr>
          <w:rFonts w:ascii="Arial" w:hAnsi="Arial" w:cs="Arial"/>
          <w:sz w:val="24"/>
          <w:szCs w:val="24"/>
        </w:rPr>
        <w:t xml:space="preserve"> a  fost împădurită o suprafaţă de 330 ha, cu 6 ha mai mult faţă de anul 2015, iar prin regenerare naturală s-a împădurit suprafaţa de 125 ha.</w:t>
      </w:r>
    </w:p>
    <w:p w:rsidR="002442D1" w:rsidRDefault="002442D1" w:rsidP="00C625DB">
      <w:pPr>
        <w:spacing w:after="0" w:line="240" w:lineRule="auto"/>
        <w:rPr>
          <w:rFonts w:ascii="Arial" w:hAnsi="Arial" w:cs="Arial"/>
          <w:sz w:val="24"/>
          <w:szCs w:val="24"/>
          <w:lang w:val="en-US"/>
        </w:rPr>
      </w:pPr>
    </w:p>
    <w:p w:rsidR="00BD71DD" w:rsidRPr="00162D37" w:rsidRDefault="00BD71DD" w:rsidP="00C625DB">
      <w:pPr>
        <w:spacing w:after="0" w:line="240" w:lineRule="auto"/>
        <w:rPr>
          <w:rFonts w:ascii="Arial" w:hAnsi="Arial" w:cs="Arial"/>
          <w:sz w:val="24"/>
          <w:szCs w:val="24"/>
          <w:lang w:val="en-US"/>
        </w:rPr>
      </w:pPr>
      <w:r w:rsidRPr="00162D37">
        <w:rPr>
          <w:rFonts w:ascii="Arial" w:hAnsi="Arial" w:cs="Arial"/>
          <w:sz w:val="24"/>
          <w:szCs w:val="24"/>
          <w:lang w:val="en-US"/>
        </w:rPr>
        <w:t>Tabelul nr</w:t>
      </w:r>
      <w:r w:rsidRPr="002442D1">
        <w:rPr>
          <w:rFonts w:ascii="Arial" w:hAnsi="Arial" w:cs="Arial"/>
          <w:sz w:val="24"/>
          <w:szCs w:val="24"/>
          <w:lang w:val="en-US"/>
        </w:rPr>
        <w:t>. VI.1.4. -1</w:t>
      </w:r>
      <w:r w:rsidRPr="00162D37">
        <w:rPr>
          <w:rFonts w:ascii="Arial" w:hAnsi="Arial" w:cs="Arial"/>
          <w:b/>
          <w:sz w:val="24"/>
          <w:szCs w:val="24"/>
          <w:lang w:val="en-US"/>
        </w:rPr>
        <w:t xml:space="preserve"> </w:t>
      </w:r>
      <w:r w:rsidRPr="00162D37">
        <w:rPr>
          <w:rFonts w:ascii="Arial" w:hAnsi="Arial" w:cs="Arial"/>
          <w:sz w:val="24"/>
          <w:szCs w:val="24"/>
          <w:lang w:val="en-US"/>
        </w:rPr>
        <w:t xml:space="preserve"> Evoluţia suprafeţelor de păduri regenerate la nivel judeţean (ha)</w:t>
      </w:r>
    </w:p>
    <w:tbl>
      <w:tblPr>
        <w:tblStyle w:val="TableGrid"/>
        <w:tblW w:w="0" w:type="auto"/>
        <w:jc w:val="center"/>
        <w:tblInd w:w="-129" w:type="dxa"/>
        <w:shd w:val="clear" w:color="auto" w:fill="FDE9D9" w:themeFill="accent6" w:themeFillTint="33"/>
        <w:tblLayout w:type="fixed"/>
        <w:tblLook w:val="04A0"/>
      </w:tblPr>
      <w:tblGrid>
        <w:gridCol w:w="2476"/>
        <w:gridCol w:w="1417"/>
        <w:gridCol w:w="1418"/>
        <w:gridCol w:w="1289"/>
        <w:gridCol w:w="1120"/>
        <w:gridCol w:w="1418"/>
      </w:tblGrid>
      <w:tr w:rsidR="00BD71DD" w:rsidRPr="00162D37" w:rsidTr="00E046A5">
        <w:trPr>
          <w:jc w:val="center"/>
        </w:trPr>
        <w:tc>
          <w:tcPr>
            <w:tcW w:w="2476" w:type="dxa"/>
            <w:tcBorders>
              <w:bottom w:val="nil"/>
            </w:tcBorders>
            <w:shd w:val="clear" w:color="auto" w:fill="FDE9D9" w:themeFill="accent6" w:themeFillTint="33"/>
          </w:tcPr>
          <w:p w:rsidR="00BD71DD" w:rsidRPr="00162D37" w:rsidRDefault="00BD71DD" w:rsidP="00C625DB">
            <w:pPr>
              <w:rPr>
                <w:rFonts w:ascii="Arial" w:hAnsi="Arial" w:cs="Arial"/>
                <w:b/>
                <w:sz w:val="24"/>
                <w:szCs w:val="24"/>
                <w:lang w:val="en-US"/>
              </w:rPr>
            </w:pPr>
            <w:r w:rsidRPr="00162D37">
              <w:rPr>
                <w:rFonts w:ascii="Arial" w:hAnsi="Arial" w:cs="Arial"/>
                <w:b/>
                <w:sz w:val="24"/>
                <w:szCs w:val="24"/>
                <w:lang w:val="en-US"/>
              </w:rPr>
              <w:t>Tip</w:t>
            </w:r>
          </w:p>
        </w:tc>
        <w:tc>
          <w:tcPr>
            <w:tcW w:w="1417" w:type="dxa"/>
            <w:tcBorders>
              <w:bottom w:val="nil"/>
            </w:tcBorders>
            <w:shd w:val="clear" w:color="auto" w:fill="FDE9D9" w:themeFill="accent6" w:themeFillTint="33"/>
          </w:tcPr>
          <w:p w:rsidR="00BD71DD" w:rsidRPr="00162D37" w:rsidRDefault="00BD71DD" w:rsidP="00C625DB">
            <w:pPr>
              <w:jc w:val="center"/>
              <w:rPr>
                <w:rFonts w:ascii="Arial" w:hAnsi="Arial" w:cs="Arial"/>
                <w:b/>
                <w:sz w:val="24"/>
                <w:szCs w:val="24"/>
                <w:lang w:val="en-US"/>
              </w:rPr>
            </w:pPr>
            <w:r w:rsidRPr="00162D37">
              <w:rPr>
                <w:rFonts w:ascii="Arial" w:hAnsi="Arial" w:cs="Arial"/>
                <w:b/>
                <w:sz w:val="24"/>
                <w:szCs w:val="24"/>
                <w:lang w:val="en-US"/>
              </w:rPr>
              <w:t>2012</w:t>
            </w:r>
          </w:p>
        </w:tc>
        <w:tc>
          <w:tcPr>
            <w:tcW w:w="1418" w:type="dxa"/>
            <w:tcBorders>
              <w:bottom w:val="nil"/>
            </w:tcBorders>
            <w:shd w:val="clear" w:color="auto" w:fill="FDE9D9" w:themeFill="accent6" w:themeFillTint="33"/>
          </w:tcPr>
          <w:p w:rsidR="00BD71DD" w:rsidRPr="00162D37" w:rsidRDefault="00BD71DD" w:rsidP="00C625DB">
            <w:pPr>
              <w:jc w:val="center"/>
              <w:rPr>
                <w:rFonts w:ascii="Arial" w:hAnsi="Arial" w:cs="Arial"/>
                <w:b/>
                <w:sz w:val="24"/>
                <w:szCs w:val="24"/>
                <w:lang w:val="en-US"/>
              </w:rPr>
            </w:pPr>
            <w:r w:rsidRPr="00162D37">
              <w:rPr>
                <w:rFonts w:ascii="Arial" w:hAnsi="Arial" w:cs="Arial"/>
                <w:b/>
                <w:sz w:val="24"/>
                <w:szCs w:val="24"/>
                <w:lang w:val="en-US"/>
              </w:rPr>
              <w:t>2013</w:t>
            </w:r>
          </w:p>
        </w:tc>
        <w:tc>
          <w:tcPr>
            <w:tcW w:w="1289" w:type="dxa"/>
            <w:tcBorders>
              <w:bottom w:val="nil"/>
            </w:tcBorders>
            <w:shd w:val="clear" w:color="auto" w:fill="FDE9D9" w:themeFill="accent6" w:themeFillTint="33"/>
          </w:tcPr>
          <w:p w:rsidR="00BD71DD" w:rsidRPr="00162D37" w:rsidRDefault="00BD71DD" w:rsidP="00C625DB">
            <w:pPr>
              <w:jc w:val="center"/>
              <w:rPr>
                <w:rFonts w:ascii="Arial" w:hAnsi="Arial" w:cs="Arial"/>
                <w:b/>
                <w:sz w:val="24"/>
                <w:szCs w:val="24"/>
                <w:lang w:val="en-US"/>
              </w:rPr>
            </w:pPr>
            <w:r w:rsidRPr="00162D37">
              <w:rPr>
                <w:rFonts w:ascii="Arial" w:hAnsi="Arial" w:cs="Arial"/>
                <w:b/>
                <w:sz w:val="24"/>
                <w:szCs w:val="24"/>
                <w:lang w:val="en-US"/>
              </w:rPr>
              <w:t>2014</w:t>
            </w:r>
          </w:p>
        </w:tc>
        <w:tc>
          <w:tcPr>
            <w:tcW w:w="1120" w:type="dxa"/>
            <w:tcBorders>
              <w:bottom w:val="nil"/>
            </w:tcBorders>
            <w:shd w:val="clear" w:color="auto" w:fill="FDE9D9" w:themeFill="accent6" w:themeFillTint="33"/>
          </w:tcPr>
          <w:p w:rsidR="00BD71DD" w:rsidRPr="00162D37" w:rsidRDefault="00BD71DD" w:rsidP="00C625DB">
            <w:pPr>
              <w:jc w:val="center"/>
              <w:rPr>
                <w:rFonts w:ascii="Arial" w:hAnsi="Arial" w:cs="Arial"/>
                <w:b/>
                <w:sz w:val="24"/>
                <w:szCs w:val="24"/>
                <w:lang w:val="en-US"/>
              </w:rPr>
            </w:pPr>
            <w:r w:rsidRPr="00162D37">
              <w:rPr>
                <w:rFonts w:ascii="Arial" w:hAnsi="Arial" w:cs="Arial"/>
                <w:b/>
                <w:sz w:val="24"/>
                <w:szCs w:val="24"/>
                <w:lang w:val="en-US"/>
              </w:rPr>
              <w:t>2015</w:t>
            </w:r>
          </w:p>
        </w:tc>
        <w:tc>
          <w:tcPr>
            <w:tcW w:w="1418" w:type="dxa"/>
            <w:tcBorders>
              <w:bottom w:val="nil"/>
            </w:tcBorders>
            <w:shd w:val="clear" w:color="auto" w:fill="FDE9D9" w:themeFill="accent6" w:themeFillTint="33"/>
          </w:tcPr>
          <w:p w:rsidR="00BD71DD" w:rsidRPr="00162D37" w:rsidRDefault="00BD71DD" w:rsidP="00C625DB">
            <w:pPr>
              <w:jc w:val="center"/>
              <w:rPr>
                <w:rFonts w:ascii="Arial" w:hAnsi="Arial" w:cs="Arial"/>
                <w:b/>
                <w:sz w:val="24"/>
                <w:szCs w:val="24"/>
                <w:lang w:val="en-US"/>
              </w:rPr>
            </w:pPr>
            <w:r w:rsidRPr="00162D37">
              <w:rPr>
                <w:rFonts w:ascii="Arial" w:hAnsi="Arial" w:cs="Arial"/>
                <w:b/>
                <w:sz w:val="24"/>
                <w:szCs w:val="24"/>
                <w:lang w:val="en-US"/>
              </w:rPr>
              <w:t>2016</w:t>
            </w:r>
          </w:p>
        </w:tc>
      </w:tr>
      <w:tr w:rsidR="00BD71DD" w:rsidRPr="00162D37" w:rsidTr="00DC03E4">
        <w:trPr>
          <w:trHeight w:val="80"/>
          <w:jc w:val="center"/>
        </w:trPr>
        <w:tc>
          <w:tcPr>
            <w:tcW w:w="2476" w:type="dxa"/>
            <w:tcBorders>
              <w:top w:val="nil"/>
            </w:tcBorders>
            <w:shd w:val="clear" w:color="auto" w:fill="FDE9D9" w:themeFill="accent6" w:themeFillTint="33"/>
          </w:tcPr>
          <w:p w:rsidR="00BD71DD" w:rsidRPr="00162D37" w:rsidRDefault="00BD71DD" w:rsidP="00C625DB">
            <w:pPr>
              <w:rPr>
                <w:rFonts w:ascii="Arial" w:hAnsi="Arial" w:cs="Arial"/>
                <w:b/>
                <w:sz w:val="24"/>
                <w:szCs w:val="24"/>
                <w:lang w:val="en-US"/>
              </w:rPr>
            </w:pPr>
          </w:p>
        </w:tc>
        <w:tc>
          <w:tcPr>
            <w:tcW w:w="1417" w:type="dxa"/>
            <w:tcBorders>
              <w:top w:val="nil"/>
            </w:tcBorders>
            <w:shd w:val="clear" w:color="auto" w:fill="FDE9D9" w:themeFill="accent6" w:themeFillTint="33"/>
          </w:tcPr>
          <w:p w:rsidR="00BD71DD" w:rsidRPr="00162D37" w:rsidRDefault="00BD71DD" w:rsidP="00C625DB">
            <w:pPr>
              <w:rPr>
                <w:rFonts w:ascii="Arial" w:hAnsi="Arial" w:cs="Arial"/>
                <w:b/>
                <w:sz w:val="24"/>
                <w:szCs w:val="24"/>
                <w:lang w:val="en-US"/>
              </w:rPr>
            </w:pPr>
          </w:p>
        </w:tc>
        <w:tc>
          <w:tcPr>
            <w:tcW w:w="1418" w:type="dxa"/>
            <w:tcBorders>
              <w:top w:val="nil"/>
            </w:tcBorders>
            <w:shd w:val="clear" w:color="auto" w:fill="FDE9D9" w:themeFill="accent6" w:themeFillTint="33"/>
          </w:tcPr>
          <w:p w:rsidR="00BD71DD" w:rsidRPr="00162D37" w:rsidRDefault="00BD71DD" w:rsidP="00C625DB">
            <w:pPr>
              <w:rPr>
                <w:rFonts w:ascii="Arial" w:hAnsi="Arial" w:cs="Arial"/>
                <w:b/>
                <w:sz w:val="24"/>
                <w:szCs w:val="24"/>
                <w:lang w:val="en-US"/>
              </w:rPr>
            </w:pPr>
          </w:p>
        </w:tc>
        <w:tc>
          <w:tcPr>
            <w:tcW w:w="1289" w:type="dxa"/>
            <w:tcBorders>
              <w:top w:val="nil"/>
            </w:tcBorders>
            <w:shd w:val="clear" w:color="auto" w:fill="FDE9D9" w:themeFill="accent6" w:themeFillTint="33"/>
          </w:tcPr>
          <w:p w:rsidR="00BD71DD" w:rsidRPr="00162D37" w:rsidRDefault="00BD71DD" w:rsidP="00C625DB">
            <w:pPr>
              <w:rPr>
                <w:rFonts w:ascii="Arial" w:hAnsi="Arial" w:cs="Arial"/>
                <w:b/>
                <w:sz w:val="24"/>
                <w:szCs w:val="24"/>
                <w:lang w:val="en-US"/>
              </w:rPr>
            </w:pPr>
          </w:p>
        </w:tc>
        <w:tc>
          <w:tcPr>
            <w:tcW w:w="1120" w:type="dxa"/>
            <w:tcBorders>
              <w:top w:val="nil"/>
            </w:tcBorders>
            <w:shd w:val="clear" w:color="auto" w:fill="FDE9D9" w:themeFill="accent6" w:themeFillTint="33"/>
          </w:tcPr>
          <w:p w:rsidR="00BD71DD" w:rsidRPr="00162D37" w:rsidRDefault="00BD71DD" w:rsidP="00C625DB">
            <w:pPr>
              <w:rPr>
                <w:rFonts w:ascii="Arial" w:hAnsi="Arial" w:cs="Arial"/>
                <w:b/>
                <w:sz w:val="24"/>
                <w:szCs w:val="24"/>
                <w:lang w:val="en-US"/>
              </w:rPr>
            </w:pPr>
          </w:p>
        </w:tc>
        <w:tc>
          <w:tcPr>
            <w:tcW w:w="1418" w:type="dxa"/>
            <w:tcBorders>
              <w:top w:val="nil"/>
            </w:tcBorders>
            <w:shd w:val="clear" w:color="auto" w:fill="FDE9D9" w:themeFill="accent6" w:themeFillTint="33"/>
          </w:tcPr>
          <w:p w:rsidR="00BD71DD" w:rsidRPr="00162D37" w:rsidRDefault="00BD71DD" w:rsidP="00C625DB">
            <w:pPr>
              <w:rPr>
                <w:rFonts w:ascii="Arial" w:hAnsi="Arial" w:cs="Arial"/>
                <w:b/>
                <w:sz w:val="24"/>
                <w:szCs w:val="24"/>
                <w:lang w:val="en-US"/>
              </w:rPr>
            </w:pPr>
          </w:p>
        </w:tc>
      </w:tr>
      <w:tr w:rsidR="00BD71DD" w:rsidRPr="00162D37" w:rsidTr="00E046A5">
        <w:trPr>
          <w:jc w:val="center"/>
        </w:trPr>
        <w:tc>
          <w:tcPr>
            <w:tcW w:w="2476" w:type="dxa"/>
            <w:shd w:val="clear" w:color="auto" w:fill="FDE9D9" w:themeFill="accent6" w:themeFillTint="33"/>
          </w:tcPr>
          <w:p w:rsidR="00BD71DD" w:rsidRPr="00162D37" w:rsidRDefault="00BD71DD" w:rsidP="00C625DB">
            <w:pPr>
              <w:rPr>
                <w:rFonts w:ascii="Arial" w:hAnsi="Arial" w:cs="Arial"/>
                <w:sz w:val="24"/>
                <w:szCs w:val="24"/>
                <w:lang w:val="en-US"/>
              </w:rPr>
            </w:pPr>
            <w:r w:rsidRPr="00162D37">
              <w:rPr>
                <w:rFonts w:ascii="Arial" w:hAnsi="Arial" w:cs="Arial"/>
                <w:sz w:val="24"/>
                <w:szCs w:val="24"/>
                <w:lang w:val="en-US"/>
              </w:rPr>
              <w:t>Impădurire</w:t>
            </w:r>
          </w:p>
        </w:tc>
        <w:tc>
          <w:tcPr>
            <w:tcW w:w="1417"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221</w:t>
            </w:r>
          </w:p>
        </w:tc>
        <w:tc>
          <w:tcPr>
            <w:tcW w:w="1418"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280</w:t>
            </w:r>
          </w:p>
        </w:tc>
        <w:tc>
          <w:tcPr>
            <w:tcW w:w="1289"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444</w:t>
            </w:r>
          </w:p>
        </w:tc>
        <w:tc>
          <w:tcPr>
            <w:tcW w:w="1120"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324</w:t>
            </w:r>
          </w:p>
        </w:tc>
        <w:tc>
          <w:tcPr>
            <w:tcW w:w="1418"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330</w:t>
            </w:r>
          </w:p>
        </w:tc>
      </w:tr>
      <w:tr w:rsidR="00BD71DD" w:rsidRPr="00162D37" w:rsidTr="00E046A5">
        <w:trPr>
          <w:jc w:val="center"/>
        </w:trPr>
        <w:tc>
          <w:tcPr>
            <w:tcW w:w="2476" w:type="dxa"/>
            <w:shd w:val="clear" w:color="auto" w:fill="FDE9D9" w:themeFill="accent6" w:themeFillTint="33"/>
          </w:tcPr>
          <w:p w:rsidR="00BD71DD" w:rsidRPr="00162D37" w:rsidRDefault="00BD71DD" w:rsidP="00C625DB">
            <w:pPr>
              <w:rPr>
                <w:rFonts w:ascii="Arial" w:hAnsi="Arial" w:cs="Arial"/>
                <w:sz w:val="24"/>
                <w:szCs w:val="24"/>
                <w:lang w:val="en-US"/>
              </w:rPr>
            </w:pPr>
            <w:r w:rsidRPr="00162D37">
              <w:rPr>
                <w:rFonts w:ascii="Arial" w:hAnsi="Arial" w:cs="Arial"/>
                <w:sz w:val="24"/>
                <w:szCs w:val="24"/>
                <w:lang w:val="en-US"/>
              </w:rPr>
              <w:t>Regenerare naturală</w:t>
            </w:r>
          </w:p>
        </w:tc>
        <w:tc>
          <w:tcPr>
            <w:tcW w:w="1417"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112</w:t>
            </w:r>
          </w:p>
        </w:tc>
        <w:tc>
          <w:tcPr>
            <w:tcW w:w="1418"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191</w:t>
            </w:r>
          </w:p>
        </w:tc>
        <w:tc>
          <w:tcPr>
            <w:tcW w:w="1289"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130</w:t>
            </w:r>
          </w:p>
        </w:tc>
        <w:tc>
          <w:tcPr>
            <w:tcW w:w="1120"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121</w:t>
            </w:r>
          </w:p>
        </w:tc>
        <w:tc>
          <w:tcPr>
            <w:tcW w:w="1418" w:type="dxa"/>
            <w:shd w:val="clear" w:color="auto" w:fill="FDE9D9" w:themeFill="accent6" w:themeFillTint="33"/>
          </w:tcPr>
          <w:p w:rsidR="00BD71DD" w:rsidRPr="00162D37" w:rsidRDefault="00BD71DD" w:rsidP="00C625DB">
            <w:pPr>
              <w:jc w:val="center"/>
              <w:rPr>
                <w:rFonts w:ascii="Arial" w:eastAsia="Calibri" w:hAnsi="Arial" w:cs="Arial"/>
                <w:sz w:val="24"/>
                <w:szCs w:val="24"/>
              </w:rPr>
            </w:pPr>
            <w:r w:rsidRPr="00162D37">
              <w:rPr>
                <w:rFonts w:ascii="Arial" w:eastAsia="Calibri" w:hAnsi="Arial" w:cs="Arial"/>
                <w:sz w:val="24"/>
                <w:szCs w:val="24"/>
              </w:rPr>
              <w:t>125</w:t>
            </w:r>
          </w:p>
        </w:tc>
      </w:tr>
      <w:tr w:rsidR="00BD71DD" w:rsidRPr="00162D37" w:rsidTr="00E046A5">
        <w:trPr>
          <w:jc w:val="center"/>
        </w:trPr>
        <w:tc>
          <w:tcPr>
            <w:tcW w:w="2476" w:type="dxa"/>
            <w:shd w:val="clear" w:color="auto" w:fill="FDE9D9" w:themeFill="accent6" w:themeFillTint="33"/>
          </w:tcPr>
          <w:p w:rsidR="00BD71DD" w:rsidRPr="00162D37" w:rsidRDefault="00BD71DD" w:rsidP="00C625DB">
            <w:pPr>
              <w:rPr>
                <w:rFonts w:ascii="Arial" w:hAnsi="Arial" w:cs="Arial"/>
                <w:sz w:val="24"/>
                <w:szCs w:val="24"/>
              </w:rPr>
            </w:pPr>
            <w:r w:rsidRPr="00162D37">
              <w:rPr>
                <w:rFonts w:ascii="Arial" w:hAnsi="Arial" w:cs="Arial"/>
                <w:sz w:val="24"/>
                <w:szCs w:val="24"/>
                <w:lang w:val="en-US"/>
              </w:rPr>
              <w:t>Total suprafeţe regenerate</w:t>
            </w:r>
          </w:p>
        </w:tc>
        <w:tc>
          <w:tcPr>
            <w:tcW w:w="1417" w:type="dxa"/>
            <w:shd w:val="clear" w:color="auto" w:fill="FDE9D9" w:themeFill="accent6" w:themeFillTint="33"/>
          </w:tcPr>
          <w:p w:rsidR="00BD71DD" w:rsidRPr="00162D37" w:rsidRDefault="00BD71DD" w:rsidP="00C625DB">
            <w:pPr>
              <w:tabs>
                <w:tab w:val="left" w:pos="1890"/>
              </w:tabs>
              <w:jc w:val="center"/>
              <w:rPr>
                <w:rFonts w:ascii="Arial" w:eastAsia="Calibri" w:hAnsi="Arial" w:cs="Arial"/>
                <w:sz w:val="24"/>
                <w:szCs w:val="24"/>
              </w:rPr>
            </w:pPr>
            <w:r w:rsidRPr="00162D37">
              <w:rPr>
                <w:rFonts w:ascii="Arial" w:eastAsia="Calibri" w:hAnsi="Arial" w:cs="Arial"/>
                <w:sz w:val="24"/>
                <w:szCs w:val="24"/>
              </w:rPr>
              <w:t>333</w:t>
            </w:r>
          </w:p>
        </w:tc>
        <w:tc>
          <w:tcPr>
            <w:tcW w:w="1418" w:type="dxa"/>
            <w:shd w:val="clear" w:color="auto" w:fill="FDE9D9" w:themeFill="accent6" w:themeFillTint="33"/>
          </w:tcPr>
          <w:p w:rsidR="00BD71DD" w:rsidRPr="00162D37" w:rsidRDefault="00BD71DD" w:rsidP="00C625DB">
            <w:pPr>
              <w:tabs>
                <w:tab w:val="left" w:pos="1890"/>
              </w:tabs>
              <w:jc w:val="center"/>
              <w:rPr>
                <w:rFonts w:ascii="Arial" w:eastAsia="Calibri" w:hAnsi="Arial" w:cs="Arial"/>
                <w:sz w:val="24"/>
                <w:szCs w:val="24"/>
              </w:rPr>
            </w:pPr>
            <w:r w:rsidRPr="00162D37">
              <w:rPr>
                <w:rFonts w:ascii="Arial" w:eastAsia="Calibri" w:hAnsi="Arial" w:cs="Arial"/>
                <w:sz w:val="24"/>
                <w:szCs w:val="24"/>
              </w:rPr>
              <w:t>471</w:t>
            </w:r>
          </w:p>
        </w:tc>
        <w:tc>
          <w:tcPr>
            <w:tcW w:w="1289" w:type="dxa"/>
            <w:shd w:val="clear" w:color="auto" w:fill="FDE9D9" w:themeFill="accent6" w:themeFillTint="33"/>
          </w:tcPr>
          <w:p w:rsidR="00BD71DD" w:rsidRPr="00162D37" w:rsidRDefault="00BD71DD" w:rsidP="00C625DB">
            <w:pPr>
              <w:tabs>
                <w:tab w:val="left" w:pos="1890"/>
              </w:tabs>
              <w:jc w:val="center"/>
              <w:rPr>
                <w:rFonts w:ascii="Arial" w:eastAsia="Calibri" w:hAnsi="Arial" w:cs="Arial"/>
                <w:sz w:val="24"/>
                <w:szCs w:val="24"/>
              </w:rPr>
            </w:pPr>
            <w:r w:rsidRPr="00162D37">
              <w:rPr>
                <w:rFonts w:ascii="Arial" w:eastAsia="Calibri" w:hAnsi="Arial" w:cs="Arial"/>
                <w:sz w:val="24"/>
                <w:szCs w:val="24"/>
              </w:rPr>
              <w:t>574</w:t>
            </w:r>
          </w:p>
        </w:tc>
        <w:tc>
          <w:tcPr>
            <w:tcW w:w="1120" w:type="dxa"/>
            <w:shd w:val="clear" w:color="auto" w:fill="FDE9D9" w:themeFill="accent6" w:themeFillTint="33"/>
          </w:tcPr>
          <w:p w:rsidR="00BD71DD" w:rsidRPr="00162D37" w:rsidRDefault="00BD71DD" w:rsidP="00C625DB">
            <w:pPr>
              <w:tabs>
                <w:tab w:val="left" w:pos="1890"/>
              </w:tabs>
              <w:jc w:val="center"/>
              <w:rPr>
                <w:rFonts w:ascii="Arial" w:eastAsia="Calibri" w:hAnsi="Arial" w:cs="Arial"/>
                <w:sz w:val="24"/>
                <w:szCs w:val="24"/>
              </w:rPr>
            </w:pPr>
            <w:r w:rsidRPr="00162D37">
              <w:rPr>
                <w:rFonts w:ascii="Arial" w:eastAsia="Calibri" w:hAnsi="Arial" w:cs="Arial"/>
                <w:sz w:val="24"/>
                <w:szCs w:val="24"/>
              </w:rPr>
              <w:t>203</w:t>
            </w:r>
          </w:p>
        </w:tc>
        <w:tc>
          <w:tcPr>
            <w:tcW w:w="1418" w:type="dxa"/>
            <w:shd w:val="clear" w:color="auto" w:fill="FDE9D9" w:themeFill="accent6" w:themeFillTint="33"/>
          </w:tcPr>
          <w:p w:rsidR="00BD71DD" w:rsidRPr="00162D37" w:rsidRDefault="00BD71DD" w:rsidP="00C625DB">
            <w:pPr>
              <w:tabs>
                <w:tab w:val="left" w:pos="1890"/>
              </w:tabs>
              <w:jc w:val="center"/>
              <w:rPr>
                <w:rFonts w:ascii="Arial" w:eastAsia="Calibri" w:hAnsi="Arial" w:cs="Arial"/>
                <w:sz w:val="24"/>
                <w:szCs w:val="24"/>
              </w:rPr>
            </w:pPr>
            <w:r w:rsidRPr="00162D37">
              <w:rPr>
                <w:rFonts w:ascii="Arial" w:eastAsia="Calibri" w:hAnsi="Arial" w:cs="Arial"/>
                <w:sz w:val="24"/>
                <w:szCs w:val="24"/>
              </w:rPr>
              <w:t>205</w:t>
            </w:r>
          </w:p>
        </w:tc>
      </w:tr>
    </w:tbl>
    <w:p w:rsidR="00BD71DD" w:rsidRPr="00162D37" w:rsidRDefault="00BD71DD" w:rsidP="00C625DB">
      <w:pPr>
        <w:spacing w:after="0" w:line="240" w:lineRule="auto"/>
        <w:rPr>
          <w:rFonts w:ascii="Arial" w:hAnsi="Arial" w:cs="Arial"/>
          <w:b/>
          <w:sz w:val="24"/>
          <w:szCs w:val="24"/>
          <w:lang w:val="en-US"/>
        </w:rPr>
      </w:pPr>
    </w:p>
    <w:p w:rsidR="00BD71DD" w:rsidRPr="00162D37" w:rsidRDefault="00BD71DD" w:rsidP="00C625DB">
      <w:pPr>
        <w:spacing w:after="0" w:line="240" w:lineRule="auto"/>
        <w:jc w:val="center"/>
        <w:rPr>
          <w:rFonts w:ascii="Arial" w:hAnsi="Arial" w:cs="Arial"/>
          <w:b/>
          <w:sz w:val="24"/>
          <w:szCs w:val="24"/>
          <w:lang w:val="en-US"/>
        </w:rPr>
      </w:pPr>
      <w:r w:rsidRPr="00162D37">
        <w:rPr>
          <w:rFonts w:ascii="Arial" w:hAnsi="Arial" w:cs="Arial"/>
          <w:noProof/>
          <w:sz w:val="24"/>
          <w:szCs w:val="24"/>
          <w:lang w:eastAsia="ro-RO"/>
        </w:rPr>
        <w:drawing>
          <wp:inline distT="0" distB="0" distL="0" distR="0">
            <wp:extent cx="3905250" cy="2247900"/>
            <wp:effectExtent l="19050" t="0" r="19050" b="0"/>
            <wp:docPr id="6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162D37">
        <w:rPr>
          <w:rFonts w:ascii="Arial" w:hAnsi="Arial" w:cs="Arial"/>
          <w:b/>
          <w:sz w:val="24"/>
          <w:szCs w:val="24"/>
          <w:lang w:val="en-US"/>
        </w:rPr>
        <w:t xml:space="preserve">                                                   </w:t>
      </w:r>
    </w:p>
    <w:p w:rsidR="002442D1" w:rsidRDefault="002442D1" w:rsidP="00C625DB">
      <w:pPr>
        <w:spacing w:after="0" w:line="240" w:lineRule="auto"/>
        <w:ind w:firstLine="708"/>
        <w:rPr>
          <w:rFonts w:ascii="Arial" w:hAnsi="Arial" w:cs="Arial"/>
          <w:b/>
          <w:sz w:val="24"/>
          <w:szCs w:val="24"/>
          <w:lang w:val="en-US"/>
        </w:rPr>
      </w:pPr>
    </w:p>
    <w:p w:rsidR="00BD71DD" w:rsidRPr="00162D37" w:rsidRDefault="00BD71DD" w:rsidP="00C625DB">
      <w:pPr>
        <w:spacing w:after="0" w:line="240" w:lineRule="auto"/>
        <w:ind w:firstLine="708"/>
        <w:rPr>
          <w:rFonts w:ascii="Arial" w:hAnsi="Arial" w:cs="Arial"/>
          <w:b/>
          <w:sz w:val="24"/>
          <w:szCs w:val="24"/>
          <w:lang w:val="en-US"/>
        </w:rPr>
      </w:pPr>
      <w:r w:rsidRPr="002442D1">
        <w:rPr>
          <w:rFonts w:ascii="Arial" w:hAnsi="Arial" w:cs="Arial"/>
          <w:sz w:val="24"/>
          <w:szCs w:val="24"/>
          <w:lang w:val="en-US"/>
        </w:rPr>
        <w:t>Figura nr. VI.1.4. – 1 Evoluţia</w:t>
      </w:r>
      <w:r w:rsidRPr="00162D37">
        <w:rPr>
          <w:rFonts w:ascii="Arial" w:hAnsi="Arial" w:cs="Arial"/>
          <w:sz w:val="24"/>
          <w:szCs w:val="24"/>
          <w:lang w:val="en-US"/>
        </w:rPr>
        <w:t xml:space="preserve"> suprafeţelor de păduri regenerate la nivel judeţean</w:t>
      </w:r>
    </w:p>
    <w:p w:rsidR="002442D1" w:rsidRDefault="00BD71DD" w:rsidP="00C625DB">
      <w:pPr>
        <w:spacing w:after="0" w:line="240" w:lineRule="auto"/>
        <w:rPr>
          <w:rFonts w:ascii="Arial" w:hAnsi="Arial" w:cs="Arial"/>
          <w:b/>
          <w:sz w:val="24"/>
          <w:szCs w:val="24"/>
          <w:lang w:val="en-US"/>
        </w:rPr>
      </w:pPr>
      <w:r w:rsidRPr="00162D37">
        <w:rPr>
          <w:rFonts w:ascii="Arial" w:hAnsi="Arial" w:cs="Arial"/>
          <w:b/>
          <w:sz w:val="24"/>
          <w:szCs w:val="24"/>
          <w:lang w:val="en-US"/>
        </w:rPr>
        <w:t xml:space="preserve">       </w:t>
      </w:r>
    </w:p>
    <w:p w:rsidR="002442D1" w:rsidRDefault="002442D1" w:rsidP="00C625DB">
      <w:pPr>
        <w:spacing w:after="0" w:line="240" w:lineRule="auto"/>
        <w:rPr>
          <w:rFonts w:ascii="Arial" w:hAnsi="Arial" w:cs="Arial"/>
          <w:b/>
          <w:sz w:val="24"/>
          <w:szCs w:val="24"/>
          <w:lang w:val="en-US"/>
        </w:rPr>
      </w:pPr>
    </w:p>
    <w:p w:rsidR="00BD71DD" w:rsidRPr="00162D37" w:rsidRDefault="00BD71DD" w:rsidP="00C625DB">
      <w:pPr>
        <w:spacing w:after="0" w:line="240" w:lineRule="auto"/>
        <w:rPr>
          <w:rFonts w:ascii="Arial" w:hAnsi="Arial" w:cs="Arial"/>
          <w:b/>
          <w:sz w:val="24"/>
          <w:szCs w:val="24"/>
          <w:lang w:val="en-US"/>
        </w:rPr>
      </w:pPr>
      <w:r w:rsidRPr="00162D37">
        <w:rPr>
          <w:rFonts w:ascii="Arial" w:hAnsi="Arial" w:cs="Arial"/>
          <w:b/>
          <w:i/>
          <w:sz w:val="24"/>
          <w:szCs w:val="24"/>
          <w:lang w:val="en-US"/>
        </w:rPr>
        <w:t>VI.1.5. Zone cu deficit de vegetaţie forestieră şi disponibilităţi de împădurire</w:t>
      </w:r>
    </w:p>
    <w:p w:rsidR="00BD71DD" w:rsidRPr="00162D37" w:rsidRDefault="00BD71DD" w:rsidP="00C625DB">
      <w:pPr>
        <w:pStyle w:val="BodyText"/>
        <w:spacing w:after="0" w:line="240" w:lineRule="auto"/>
        <w:jc w:val="both"/>
        <w:rPr>
          <w:rFonts w:ascii="Arial" w:hAnsi="Arial" w:cs="Arial"/>
          <w:sz w:val="24"/>
          <w:szCs w:val="24"/>
          <w:lang w:val="ro-RO"/>
        </w:rPr>
      </w:pPr>
      <w:r w:rsidRPr="00162D37">
        <w:rPr>
          <w:rFonts w:ascii="Arial" w:hAnsi="Arial" w:cs="Arial"/>
          <w:sz w:val="24"/>
          <w:szCs w:val="24"/>
          <w:lang w:val="ro-RO"/>
        </w:rPr>
        <w:t xml:space="preserve">Judeţul </w:t>
      </w:r>
      <w:r w:rsidR="00217620">
        <w:rPr>
          <w:rFonts w:ascii="Arial" w:hAnsi="Arial" w:cs="Arial"/>
          <w:sz w:val="24"/>
          <w:szCs w:val="24"/>
          <w:lang w:val="ro-RO"/>
        </w:rPr>
        <w:t>Brăila</w:t>
      </w:r>
      <w:r w:rsidRPr="00162D37">
        <w:rPr>
          <w:rFonts w:ascii="Arial" w:hAnsi="Arial" w:cs="Arial"/>
          <w:sz w:val="24"/>
          <w:szCs w:val="24"/>
          <w:lang w:val="ro-RO"/>
        </w:rPr>
        <w:t xml:space="preserve"> este zonă deficitară în păduri deoarece suprafaţa acestora reprezintă numai 5,88% din suprafaţa totală a judeţului.</w:t>
      </w:r>
    </w:p>
    <w:p w:rsidR="00BD71DD" w:rsidRPr="00162D37" w:rsidRDefault="00BD71DD" w:rsidP="00C625DB">
      <w:pPr>
        <w:pStyle w:val="BodyText"/>
        <w:spacing w:after="0" w:line="240" w:lineRule="auto"/>
        <w:jc w:val="both"/>
        <w:rPr>
          <w:rFonts w:ascii="Arial" w:hAnsi="Arial" w:cs="Arial"/>
          <w:sz w:val="24"/>
          <w:szCs w:val="24"/>
          <w:lang w:val="ro-RO"/>
        </w:rPr>
      </w:pPr>
    </w:p>
    <w:p w:rsidR="00BD71DD" w:rsidRPr="002442D1" w:rsidRDefault="00BD71DD" w:rsidP="00C625DB">
      <w:pPr>
        <w:spacing w:after="0" w:line="240" w:lineRule="auto"/>
        <w:rPr>
          <w:rFonts w:ascii="Arial" w:hAnsi="Arial" w:cs="Arial"/>
          <w:sz w:val="24"/>
          <w:szCs w:val="24"/>
          <w:lang w:val="en-US"/>
        </w:rPr>
      </w:pPr>
      <w:r w:rsidRPr="002442D1">
        <w:rPr>
          <w:rFonts w:ascii="Arial" w:hAnsi="Arial" w:cs="Arial"/>
          <w:sz w:val="24"/>
          <w:szCs w:val="24"/>
          <w:lang w:val="en-US"/>
        </w:rPr>
        <w:t>Tabelul nr. VI.1.5. -1 Zone cu deficit de vegetaţie forestieră şi disponibilităţi de împădurire</w:t>
      </w:r>
    </w:p>
    <w:tbl>
      <w:tblPr>
        <w:tblStyle w:val="TableGrid"/>
        <w:tblW w:w="0" w:type="auto"/>
        <w:jc w:val="center"/>
        <w:tblInd w:w="1951" w:type="dxa"/>
        <w:shd w:val="clear" w:color="auto" w:fill="FDE9D9" w:themeFill="accent6" w:themeFillTint="33"/>
        <w:tblLook w:val="04A0"/>
      </w:tblPr>
      <w:tblGrid>
        <w:gridCol w:w="1418"/>
        <w:gridCol w:w="4005"/>
      </w:tblGrid>
      <w:tr w:rsidR="00BD71DD" w:rsidRPr="00162D37" w:rsidTr="00DC03E4">
        <w:trPr>
          <w:jc w:val="center"/>
        </w:trPr>
        <w:tc>
          <w:tcPr>
            <w:tcW w:w="1418" w:type="dxa"/>
            <w:shd w:val="clear" w:color="auto" w:fill="auto"/>
          </w:tcPr>
          <w:p w:rsidR="00BD71DD" w:rsidRPr="00162D37" w:rsidRDefault="00BD71DD" w:rsidP="00C625DB">
            <w:pPr>
              <w:rPr>
                <w:rFonts w:ascii="Arial" w:hAnsi="Arial" w:cs="Arial"/>
                <w:sz w:val="24"/>
                <w:szCs w:val="24"/>
                <w:lang w:val="en-US"/>
              </w:rPr>
            </w:pPr>
            <w:r w:rsidRPr="00162D37">
              <w:rPr>
                <w:rFonts w:ascii="Arial" w:hAnsi="Arial" w:cs="Arial"/>
                <w:sz w:val="24"/>
                <w:szCs w:val="24"/>
                <w:lang w:val="en-US"/>
              </w:rPr>
              <w:t>Judeţ</w:t>
            </w:r>
          </w:p>
        </w:tc>
        <w:tc>
          <w:tcPr>
            <w:tcW w:w="4005" w:type="dxa"/>
            <w:shd w:val="clear" w:color="auto" w:fill="auto"/>
          </w:tcPr>
          <w:p w:rsidR="00BD71DD" w:rsidRPr="00162D37" w:rsidRDefault="00BD71DD" w:rsidP="00C625DB">
            <w:pPr>
              <w:rPr>
                <w:rFonts w:ascii="Arial" w:hAnsi="Arial" w:cs="Arial"/>
                <w:sz w:val="24"/>
                <w:szCs w:val="24"/>
                <w:lang w:val="en-US"/>
              </w:rPr>
            </w:pPr>
            <w:r w:rsidRPr="00162D37">
              <w:rPr>
                <w:rFonts w:ascii="Arial" w:hAnsi="Arial" w:cs="Arial"/>
                <w:sz w:val="24"/>
                <w:szCs w:val="24"/>
                <w:lang w:val="en-US"/>
              </w:rPr>
              <w:t>Procent de ocupare cu păduri (%)</w:t>
            </w:r>
          </w:p>
        </w:tc>
      </w:tr>
      <w:tr w:rsidR="00BD71DD" w:rsidRPr="00162D37" w:rsidTr="00DC03E4">
        <w:trPr>
          <w:jc w:val="center"/>
        </w:trPr>
        <w:tc>
          <w:tcPr>
            <w:tcW w:w="1418" w:type="dxa"/>
            <w:shd w:val="clear" w:color="auto" w:fill="auto"/>
          </w:tcPr>
          <w:p w:rsidR="00BD71DD" w:rsidRPr="00162D37" w:rsidRDefault="00217620" w:rsidP="00C625DB">
            <w:pPr>
              <w:rPr>
                <w:rFonts w:ascii="Arial" w:hAnsi="Arial" w:cs="Arial"/>
                <w:sz w:val="24"/>
                <w:szCs w:val="24"/>
                <w:lang w:val="en-US"/>
              </w:rPr>
            </w:pPr>
            <w:r>
              <w:rPr>
                <w:rFonts w:ascii="Arial" w:hAnsi="Arial" w:cs="Arial"/>
                <w:sz w:val="24"/>
                <w:szCs w:val="24"/>
                <w:lang w:val="en-US"/>
              </w:rPr>
              <w:t>Brăila</w:t>
            </w:r>
          </w:p>
        </w:tc>
        <w:tc>
          <w:tcPr>
            <w:tcW w:w="4005" w:type="dxa"/>
            <w:shd w:val="clear" w:color="auto" w:fill="auto"/>
          </w:tcPr>
          <w:p w:rsidR="00BD71DD" w:rsidRPr="00162D37" w:rsidRDefault="00BD71DD" w:rsidP="00C625DB">
            <w:pPr>
              <w:jc w:val="center"/>
              <w:rPr>
                <w:rFonts w:ascii="Arial" w:hAnsi="Arial" w:cs="Arial"/>
                <w:sz w:val="24"/>
                <w:szCs w:val="24"/>
                <w:lang w:val="en-US"/>
              </w:rPr>
            </w:pPr>
            <w:r w:rsidRPr="00162D37">
              <w:rPr>
                <w:rFonts w:ascii="Arial" w:hAnsi="Arial" w:cs="Arial"/>
                <w:sz w:val="24"/>
                <w:szCs w:val="24"/>
                <w:lang w:val="en-US"/>
              </w:rPr>
              <w:t>5,92</w:t>
            </w:r>
          </w:p>
        </w:tc>
      </w:tr>
    </w:tbl>
    <w:p w:rsidR="00BD71DD" w:rsidRPr="00162D37" w:rsidRDefault="00BD71DD" w:rsidP="00C625DB">
      <w:pPr>
        <w:spacing w:after="0" w:line="240" w:lineRule="auto"/>
        <w:rPr>
          <w:rFonts w:ascii="Arial" w:hAnsi="Arial" w:cs="Arial"/>
          <w:b/>
          <w:sz w:val="24"/>
          <w:szCs w:val="24"/>
          <w:lang w:val="en-US"/>
        </w:rPr>
      </w:pPr>
    </w:p>
    <w:p w:rsidR="009474A2" w:rsidRPr="00162D37" w:rsidRDefault="009474A2" w:rsidP="00C625DB">
      <w:pPr>
        <w:spacing w:after="0" w:line="240" w:lineRule="auto"/>
        <w:rPr>
          <w:rFonts w:ascii="Arial" w:hAnsi="Arial" w:cs="Arial"/>
          <w:b/>
          <w:sz w:val="24"/>
          <w:szCs w:val="24"/>
          <w:lang w:val="en-US"/>
        </w:rPr>
      </w:pPr>
    </w:p>
    <w:p w:rsidR="009474A2" w:rsidRPr="00162D37" w:rsidRDefault="009474A2" w:rsidP="00C625DB">
      <w:pPr>
        <w:spacing w:after="0" w:line="240" w:lineRule="auto"/>
        <w:rPr>
          <w:rFonts w:ascii="Arial" w:hAnsi="Arial" w:cs="Arial"/>
          <w:b/>
          <w:sz w:val="24"/>
          <w:szCs w:val="24"/>
          <w:lang w:val="en-US"/>
        </w:rPr>
      </w:pPr>
      <w:r w:rsidRPr="00162D37">
        <w:rPr>
          <w:rFonts w:ascii="Arial" w:hAnsi="Arial" w:cs="Arial"/>
          <w:b/>
          <w:sz w:val="24"/>
          <w:szCs w:val="24"/>
          <w:lang w:val="en-US"/>
        </w:rPr>
        <w:t>VI.2. Ameninţări şi presiuni exercitate asupra pădurilor, anul 201</w:t>
      </w:r>
      <w:r w:rsidR="00972F0D" w:rsidRPr="00162D37">
        <w:rPr>
          <w:rFonts w:ascii="Arial" w:hAnsi="Arial" w:cs="Arial"/>
          <w:b/>
          <w:sz w:val="24"/>
          <w:szCs w:val="24"/>
          <w:lang w:val="en-US"/>
        </w:rPr>
        <w:t>6</w:t>
      </w:r>
    </w:p>
    <w:p w:rsidR="009474A2" w:rsidRPr="00162D37" w:rsidRDefault="009474A2" w:rsidP="00C625DB">
      <w:pPr>
        <w:pStyle w:val="Default"/>
        <w:rPr>
          <w:rFonts w:ascii="Arial" w:hAnsi="Arial" w:cs="Arial"/>
          <w:color w:val="auto"/>
        </w:rPr>
      </w:pPr>
      <w:r w:rsidRPr="00162D37">
        <w:rPr>
          <w:rFonts w:ascii="Arial" w:hAnsi="Arial" w:cs="Arial"/>
          <w:color w:val="auto"/>
        </w:rPr>
        <w:t xml:space="preserve">Principalele ameninţări care afectează pădurile sunt: </w:t>
      </w:r>
    </w:p>
    <w:p w:rsidR="00486DC1" w:rsidRPr="00162D37" w:rsidRDefault="00486DC1" w:rsidP="00252ED3">
      <w:pPr>
        <w:pStyle w:val="Default"/>
        <w:numPr>
          <w:ilvl w:val="0"/>
          <w:numId w:val="39"/>
        </w:numPr>
        <w:rPr>
          <w:rFonts w:ascii="Arial" w:hAnsi="Arial" w:cs="Arial"/>
          <w:color w:val="auto"/>
        </w:rPr>
      </w:pPr>
      <w:r w:rsidRPr="00162D37">
        <w:rPr>
          <w:rFonts w:ascii="Arial" w:hAnsi="Arial" w:cs="Arial"/>
          <w:color w:val="auto"/>
        </w:rPr>
        <w:t xml:space="preserve">schimbările climatice, inclusiv incendiile de pădure </w:t>
      </w:r>
    </w:p>
    <w:p w:rsidR="009474A2" w:rsidRPr="00162D37" w:rsidRDefault="009474A2" w:rsidP="00252ED3">
      <w:pPr>
        <w:pStyle w:val="Default"/>
        <w:numPr>
          <w:ilvl w:val="0"/>
          <w:numId w:val="39"/>
        </w:numPr>
        <w:rPr>
          <w:rFonts w:ascii="Arial" w:hAnsi="Arial" w:cs="Arial"/>
          <w:color w:val="auto"/>
        </w:rPr>
      </w:pPr>
      <w:r w:rsidRPr="00162D37">
        <w:rPr>
          <w:rFonts w:ascii="Arial" w:hAnsi="Arial" w:cs="Arial"/>
          <w:color w:val="auto"/>
        </w:rPr>
        <w:t xml:space="preserve">degradarea pădurilor, din cauza dăunătorilor sau bolilor sau a speciilor invazive </w:t>
      </w:r>
    </w:p>
    <w:p w:rsidR="00972F0D" w:rsidRPr="00162D37" w:rsidRDefault="00972F0D" w:rsidP="00252ED3">
      <w:pPr>
        <w:pStyle w:val="Default"/>
        <w:numPr>
          <w:ilvl w:val="0"/>
          <w:numId w:val="39"/>
        </w:numPr>
        <w:rPr>
          <w:rFonts w:ascii="Arial" w:hAnsi="Arial" w:cs="Arial"/>
          <w:color w:val="auto"/>
        </w:rPr>
      </w:pPr>
      <w:r w:rsidRPr="00162D37">
        <w:rPr>
          <w:rFonts w:ascii="Arial" w:hAnsi="Arial" w:cs="Arial"/>
          <w:color w:val="auto"/>
        </w:rPr>
        <w:t xml:space="preserve">fragmentarea ecosistemelor </w:t>
      </w:r>
    </w:p>
    <w:p w:rsidR="00972F0D" w:rsidRPr="00162D37" w:rsidRDefault="00972F0D" w:rsidP="00252ED3">
      <w:pPr>
        <w:pStyle w:val="Default"/>
        <w:numPr>
          <w:ilvl w:val="0"/>
          <w:numId w:val="39"/>
        </w:numPr>
        <w:rPr>
          <w:rFonts w:ascii="Arial" w:hAnsi="Arial" w:cs="Arial"/>
          <w:color w:val="auto"/>
        </w:rPr>
      </w:pPr>
      <w:r w:rsidRPr="00162D37">
        <w:rPr>
          <w:rFonts w:ascii="Arial" w:hAnsi="Arial" w:cs="Arial"/>
          <w:color w:val="auto"/>
        </w:rPr>
        <w:t xml:space="preserve">defrişările ilegale </w:t>
      </w:r>
    </w:p>
    <w:p w:rsidR="009474A2" w:rsidRPr="00162D37" w:rsidRDefault="009474A2" w:rsidP="00252ED3">
      <w:pPr>
        <w:pStyle w:val="Default"/>
        <w:numPr>
          <w:ilvl w:val="0"/>
          <w:numId w:val="39"/>
        </w:numPr>
        <w:rPr>
          <w:rFonts w:ascii="Arial" w:hAnsi="Arial" w:cs="Arial"/>
          <w:color w:val="auto"/>
        </w:rPr>
      </w:pPr>
      <w:r w:rsidRPr="00162D37">
        <w:rPr>
          <w:rFonts w:ascii="Arial" w:hAnsi="Arial" w:cs="Arial"/>
          <w:color w:val="auto"/>
        </w:rPr>
        <w:t>turismul negestiona</w:t>
      </w:r>
      <w:r w:rsidR="007A3783" w:rsidRPr="00162D37">
        <w:rPr>
          <w:rFonts w:ascii="Arial" w:hAnsi="Arial" w:cs="Arial"/>
          <w:color w:val="auto"/>
        </w:rPr>
        <w:t>, mai ale turismul de week end</w:t>
      </w:r>
      <w:r w:rsidRPr="00162D37">
        <w:rPr>
          <w:rFonts w:ascii="Arial" w:hAnsi="Arial" w:cs="Arial"/>
          <w:color w:val="auto"/>
        </w:rPr>
        <w:t xml:space="preserve">. </w:t>
      </w:r>
    </w:p>
    <w:p w:rsidR="009474A2" w:rsidRPr="00162D37" w:rsidRDefault="009474A2" w:rsidP="00C625DB">
      <w:pPr>
        <w:pStyle w:val="Heading1"/>
        <w:spacing w:before="0" w:after="0"/>
        <w:ind w:firstLine="720"/>
        <w:rPr>
          <w:b w:val="0"/>
          <w:sz w:val="24"/>
          <w:szCs w:val="24"/>
          <w:lang w:val="ro-RO"/>
        </w:rPr>
      </w:pPr>
    </w:p>
    <w:p w:rsidR="009474A2" w:rsidRPr="00162D37" w:rsidRDefault="009474A2" w:rsidP="00C625DB">
      <w:pPr>
        <w:pStyle w:val="Heading1"/>
        <w:spacing w:before="0" w:after="0"/>
        <w:rPr>
          <w:sz w:val="24"/>
          <w:szCs w:val="24"/>
          <w:lang w:val="ro-RO"/>
        </w:rPr>
      </w:pPr>
      <w:r w:rsidRPr="00162D37">
        <w:rPr>
          <w:sz w:val="24"/>
          <w:szCs w:val="24"/>
          <w:lang w:val="ro-RO"/>
        </w:rPr>
        <w:t>Sensibilizarea publicului</w:t>
      </w:r>
    </w:p>
    <w:p w:rsidR="009474A2" w:rsidRPr="00162D37" w:rsidRDefault="009474A2" w:rsidP="00C625DB">
      <w:pPr>
        <w:spacing w:after="0" w:line="240" w:lineRule="auto"/>
        <w:ind w:firstLine="708"/>
        <w:jc w:val="both"/>
        <w:rPr>
          <w:rFonts w:ascii="Arial" w:hAnsi="Arial" w:cs="Arial"/>
          <w:b/>
          <w:sz w:val="24"/>
          <w:szCs w:val="24"/>
          <w:lang w:val="en-US"/>
        </w:rPr>
      </w:pPr>
      <w:r w:rsidRPr="00162D37">
        <w:rPr>
          <w:rFonts w:ascii="Arial" w:hAnsi="Arial" w:cs="Arial"/>
          <w:sz w:val="24"/>
          <w:szCs w:val="24"/>
        </w:rPr>
        <w:t xml:space="preserve">Metodele folosite pentru informarea publicului asupra rolului şi importanţei pădurii pentru societatea omenească au constat în amplasarea de panouri informative şi de conştientizare, confecţionarea de pliante informative şi distribuirea acestora, precum şi acţiuni de patrulare ale personalului silvic în zonele de turism de week-end, în scopul prevenirii şi combaterii fenomenelor de agresiune asupra zonelor împădurite. Informarea publică se amplifică în perioada 15 martie - 15 aprilie, când se desfăşoară acţiuni specifice Lunii Pădurii la nivel naţional. Pentru prevenirea, descoperirea şi sancţionarea infracţiunilor şi contravenţiilor silvice referitoare la tăieri ilegale de arbori, </w:t>
      </w:r>
      <w:r w:rsidR="007C1699">
        <w:rPr>
          <w:rFonts w:ascii="Arial" w:hAnsi="Arial" w:cs="Arial"/>
          <w:sz w:val="24"/>
          <w:szCs w:val="24"/>
        </w:rPr>
        <w:t>BR</w:t>
      </w:r>
      <w:r w:rsidRPr="00162D37">
        <w:rPr>
          <w:rFonts w:ascii="Arial" w:hAnsi="Arial" w:cs="Arial"/>
          <w:sz w:val="24"/>
          <w:szCs w:val="24"/>
        </w:rPr>
        <w:t xml:space="preserve">aconaj, păşunat abuziv şi altele, personalul silvic în colaborare cu organele de poliţie organizează permanent acţiuni de patrulare, pânde fixe şi controale ale circulaţiei materialului lemnos. </w:t>
      </w:r>
    </w:p>
    <w:p w:rsidR="002442D1" w:rsidRDefault="009474A2" w:rsidP="00C625DB">
      <w:pPr>
        <w:spacing w:after="0" w:line="240" w:lineRule="auto"/>
        <w:rPr>
          <w:rFonts w:ascii="Arial" w:hAnsi="Arial" w:cs="Arial"/>
          <w:b/>
          <w:i/>
          <w:sz w:val="24"/>
          <w:szCs w:val="24"/>
          <w:lang w:val="en-US"/>
        </w:rPr>
      </w:pPr>
      <w:r w:rsidRPr="00162D37">
        <w:rPr>
          <w:rFonts w:ascii="Arial" w:hAnsi="Arial" w:cs="Arial"/>
          <w:b/>
          <w:i/>
          <w:sz w:val="24"/>
          <w:szCs w:val="24"/>
          <w:lang w:val="en-US"/>
        </w:rPr>
        <w:t xml:space="preserve">        </w:t>
      </w:r>
    </w:p>
    <w:p w:rsidR="009474A2" w:rsidRPr="00162D37" w:rsidRDefault="009474A2" w:rsidP="00C625DB">
      <w:pPr>
        <w:spacing w:after="0" w:line="240" w:lineRule="auto"/>
        <w:rPr>
          <w:rFonts w:ascii="Arial" w:hAnsi="Arial" w:cs="Arial"/>
          <w:b/>
          <w:sz w:val="24"/>
          <w:szCs w:val="24"/>
          <w:lang w:val="en-US"/>
        </w:rPr>
      </w:pPr>
      <w:r w:rsidRPr="00162D37">
        <w:rPr>
          <w:rFonts w:ascii="Arial" w:hAnsi="Arial" w:cs="Arial"/>
          <w:b/>
          <w:i/>
          <w:sz w:val="24"/>
          <w:szCs w:val="24"/>
          <w:lang w:val="en-US"/>
        </w:rPr>
        <w:t>VI.2.1. Suprafeţe de pădure parcurse cu tăieri</w:t>
      </w:r>
    </w:p>
    <w:p w:rsidR="002442D1" w:rsidRDefault="002442D1" w:rsidP="00C625DB">
      <w:pPr>
        <w:spacing w:after="0" w:line="240" w:lineRule="auto"/>
        <w:rPr>
          <w:rFonts w:ascii="Arial" w:hAnsi="Arial" w:cs="Arial"/>
          <w:sz w:val="24"/>
          <w:szCs w:val="24"/>
          <w:lang w:val="en-US"/>
        </w:rPr>
      </w:pPr>
    </w:p>
    <w:p w:rsidR="00486DC1" w:rsidRPr="00162D37" w:rsidRDefault="00486DC1" w:rsidP="00C625DB">
      <w:pPr>
        <w:spacing w:after="0" w:line="240" w:lineRule="auto"/>
        <w:rPr>
          <w:rFonts w:ascii="Arial" w:hAnsi="Arial" w:cs="Arial"/>
          <w:sz w:val="24"/>
          <w:szCs w:val="24"/>
          <w:lang w:val="en-US"/>
        </w:rPr>
      </w:pPr>
      <w:r w:rsidRPr="00162D37">
        <w:rPr>
          <w:rFonts w:ascii="Arial" w:hAnsi="Arial" w:cs="Arial"/>
          <w:sz w:val="24"/>
          <w:szCs w:val="24"/>
          <w:lang w:val="en-US"/>
        </w:rPr>
        <w:t>Tabelul nr.</w:t>
      </w:r>
      <w:r w:rsidRPr="00162D37">
        <w:rPr>
          <w:rFonts w:ascii="Arial" w:hAnsi="Arial" w:cs="Arial"/>
          <w:b/>
          <w:sz w:val="24"/>
          <w:szCs w:val="24"/>
          <w:lang w:val="en-US"/>
        </w:rPr>
        <w:t xml:space="preserve"> </w:t>
      </w:r>
      <w:r w:rsidRPr="002442D1">
        <w:rPr>
          <w:rFonts w:ascii="Arial" w:hAnsi="Arial" w:cs="Arial"/>
          <w:sz w:val="24"/>
          <w:szCs w:val="24"/>
          <w:lang w:val="en-US"/>
        </w:rPr>
        <w:t>VI.2.1. -1</w:t>
      </w:r>
      <w:r w:rsidRPr="00162D37">
        <w:rPr>
          <w:rFonts w:ascii="Arial" w:hAnsi="Arial" w:cs="Arial"/>
          <w:b/>
          <w:sz w:val="24"/>
          <w:szCs w:val="24"/>
          <w:lang w:val="en-US"/>
        </w:rPr>
        <w:t xml:space="preserve"> </w:t>
      </w:r>
      <w:r w:rsidRPr="00162D37">
        <w:rPr>
          <w:rFonts w:ascii="Arial" w:hAnsi="Arial" w:cs="Arial"/>
          <w:sz w:val="24"/>
          <w:szCs w:val="24"/>
          <w:lang w:val="en-US"/>
        </w:rPr>
        <w:t xml:space="preserve"> Suprafaţa parcursă de tăieri pe tipul de tăieri în perioada 2012-2016</w:t>
      </w:r>
    </w:p>
    <w:tbl>
      <w:tblPr>
        <w:tblStyle w:val="TableGrid"/>
        <w:tblW w:w="0" w:type="auto"/>
        <w:jc w:val="center"/>
        <w:tblInd w:w="392" w:type="dxa"/>
        <w:shd w:val="clear" w:color="auto" w:fill="FDE9D9" w:themeFill="accent6" w:themeFillTint="33"/>
        <w:tblLayout w:type="fixed"/>
        <w:tblLook w:val="04A0"/>
      </w:tblPr>
      <w:tblGrid>
        <w:gridCol w:w="4111"/>
        <w:gridCol w:w="850"/>
        <w:gridCol w:w="992"/>
        <w:gridCol w:w="993"/>
        <w:gridCol w:w="992"/>
        <w:gridCol w:w="958"/>
      </w:tblGrid>
      <w:tr w:rsidR="00486DC1" w:rsidRPr="00162D37" w:rsidTr="00E046A5">
        <w:trPr>
          <w:jc w:val="center"/>
        </w:trPr>
        <w:tc>
          <w:tcPr>
            <w:tcW w:w="4111" w:type="dxa"/>
            <w:tcBorders>
              <w:bottom w:val="nil"/>
            </w:tcBorders>
            <w:shd w:val="clear" w:color="auto" w:fill="FDE9D9" w:themeFill="accent6" w:themeFillTint="33"/>
          </w:tcPr>
          <w:p w:rsidR="00486DC1" w:rsidRPr="00162D37" w:rsidRDefault="00486DC1" w:rsidP="00C625DB">
            <w:pPr>
              <w:rPr>
                <w:rFonts w:ascii="Arial" w:hAnsi="Arial" w:cs="Arial"/>
                <w:sz w:val="24"/>
                <w:szCs w:val="24"/>
                <w:lang w:val="en-US"/>
              </w:rPr>
            </w:pPr>
            <w:r w:rsidRPr="00162D37">
              <w:rPr>
                <w:rFonts w:ascii="Arial" w:hAnsi="Arial" w:cs="Arial"/>
                <w:sz w:val="24"/>
                <w:szCs w:val="24"/>
                <w:lang w:val="en-US"/>
              </w:rPr>
              <w:t>Tipul de tăieri</w:t>
            </w:r>
          </w:p>
        </w:tc>
        <w:tc>
          <w:tcPr>
            <w:tcW w:w="4785" w:type="dxa"/>
            <w:gridSpan w:val="5"/>
            <w:shd w:val="clear" w:color="auto" w:fill="FDE9D9" w:themeFill="accent6" w:themeFillTint="33"/>
          </w:tcPr>
          <w:p w:rsidR="00486DC1" w:rsidRPr="00DC03E4" w:rsidRDefault="00486DC1" w:rsidP="00DC03E4">
            <w:pPr>
              <w:jc w:val="center"/>
              <w:rPr>
                <w:rFonts w:ascii="Arial" w:hAnsi="Arial" w:cs="Arial"/>
                <w:b/>
                <w:sz w:val="24"/>
                <w:szCs w:val="24"/>
                <w:lang w:val="en-US"/>
              </w:rPr>
            </w:pPr>
            <w:r w:rsidRPr="00DC03E4">
              <w:rPr>
                <w:rFonts w:ascii="Arial" w:hAnsi="Arial" w:cs="Arial"/>
                <w:b/>
                <w:sz w:val="24"/>
                <w:szCs w:val="24"/>
                <w:lang w:val="en-US"/>
              </w:rPr>
              <w:t>Suprafața parcursă cu tăieri (ha)</w:t>
            </w:r>
          </w:p>
        </w:tc>
      </w:tr>
      <w:tr w:rsidR="00486DC1" w:rsidRPr="00162D37" w:rsidTr="00E046A5">
        <w:trPr>
          <w:jc w:val="center"/>
        </w:trPr>
        <w:tc>
          <w:tcPr>
            <w:tcW w:w="4111" w:type="dxa"/>
            <w:tcBorders>
              <w:top w:val="nil"/>
            </w:tcBorders>
            <w:shd w:val="clear" w:color="auto" w:fill="FDE9D9" w:themeFill="accent6" w:themeFillTint="33"/>
          </w:tcPr>
          <w:p w:rsidR="00486DC1" w:rsidRPr="00162D37" w:rsidRDefault="00486DC1" w:rsidP="00C625DB">
            <w:pPr>
              <w:rPr>
                <w:rFonts w:ascii="Arial" w:hAnsi="Arial" w:cs="Arial"/>
                <w:sz w:val="24"/>
                <w:szCs w:val="24"/>
                <w:lang w:val="en-US"/>
              </w:rPr>
            </w:pPr>
          </w:p>
        </w:tc>
        <w:tc>
          <w:tcPr>
            <w:tcW w:w="850" w:type="dxa"/>
            <w:shd w:val="clear" w:color="auto" w:fill="FDE9D9" w:themeFill="accent6" w:themeFillTint="33"/>
          </w:tcPr>
          <w:p w:rsidR="00486DC1" w:rsidRPr="00DC03E4" w:rsidRDefault="00486DC1" w:rsidP="00DC03E4">
            <w:pPr>
              <w:jc w:val="center"/>
              <w:rPr>
                <w:rFonts w:ascii="Arial" w:hAnsi="Arial" w:cs="Arial"/>
                <w:b/>
                <w:sz w:val="24"/>
                <w:szCs w:val="24"/>
                <w:lang w:val="en-US"/>
              </w:rPr>
            </w:pPr>
            <w:r w:rsidRPr="00DC03E4">
              <w:rPr>
                <w:rFonts w:ascii="Arial" w:hAnsi="Arial" w:cs="Arial"/>
                <w:b/>
                <w:sz w:val="24"/>
                <w:szCs w:val="24"/>
                <w:lang w:val="en-US"/>
              </w:rPr>
              <w:t>2012</w:t>
            </w:r>
          </w:p>
        </w:tc>
        <w:tc>
          <w:tcPr>
            <w:tcW w:w="992" w:type="dxa"/>
            <w:shd w:val="clear" w:color="auto" w:fill="FDE9D9" w:themeFill="accent6" w:themeFillTint="33"/>
          </w:tcPr>
          <w:p w:rsidR="00486DC1" w:rsidRPr="00DC03E4" w:rsidRDefault="00486DC1" w:rsidP="00DC03E4">
            <w:pPr>
              <w:jc w:val="center"/>
              <w:rPr>
                <w:rFonts w:ascii="Arial" w:hAnsi="Arial" w:cs="Arial"/>
                <w:b/>
                <w:sz w:val="24"/>
                <w:szCs w:val="24"/>
                <w:lang w:val="en-US"/>
              </w:rPr>
            </w:pPr>
            <w:r w:rsidRPr="00DC03E4">
              <w:rPr>
                <w:rFonts w:ascii="Arial" w:hAnsi="Arial" w:cs="Arial"/>
                <w:b/>
                <w:sz w:val="24"/>
                <w:szCs w:val="24"/>
                <w:lang w:val="en-US"/>
              </w:rPr>
              <w:t>2013</w:t>
            </w:r>
          </w:p>
        </w:tc>
        <w:tc>
          <w:tcPr>
            <w:tcW w:w="993" w:type="dxa"/>
            <w:shd w:val="clear" w:color="auto" w:fill="FDE9D9" w:themeFill="accent6" w:themeFillTint="33"/>
          </w:tcPr>
          <w:p w:rsidR="00486DC1" w:rsidRPr="00DC03E4" w:rsidRDefault="00486DC1" w:rsidP="00DC03E4">
            <w:pPr>
              <w:jc w:val="center"/>
              <w:rPr>
                <w:rFonts w:ascii="Arial" w:hAnsi="Arial" w:cs="Arial"/>
                <w:b/>
                <w:sz w:val="24"/>
                <w:szCs w:val="24"/>
                <w:lang w:val="en-US"/>
              </w:rPr>
            </w:pPr>
            <w:r w:rsidRPr="00DC03E4">
              <w:rPr>
                <w:rFonts w:ascii="Arial" w:hAnsi="Arial" w:cs="Arial"/>
                <w:b/>
                <w:sz w:val="24"/>
                <w:szCs w:val="24"/>
                <w:lang w:val="en-US"/>
              </w:rPr>
              <w:t>2014</w:t>
            </w:r>
          </w:p>
        </w:tc>
        <w:tc>
          <w:tcPr>
            <w:tcW w:w="992" w:type="dxa"/>
            <w:shd w:val="clear" w:color="auto" w:fill="FDE9D9" w:themeFill="accent6" w:themeFillTint="33"/>
          </w:tcPr>
          <w:p w:rsidR="00486DC1" w:rsidRPr="00DC03E4" w:rsidRDefault="00486DC1" w:rsidP="00DC03E4">
            <w:pPr>
              <w:jc w:val="center"/>
              <w:rPr>
                <w:rFonts w:ascii="Arial" w:hAnsi="Arial" w:cs="Arial"/>
                <w:b/>
                <w:sz w:val="24"/>
                <w:szCs w:val="24"/>
                <w:lang w:val="en-US"/>
              </w:rPr>
            </w:pPr>
            <w:r w:rsidRPr="00DC03E4">
              <w:rPr>
                <w:rFonts w:ascii="Arial" w:hAnsi="Arial" w:cs="Arial"/>
                <w:b/>
                <w:sz w:val="24"/>
                <w:szCs w:val="24"/>
                <w:lang w:val="en-US"/>
              </w:rPr>
              <w:t>2015</w:t>
            </w:r>
          </w:p>
        </w:tc>
        <w:tc>
          <w:tcPr>
            <w:tcW w:w="958" w:type="dxa"/>
            <w:shd w:val="clear" w:color="auto" w:fill="FDE9D9" w:themeFill="accent6" w:themeFillTint="33"/>
          </w:tcPr>
          <w:p w:rsidR="00486DC1" w:rsidRPr="00DC03E4" w:rsidRDefault="00486DC1" w:rsidP="00DC03E4">
            <w:pPr>
              <w:jc w:val="center"/>
              <w:rPr>
                <w:rFonts w:ascii="Arial" w:hAnsi="Arial" w:cs="Arial"/>
                <w:b/>
                <w:sz w:val="24"/>
                <w:szCs w:val="24"/>
                <w:lang w:val="en-US"/>
              </w:rPr>
            </w:pPr>
            <w:r w:rsidRPr="00DC03E4">
              <w:rPr>
                <w:rFonts w:ascii="Arial" w:hAnsi="Arial" w:cs="Arial"/>
                <w:b/>
                <w:sz w:val="24"/>
                <w:szCs w:val="24"/>
                <w:lang w:val="en-US"/>
              </w:rPr>
              <w:t>2016</w:t>
            </w:r>
          </w:p>
        </w:tc>
      </w:tr>
      <w:tr w:rsidR="00486DC1" w:rsidRPr="00162D37" w:rsidTr="00E046A5">
        <w:trPr>
          <w:jc w:val="center"/>
        </w:trPr>
        <w:tc>
          <w:tcPr>
            <w:tcW w:w="4111" w:type="dxa"/>
            <w:shd w:val="clear" w:color="auto" w:fill="FDE9D9" w:themeFill="accent6" w:themeFillTint="33"/>
          </w:tcPr>
          <w:p w:rsidR="00486DC1" w:rsidRPr="00162D37" w:rsidRDefault="00486DC1" w:rsidP="00C625DB">
            <w:pPr>
              <w:rPr>
                <w:rFonts w:ascii="Arial" w:hAnsi="Arial" w:cs="Arial"/>
                <w:sz w:val="24"/>
                <w:szCs w:val="24"/>
                <w:lang w:val="en-US"/>
              </w:rPr>
            </w:pPr>
            <w:r w:rsidRPr="00162D37">
              <w:rPr>
                <w:rFonts w:ascii="Arial" w:hAnsi="Arial" w:cs="Arial"/>
                <w:sz w:val="24"/>
                <w:szCs w:val="24"/>
                <w:lang w:val="en-US"/>
              </w:rPr>
              <w:t>Tăieri de regenerare în crâng</w:t>
            </w:r>
          </w:p>
        </w:tc>
        <w:tc>
          <w:tcPr>
            <w:tcW w:w="850"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57,8</w:t>
            </w:r>
          </w:p>
        </w:tc>
        <w:tc>
          <w:tcPr>
            <w:tcW w:w="992"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70,7</w:t>
            </w:r>
          </w:p>
        </w:tc>
        <w:tc>
          <w:tcPr>
            <w:tcW w:w="993"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64,8</w:t>
            </w:r>
          </w:p>
        </w:tc>
        <w:tc>
          <w:tcPr>
            <w:tcW w:w="992"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47,7</w:t>
            </w:r>
          </w:p>
        </w:tc>
        <w:tc>
          <w:tcPr>
            <w:tcW w:w="958"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48</w:t>
            </w:r>
          </w:p>
        </w:tc>
      </w:tr>
      <w:tr w:rsidR="00486DC1" w:rsidRPr="00162D37" w:rsidTr="00E046A5">
        <w:trPr>
          <w:jc w:val="center"/>
        </w:trPr>
        <w:tc>
          <w:tcPr>
            <w:tcW w:w="4111" w:type="dxa"/>
            <w:shd w:val="clear" w:color="auto" w:fill="FDE9D9" w:themeFill="accent6" w:themeFillTint="33"/>
          </w:tcPr>
          <w:p w:rsidR="00486DC1" w:rsidRPr="00162D37" w:rsidRDefault="00486DC1" w:rsidP="00C625DB">
            <w:pPr>
              <w:rPr>
                <w:rFonts w:ascii="Arial" w:hAnsi="Arial" w:cs="Arial"/>
                <w:sz w:val="24"/>
                <w:szCs w:val="24"/>
                <w:lang w:val="en-US"/>
              </w:rPr>
            </w:pPr>
            <w:r w:rsidRPr="00162D37">
              <w:rPr>
                <w:rFonts w:ascii="Arial" w:hAnsi="Arial" w:cs="Arial"/>
                <w:sz w:val="24"/>
                <w:szCs w:val="24"/>
                <w:lang w:val="en-US"/>
              </w:rPr>
              <w:t>Tăieri de substituiri-refacere a arboretelor slab productive şi degradate</w:t>
            </w:r>
          </w:p>
        </w:tc>
        <w:tc>
          <w:tcPr>
            <w:tcW w:w="850"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57,8</w:t>
            </w:r>
          </w:p>
        </w:tc>
        <w:tc>
          <w:tcPr>
            <w:tcW w:w="992"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70,7</w:t>
            </w:r>
          </w:p>
        </w:tc>
        <w:tc>
          <w:tcPr>
            <w:tcW w:w="993"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64,8</w:t>
            </w:r>
          </w:p>
        </w:tc>
        <w:tc>
          <w:tcPr>
            <w:tcW w:w="992"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47,7</w:t>
            </w:r>
          </w:p>
        </w:tc>
        <w:tc>
          <w:tcPr>
            <w:tcW w:w="958" w:type="dxa"/>
            <w:shd w:val="clear" w:color="auto" w:fill="FDE9D9" w:themeFill="accent6" w:themeFillTint="33"/>
          </w:tcPr>
          <w:p w:rsidR="00486DC1" w:rsidRPr="00162D37" w:rsidRDefault="00486DC1" w:rsidP="00DC03E4">
            <w:pPr>
              <w:jc w:val="center"/>
              <w:rPr>
                <w:rFonts w:ascii="Arial" w:hAnsi="Arial" w:cs="Arial"/>
                <w:sz w:val="24"/>
                <w:szCs w:val="24"/>
                <w:lang w:val="en-US"/>
              </w:rPr>
            </w:pPr>
            <w:r w:rsidRPr="00162D37">
              <w:rPr>
                <w:rFonts w:ascii="Arial" w:hAnsi="Arial" w:cs="Arial"/>
                <w:sz w:val="24"/>
                <w:szCs w:val="24"/>
                <w:lang w:val="en-US"/>
              </w:rPr>
              <w:t>48</w:t>
            </w:r>
          </w:p>
        </w:tc>
      </w:tr>
      <w:tr w:rsidR="00486DC1" w:rsidRPr="00162D37" w:rsidTr="00E046A5">
        <w:trPr>
          <w:jc w:val="center"/>
        </w:trPr>
        <w:tc>
          <w:tcPr>
            <w:tcW w:w="4111" w:type="dxa"/>
            <w:shd w:val="clear" w:color="auto" w:fill="FDE9D9" w:themeFill="accent6" w:themeFillTint="33"/>
          </w:tcPr>
          <w:p w:rsidR="00486DC1" w:rsidRPr="00162D37" w:rsidRDefault="00486DC1" w:rsidP="00C625DB">
            <w:pPr>
              <w:rPr>
                <w:rFonts w:ascii="Arial" w:hAnsi="Arial" w:cs="Arial"/>
                <w:sz w:val="24"/>
                <w:szCs w:val="24"/>
                <w:lang w:val="en-US"/>
              </w:rPr>
            </w:pPr>
            <w:r w:rsidRPr="00162D37">
              <w:rPr>
                <w:rFonts w:ascii="Arial" w:hAnsi="Arial" w:cs="Arial"/>
                <w:sz w:val="24"/>
                <w:szCs w:val="24"/>
                <w:lang w:val="en-US"/>
              </w:rPr>
              <w:t>Tăieri de conservare</w:t>
            </w:r>
          </w:p>
        </w:tc>
        <w:tc>
          <w:tcPr>
            <w:tcW w:w="850" w:type="dxa"/>
            <w:shd w:val="clear" w:color="auto" w:fill="FDE9D9" w:themeFill="accent6" w:themeFillTint="33"/>
          </w:tcPr>
          <w:p w:rsidR="00486DC1" w:rsidRPr="00162D37" w:rsidRDefault="00486DC1" w:rsidP="00DC03E4">
            <w:pPr>
              <w:jc w:val="center"/>
              <w:rPr>
                <w:rFonts w:ascii="Arial" w:hAnsi="Arial" w:cs="Arial"/>
                <w:sz w:val="24"/>
                <w:szCs w:val="24"/>
              </w:rPr>
            </w:pPr>
            <w:r w:rsidRPr="00162D37">
              <w:rPr>
                <w:rFonts w:ascii="Arial" w:hAnsi="Arial" w:cs="Arial"/>
                <w:sz w:val="24"/>
                <w:szCs w:val="24"/>
                <w:lang w:val="en-US"/>
              </w:rPr>
              <w:t>0</w:t>
            </w:r>
          </w:p>
        </w:tc>
        <w:tc>
          <w:tcPr>
            <w:tcW w:w="992" w:type="dxa"/>
            <w:shd w:val="clear" w:color="auto" w:fill="FDE9D9" w:themeFill="accent6" w:themeFillTint="33"/>
          </w:tcPr>
          <w:p w:rsidR="00486DC1" w:rsidRPr="00162D37" w:rsidRDefault="00486DC1" w:rsidP="00DC03E4">
            <w:pPr>
              <w:jc w:val="center"/>
              <w:rPr>
                <w:rFonts w:ascii="Arial" w:hAnsi="Arial" w:cs="Arial"/>
                <w:sz w:val="24"/>
                <w:szCs w:val="24"/>
              </w:rPr>
            </w:pPr>
            <w:r w:rsidRPr="00162D37">
              <w:rPr>
                <w:rFonts w:ascii="Arial" w:hAnsi="Arial" w:cs="Arial"/>
                <w:sz w:val="24"/>
                <w:szCs w:val="24"/>
                <w:lang w:val="en-US"/>
              </w:rPr>
              <w:t>0</w:t>
            </w:r>
          </w:p>
        </w:tc>
        <w:tc>
          <w:tcPr>
            <w:tcW w:w="993" w:type="dxa"/>
            <w:shd w:val="clear" w:color="auto" w:fill="FDE9D9" w:themeFill="accent6" w:themeFillTint="33"/>
          </w:tcPr>
          <w:p w:rsidR="00486DC1" w:rsidRPr="00162D37" w:rsidRDefault="00486DC1" w:rsidP="00DC03E4">
            <w:pPr>
              <w:jc w:val="center"/>
              <w:rPr>
                <w:rFonts w:ascii="Arial" w:hAnsi="Arial" w:cs="Arial"/>
                <w:sz w:val="24"/>
                <w:szCs w:val="24"/>
              </w:rPr>
            </w:pPr>
            <w:r w:rsidRPr="00162D37">
              <w:rPr>
                <w:rFonts w:ascii="Arial" w:hAnsi="Arial" w:cs="Arial"/>
                <w:sz w:val="24"/>
                <w:szCs w:val="24"/>
                <w:lang w:val="en-US"/>
              </w:rPr>
              <w:t>0</w:t>
            </w:r>
          </w:p>
        </w:tc>
        <w:tc>
          <w:tcPr>
            <w:tcW w:w="992" w:type="dxa"/>
            <w:shd w:val="clear" w:color="auto" w:fill="FDE9D9" w:themeFill="accent6" w:themeFillTint="33"/>
          </w:tcPr>
          <w:p w:rsidR="00486DC1" w:rsidRPr="00162D37" w:rsidRDefault="00486DC1" w:rsidP="00DC03E4">
            <w:pPr>
              <w:jc w:val="center"/>
              <w:rPr>
                <w:rFonts w:ascii="Arial" w:hAnsi="Arial" w:cs="Arial"/>
                <w:sz w:val="24"/>
                <w:szCs w:val="24"/>
              </w:rPr>
            </w:pPr>
            <w:r w:rsidRPr="00162D37">
              <w:rPr>
                <w:rFonts w:ascii="Arial" w:hAnsi="Arial" w:cs="Arial"/>
                <w:sz w:val="24"/>
                <w:szCs w:val="24"/>
              </w:rPr>
              <w:t>0</w:t>
            </w:r>
          </w:p>
        </w:tc>
        <w:tc>
          <w:tcPr>
            <w:tcW w:w="958" w:type="dxa"/>
            <w:shd w:val="clear" w:color="auto" w:fill="FDE9D9" w:themeFill="accent6" w:themeFillTint="33"/>
          </w:tcPr>
          <w:p w:rsidR="00486DC1" w:rsidRPr="00162D37" w:rsidRDefault="00486DC1" w:rsidP="00DC03E4">
            <w:pPr>
              <w:jc w:val="center"/>
              <w:rPr>
                <w:rFonts w:ascii="Arial" w:hAnsi="Arial" w:cs="Arial"/>
                <w:sz w:val="24"/>
                <w:szCs w:val="24"/>
              </w:rPr>
            </w:pPr>
            <w:r w:rsidRPr="00162D37">
              <w:rPr>
                <w:rFonts w:ascii="Arial" w:hAnsi="Arial" w:cs="Arial"/>
                <w:sz w:val="24"/>
                <w:szCs w:val="24"/>
              </w:rPr>
              <w:t>0</w:t>
            </w:r>
          </w:p>
        </w:tc>
      </w:tr>
    </w:tbl>
    <w:p w:rsidR="00486DC1" w:rsidRPr="00162D37" w:rsidRDefault="00486DC1" w:rsidP="00C625DB">
      <w:pPr>
        <w:spacing w:after="0" w:line="240" w:lineRule="auto"/>
        <w:ind w:firstLine="708"/>
        <w:rPr>
          <w:rFonts w:ascii="Arial" w:hAnsi="Arial" w:cs="Arial"/>
          <w:b/>
          <w:i/>
          <w:sz w:val="24"/>
          <w:szCs w:val="24"/>
          <w:lang w:val="en-US"/>
        </w:rPr>
      </w:pPr>
    </w:p>
    <w:p w:rsidR="00486DC1" w:rsidRPr="00162D37" w:rsidRDefault="00486DC1" w:rsidP="00C625DB">
      <w:pPr>
        <w:spacing w:after="0" w:line="240" w:lineRule="auto"/>
        <w:rPr>
          <w:rFonts w:ascii="Arial" w:hAnsi="Arial" w:cs="Arial"/>
          <w:sz w:val="24"/>
          <w:szCs w:val="24"/>
          <w:lang w:val="en-US"/>
        </w:rPr>
      </w:pPr>
    </w:p>
    <w:p w:rsidR="00486DC1" w:rsidRPr="00162D37" w:rsidRDefault="00486DC1" w:rsidP="00C625DB">
      <w:pPr>
        <w:spacing w:after="0" w:line="240" w:lineRule="auto"/>
        <w:jc w:val="center"/>
        <w:rPr>
          <w:rFonts w:ascii="Arial" w:hAnsi="Arial" w:cs="Arial"/>
          <w:b/>
          <w:sz w:val="24"/>
          <w:szCs w:val="24"/>
        </w:rPr>
      </w:pPr>
      <w:r w:rsidRPr="00162D37">
        <w:rPr>
          <w:rFonts w:ascii="Arial" w:hAnsi="Arial" w:cs="Arial"/>
          <w:b/>
          <w:noProof/>
          <w:sz w:val="24"/>
          <w:szCs w:val="24"/>
          <w:lang w:eastAsia="ro-RO"/>
        </w:rPr>
        <w:drawing>
          <wp:inline distT="0" distB="0" distL="0" distR="0">
            <wp:extent cx="3905250" cy="2609850"/>
            <wp:effectExtent l="19050" t="0" r="19050" b="0"/>
            <wp:docPr id="6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2442D1" w:rsidRDefault="00486DC1" w:rsidP="00C625DB">
      <w:pPr>
        <w:spacing w:after="0" w:line="240" w:lineRule="auto"/>
        <w:rPr>
          <w:rFonts w:ascii="Arial" w:hAnsi="Arial" w:cs="Arial"/>
          <w:b/>
          <w:sz w:val="24"/>
          <w:szCs w:val="24"/>
          <w:lang w:val="en-US"/>
        </w:rPr>
      </w:pPr>
      <w:r w:rsidRPr="00162D37">
        <w:rPr>
          <w:rFonts w:ascii="Arial" w:hAnsi="Arial" w:cs="Arial"/>
          <w:b/>
          <w:sz w:val="24"/>
          <w:szCs w:val="24"/>
          <w:lang w:val="en-US"/>
        </w:rPr>
        <w:t xml:space="preserve">                </w:t>
      </w:r>
    </w:p>
    <w:p w:rsidR="00486DC1" w:rsidRPr="00162D37" w:rsidRDefault="00486DC1" w:rsidP="002442D1">
      <w:pPr>
        <w:spacing w:after="0" w:line="240" w:lineRule="auto"/>
        <w:jc w:val="center"/>
        <w:rPr>
          <w:rFonts w:ascii="Arial" w:hAnsi="Arial" w:cs="Arial"/>
          <w:sz w:val="24"/>
          <w:szCs w:val="24"/>
          <w:lang w:val="en-US"/>
        </w:rPr>
      </w:pPr>
      <w:r w:rsidRPr="002442D1">
        <w:rPr>
          <w:rFonts w:ascii="Arial" w:hAnsi="Arial" w:cs="Arial"/>
          <w:sz w:val="24"/>
          <w:szCs w:val="24"/>
          <w:lang w:val="en-US"/>
        </w:rPr>
        <w:t>Figura nr. . VI.2.1. -1</w:t>
      </w:r>
      <w:r w:rsidRPr="00162D37">
        <w:rPr>
          <w:rFonts w:ascii="Arial" w:hAnsi="Arial" w:cs="Arial"/>
          <w:b/>
          <w:sz w:val="24"/>
          <w:szCs w:val="24"/>
          <w:lang w:val="en-US"/>
        </w:rPr>
        <w:t xml:space="preserve"> </w:t>
      </w:r>
      <w:r w:rsidRPr="00162D37">
        <w:rPr>
          <w:rFonts w:ascii="Arial" w:hAnsi="Arial" w:cs="Arial"/>
          <w:sz w:val="24"/>
          <w:szCs w:val="24"/>
          <w:lang w:val="en-US"/>
        </w:rPr>
        <w:t xml:space="preserve"> Suprafaţa parcursă de tăieri pe tipul de tăieri</w:t>
      </w:r>
    </w:p>
    <w:p w:rsidR="00486DC1" w:rsidRPr="00162D37" w:rsidRDefault="00486DC1" w:rsidP="00C625DB">
      <w:pPr>
        <w:spacing w:after="0" w:line="240" w:lineRule="auto"/>
        <w:ind w:firstLine="708"/>
        <w:rPr>
          <w:rFonts w:ascii="Arial" w:hAnsi="Arial" w:cs="Arial"/>
          <w:b/>
          <w:i/>
          <w:sz w:val="24"/>
          <w:szCs w:val="24"/>
          <w:lang w:val="en-US"/>
        </w:rPr>
      </w:pPr>
    </w:p>
    <w:p w:rsidR="009474A2" w:rsidRPr="00162D37" w:rsidRDefault="009474A2" w:rsidP="00C625DB">
      <w:pPr>
        <w:spacing w:after="0" w:line="240" w:lineRule="auto"/>
        <w:ind w:firstLine="708"/>
        <w:rPr>
          <w:rFonts w:ascii="Arial" w:hAnsi="Arial" w:cs="Arial"/>
          <w:b/>
          <w:i/>
          <w:sz w:val="24"/>
          <w:szCs w:val="24"/>
          <w:lang w:val="en-US"/>
        </w:rPr>
      </w:pPr>
      <w:r w:rsidRPr="00162D37">
        <w:rPr>
          <w:rFonts w:ascii="Arial" w:hAnsi="Arial" w:cs="Arial"/>
          <w:b/>
          <w:i/>
          <w:sz w:val="24"/>
          <w:szCs w:val="24"/>
          <w:lang w:val="en-US"/>
        </w:rPr>
        <w:t>VI.2.2. Schimbarea utilizării terenurilor</w:t>
      </w:r>
    </w:p>
    <w:p w:rsidR="009474A2" w:rsidRPr="00162D37" w:rsidRDefault="009474A2" w:rsidP="00C625DB">
      <w:pPr>
        <w:spacing w:after="0" w:line="240" w:lineRule="auto"/>
        <w:ind w:firstLine="708"/>
        <w:rPr>
          <w:rFonts w:ascii="Arial" w:hAnsi="Arial" w:cs="Arial"/>
          <w:b/>
          <w:sz w:val="24"/>
          <w:szCs w:val="24"/>
          <w:lang w:val="en-US"/>
        </w:rPr>
      </w:pPr>
      <w:r w:rsidRPr="00162D37">
        <w:rPr>
          <w:rFonts w:ascii="Arial" w:hAnsi="Arial" w:cs="Arial"/>
          <w:b/>
          <w:sz w:val="24"/>
          <w:szCs w:val="24"/>
          <w:lang w:val="en-US"/>
        </w:rPr>
        <w:t xml:space="preserve">         VI.2.2.1. Fragmentarea ecosistemelor (arealelor naturale şi seminaturale)</w:t>
      </w:r>
    </w:p>
    <w:p w:rsidR="002442D1" w:rsidRDefault="002442D1" w:rsidP="00C625DB">
      <w:pPr>
        <w:spacing w:after="0" w:line="240" w:lineRule="auto"/>
        <w:ind w:firstLine="708"/>
        <w:jc w:val="both"/>
        <w:rPr>
          <w:rFonts w:ascii="Arial" w:hAnsi="Arial" w:cs="Arial"/>
          <w:sz w:val="24"/>
          <w:szCs w:val="24"/>
        </w:rPr>
      </w:pPr>
    </w:p>
    <w:p w:rsidR="009474A2" w:rsidRPr="00162D37" w:rsidRDefault="009474A2" w:rsidP="00C625DB">
      <w:pPr>
        <w:spacing w:after="0" w:line="240" w:lineRule="auto"/>
        <w:ind w:firstLine="708"/>
        <w:jc w:val="both"/>
        <w:rPr>
          <w:rFonts w:ascii="Arial" w:hAnsi="Arial" w:cs="Arial"/>
          <w:sz w:val="24"/>
          <w:szCs w:val="24"/>
        </w:rPr>
      </w:pPr>
      <w:r w:rsidRPr="00162D37">
        <w:rPr>
          <w:rFonts w:ascii="Arial" w:hAnsi="Arial" w:cs="Arial"/>
          <w:sz w:val="24"/>
          <w:szCs w:val="24"/>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Pr="00162D37">
        <w:rPr>
          <w:rFonts w:ascii="Arial" w:hAnsi="Arial" w:cs="Arial"/>
          <w:i/>
          <w:iCs/>
          <w:sz w:val="24"/>
          <w:szCs w:val="24"/>
        </w:rPr>
        <w:t xml:space="preserve">conversia terenurilor </w:t>
      </w:r>
      <w:r w:rsidRPr="00162D37">
        <w:rPr>
          <w:rFonts w:ascii="Arial" w:hAnsi="Arial" w:cs="Arial"/>
          <w:sz w:val="24"/>
          <w:szCs w:val="24"/>
        </w:rPr>
        <w:t>în scopul extinderii urbane, dezvoltării infrastructurii de transport, dezvoltării industriale, agricole, turistice.</w:t>
      </w:r>
    </w:p>
    <w:p w:rsidR="009474A2" w:rsidRPr="00162D37" w:rsidRDefault="0079026F" w:rsidP="00C625DB">
      <w:pPr>
        <w:spacing w:after="0" w:line="240" w:lineRule="auto"/>
        <w:ind w:firstLine="708"/>
        <w:jc w:val="both"/>
        <w:rPr>
          <w:rFonts w:ascii="Arial" w:hAnsi="Arial" w:cs="Arial"/>
          <w:sz w:val="24"/>
          <w:szCs w:val="24"/>
        </w:rPr>
      </w:pPr>
      <w:r w:rsidRPr="00162D37">
        <w:rPr>
          <w:rFonts w:ascii="Arial" w:hAnsi="Arial" w:cs="Arial"/>
          <w:sz w:val="24"/>
          <w:szCs w:val="24"/>
        </w:rPr>
        <w:t xml:space="preserve">Din această cauză, în ultimii ani, s-a pus un accent deosebit pe protejarea şi conservarea ecosistemelor forestiere, în scopul creşterii procentului de reîmpădurire şi reducerii nivelului de </w:t>
      </w:r>
      <w:r w:rsidRPr="00162D37">
        <w:rPr>
          <w:rFonts w:ascii="Arial" w:hAnsi="Arial" w:cs="Arial"/>
          <w:sz w:val="24"/>
          <w:szCs w:val="24"/>
        </w:rPr>
        <w:lastRenderedPageBreak/>
        <w:t xml:space="preserve">fragmentare. Cauză principală a fragmentării ecosistemelor forestiere o reprezintă schimbarea radicală a formelor de proprietate asupra terenurilor forestiere. Astfel, de la proprietatea statului asupra întregului fond forestier, după anul 1990, prin aplicarea legilor fondului funciar, s-a ajuns la situaţia în care terenurile forestiere se găsesc în diverse forme de proprietate (publică a unităţilor teritorial – administrative, privată a persoanelor fizice, privată a persoanelor juridice). In aplicarea regimului silvic, deținătorii terenurilor forestiere au obligaţii şi responsabilităţi specifice. </w:t>
      </w:r>
    </w:p>
    <w:p w:rsidR="002442D1" w:rsidRDefault="002442D1" w:rsidP="00C625DB">
      <w:pPr>
        <w:spacing w:after="0" w:line="240" w:lineRule="auto"/>
        <w:ind w:firstLine="708"/>
        <w:rPr>
          <w:rFonts w:ascii="Arial" w:hAnsi="Arial" w:cs="Arial"/>
          <w:b/>
          <w:i/>
          <w:sz w:val="24"/>
          <w:szCs w:val="24"/>
          <w:lang w:val="en-US"/>
        </w:rPr>
      </w:pPr>
    </w:p>
    <w:p w:rsidR="009474A2" w:rsidRPr="00162D37" w:rsidRDefault="009474A2" w:rsidP="00C625DB">
      <w:pPr>
        <w:spacing w:after="0" w:line="240" w:lineRule="auto"/>
        <w:ind w:firstLine="708"/>
        <w:rPr>
          <w:rFonts w:ascii="Arial" w:hAnsi="Arial" w:cs="Arial"/>
          <w:b/>
          <w:sz w:val="24"/>
          <w:szCs w:val="24"/>
          <w:lang w:val="en-US"/>
        </w:rPr>
      </w:pPr>
      <w:r w:rsidRPr="00162D37">
        <w:rPr>
          <w:rFonts w:ascii="Arial" w:hAnsi="Arial" w:cs="Arial"/>
          <w:b/>
          <w:i/>
          <w:sz w:val="24"/>
          <w:szCs w:val="24"/>
          <w:lang w:val="en-US"/>
        </w:rPr>
        <w:t>VI.2.3. Schimbările climatice</w:t>
      </w:r>
    </w:p>
    <w:p w:rsidR="00486DC1" w:rsidRPr="00162D37" w:rsidRDefault="00486DC1" w:rsidP="00C625DB">
      <w:pPr>
        <w:spacing w:after="0" w:line="240" w:lineRule="auto"/>
        <w:rPr>
          <w:rFonts w:ascii="Arial" w:hAnsi="Arial" w:cs="Arial"/>
          <w:sz w:val="24"/>
          <w:szCs w:val="24"/>
          <w:lang w:val="en-US"/>
        </w:rPr>
      </w:pPr>
      <w:r w:rsidRPr="00162D37">
        <w:rPr>
          <w:rFonts w:ascii="Arial" w:hAnsi="Arial" w:cs="Arial"/>
          <w:sz w:val="24"/>
          <w:szCs w:val="24"/>
          <w:lang w:val="en-US"/>
        </w:rPr>
        <w:t xml:space="preserve">Evoluţia suprafeţei forestiere din judeţul </w:t>
      </w:r>
      <w:r w:rsidR="00217620">
        <w:rPr>
          <w:rFonts w:ascii="Arial" w:hAnsi="Arial" w:cs="Arial"/>
          <w:sz w:val="24"/>
          <w:szCs w:val="24"/>
          <w:lang w:val="en-US"/>
        </w:rPr>
        <w:t>Brăila</w:t>
      </w:r>
      <w:r w:rsidRPr="00162D37">
        <w:rPr>
          <w:rFonts w:ascii="Arial" w:hAnsi="Arial" w:cs="Arial"/>
          <w:sz w:val="24"/>
          <w:szCs w:val="24"/>
          <w:lang w:val="en-US"/>
        </w:rPr>
        <w:t xml:space="preserve"> parcurse de incendiile de pădure 2012-2016</w:t>
      </w:r>
    </w:p>
    <w:p w:rsidR="002442D1" w:rsidRDefault="002442D1" w:rsidP="00C625DB">
      <w:pPr>
        <w:spacing w:after="0" w:line="240" w:lineRule="auto"/>
        <w:rPr>
          <w:rFonts w:ascii="Arial" w:hAnsi="Arial" w:cs="Arial"/>
          <w:sz w:val="24"/>
          <w:szCs w:val="24"/>
          <w:lang w:val="en-US"/>
        </w:rPr>
      </w:pPr>
    </w:p>
    <w:p w:rsidR="00486DC1" w:rsidRPr="00162D37" w:rsidRDefault="00486DC1" w:rsidP="00C625DB">
      <w:pPr>
        <w:spacing w:after="0" w:line="240" w:lineRule="auto"/>
        <w:rPr>
          <w:rFonts w:ascii="Arial" w:hAnsi="Arial" w:cs="Arial"/>
          <w:sz w:val="24"/>
          <w:szCs w:val="24"/>
          <w:lang w:val="en-US"/>
        </w:rPr>
      </w:pPr>
      <w:r w:rsidRPr="00162D37">
        <w:rPr>
          <w:rFonts w:ascii="Arial" w:hAnsi="Arial" w:cs="Arial"/>
          <w:sz w:val="24"/>
          <w:szCs w:val="24"/>
          <w:lang w:val="en-US"/>
        </w:rPr>
        <w:t>Tabelul nr.</w:t>
      </w:r>
      <w:r w:rsidRPr="00162D37">
        <w:rPr>
          <w:rFonts w:ascii="Arial" w:hAnsi="Arial" w:cs="Arial"/>
          <w:b/>
          <w:sz w:val="24"/>
          <w:szCs w:val="24"/>
          <w:lang w:val="en-US"/>
        </w:rPr>
        <w:t xml:space="preserve"> </w:t>
      </w:r>
      <w:r w:rsidRPr="002442D1">
        <w:rPr>
          <w:rFonts w:ascii="Arial" w:hAnsi="Arial" w:cs="Arial"/>
          <w:sz w:val="24"/>
          <w:szCs w:val="24"/>
          <w:lang w:val="en-US"/>
        </w:rPr>
        <w:t>VI.2.3. -1</w:t>
      </w:r>
      <w:r w:rsidRPr="00162D37">
        <w:rPr>
          <w:rFonts w:ascii="Arial" w:hAnsi="Arial" w:cs="Arial"/>
          <w:b/>
          <w:sz w:val="24"/>
          <w:szCs w:val="24"/>
          <w:lang w:val="en-US"/>
        </w:rPr>
        <w:t xml:space="preserve"> </w:t>
      </w:r>
      <w:r w:rsidRPr="00162D37">
        <w:rPr>
          <w:rFonts w:ascii="Arial" w:hAnsi="Arial" w:cs="Arial"/>
          <w:sz w:val="24"/>
          <w:szCs w:val="24"/>
          <w:lang w:val="en-US"/>
        </w:rPr>
        <w:t xml:space="preserve"> Evoluția suprafețelor parcurse cu incendii de pădure în anii 2012-2016</w:t>
      </w:r>
    </w:p>
    <w:tbl>
      <w:tblPr>
        <w:tblStyle w:val="TableGrid"/>
        <w:tblW w:w="0" w:type="auto"/>
        <w:jc w:val="center"/>
        <w:tblInd w:w="660" w:type="dxa"/>
        <w:shd w:val="clear" w:color="auto" w:fill="FDE9D9" w:themeFill="accent6" w:themeFillTint="33"/>
        <w:tblLook w:val="04A0"/>
      </w:tblPr>
      <w:tblGrid>
        <w:gridCol w:w="3984"/>
        <w:gridCol w:w="928"/>
        <w:gridCol w:w="929"/>
        <w:gridCol w:w="929"/>
        <w:gridCol w:w="929"/>
        <w:gridCol w:w="929"/>
      </w:tblGrid>
      <w:tr w:rsidR="00486DC1" w:rsidRPr="00162D37" w:rsidTr="006157E7">
        <w:trPr>
          <w:jc w:val="center"/>
        </w:trPr>
        <w:tc>
          <w:tcPr>
            <w:tcW w:w="3984" w:type="dxa"/>
            <w:shd w:val="clear" w:color="auto" w:fill="FDE9D9" w:themeFill="accent6" w:themeFillTint="33"/>
          </w:tcPr>
          <w:p w:rsidR="00486DC1" w:rsidRPr="00162D37" w:rsidRDefault="00486DC1" w:rsidP="00C625DB">
            <w:pPr>
              <w:rPr>
                <w:rFonts w:ascii="Arial" w:hAnsi="Arial" w:cs="Arial"/>
                <w:sz w:val="24"/>
                <w:szCs w:val="24"/>
                <w:lang w:val="en-US"/>
              </w:rPr>
            </w:pPr>
          </w:p>
        </w:tc>
        <w:tc>
          <w:tcPr>
            <w:tcW w:w="928" w:type="dxa"/>
            <w:shd w:val="clear" w:color="auto" w:fill="FDE9D9" w:themeFill="accent6" w:themeFillTint="33"/>
          </w:tcPr>
          <w:p w:rsidR="00486DC1" w:rsidRPr="00162D37" w:rsidRDefault="00486DC1" w:rsidP="006157E7">
            <w:pPr>
              <w:jc w:val="center"/>
              <w:rPr>
                <w:rFonts w:ascii="Arial" w:hAnsi="Arial" w:cs="Arial"/>
                <w:b/>
                <w:sz w:val="24"/>
                <w:szCs w:val="24"/>
                <w:lang w:val="en-US"/>
              </w:rPr>
            </w:pPr>
            <w:r w:rsidRPr="00162D37">
              <w:rPr>
                <w:rFonts w:ascii="Arial" w:hAnsi="Arial" w:cs="Arial"/>
                <w:b/>
                <w:sz w:val="24"/>
                <w:szCs w:val="24"/>
                <w:lang w:val="en-US"/>
              </w:rPr>
              <w:t>2012</w:t>
            </w:r>
          </w:p>
        </w:tc>
        <w:tc>
          <w:tcPr>
            <w:tcW w:w="929" w:type="dxa"/>
            <w:shd w:val="clear" w:color="auto" w:fill="FDE9D9" w:themeFill="accent6" w:themeFillTint="33"/>
          </w:tcPr>
          <w:p w:rsidR="00486DC1" w:rsidRPr="00162D37" w:rsidRDefault="00486DC1" w:rsidP="006157E7">
            <w:pPr>
              <w:jc w:val="center"/>
              <w:rPr>
                <w:rFonts w:ascii="Arial" w:hAnsi="Arial" w:cs="Arial"/>
                <w:b/>
                <w:sz w:val="24"/>
                <w:szCs w:val="24"/>
                <w:lang w:val="en-US"/>
              </w:rPr>
            </w:pPr>
            <w:r w:rsidRPr="00162D37">
              <w:rPr>
                <w:rFonts w:ascii="Arial" w:hAnsi="Arial" w:cs="Arial"/>
                <w:b/>
                <w:sz w:val="24"/>
                <w:szCs w:val="24"/>
                <w:lang w:val="en-US"/>
              </w:rPr>
              <w:t>2013</w:t>
            </w:r>
          </w:p>
        </w:tc>
        <w:tc>
          <w:tcPr>
            <w:tcW w:w="929" w:type="dxa"/>
            <w:shd w:val="clear" w:color="auto" w:fill="FDE9D9" w:themeFill="accent6" w:themeFillTint="33"/>
          </w:tcPr>
          <w:p w:rsidR="00486DC1" w:rsidRPr="00162D37" w:rsidRDefault="00486DC1" w:rsidP="006157E7">
            <w:pPr>
              <w:jc w:val="center"/>
              <w:rPr>
                <w:rFonts w:ascii="Arial" w:hAnsi="Arial" w:cs="Arial"/>
                <w:b/>
                <w:sz w:val="24"/>
                <w:szCs w:val="24"/>
                <w:lang w:val="en-US"/>
              </w:rPr>
            </w:pPr>
            <w:r w:rsidRPr="00162D37">
              <w:rPr>
                <w:rFonts w:ascii="Arial" w:hAnsi="Arial" w:cs="Arial"/>
                <w:b/>
                <w:sz w:val="24"/>
                <w:szCs w:val="24"/>
                <w:lang w:val="en-US"/>
              </w:rPr>
              <w:t>2014</w:t>
            </w:r>
          </w:p>
        </w:tc>
        <w:tc>
          <w:tcPr>
            <w:tcW w:w="929" w:type="dxa"/>
            <w:shd w:val="clear" w:color="auto" w:fill="FDE9D9" w:themeFill="accent6" w:themeFillTint="33"/>
          </w:tcPr>
          <w:p w:rsidR="00486DC1" w:rsidRPr="00162D37" w:rsidRDefault="00486DC1" w:rsidP="006157E7">
            <w:pPr>
              <w:jc w:val="center"/>
              <w:rPr>
                <w:rFonts w:ascii="Arial" w:hAnsi="Arial" w:cs="Arial"/>
                <w:b/>
                <w:sz w:val="24"/>
                <w:szCs w:val="24"/>
                <w:lang w:val="en-US"/>
              </w:rPr>
            </w:pPr>
            <w:r w:rsidRPr="00162D37">
              <w:rPr>
                <w:rFonts w:ascii="Arial" w:hAnsi="Arial" w:cs="Arial"/>
                <w:b/>
                <w:sz w:val="24"/>
                <w:szCs w:val="24"/>
                <w:lang w:val="en-US"/>
              </w:rPr>
              <w:t>2015</w:t>
            </w:r>
          </w:p>
        </w:tc>
        <w:tc>
          <w:tcPr>
            <w:tcW w:w="929" w:type="dxa"/>
            <w:shd w:val="clear" w:color="auto" w:fill="FDE9D9" w:themeFill="accent6" w:themeFillTint="33"/>
          </w:tcPr>
          <w:p w:rsidR="00486DC1" w:rsidRPr="00162D37" w:rsidRDefault="00486DC1" w:rsidP="006157E7">
            <w:pPr>
              <w:jc w:val="center"/>
              <w:rPr>
                <w:rFonts w:ascii="Arial" w:hAnsi="Arial" w:cs="Arial"/>
                <w:b/>
                <w:sz w:val="24"/>
                <w:szCs w:val="24"/>
                <w:lang w:val="en-US"/>
              </w:rPr>
            </w:pPr>
            <w:r w:rsidRPr="00162D37">
              <w:rPr>
                <w:rFonts w:ascii="Arial" w:hAnsi="Arial" w:cs="Arial"/>
                <w:b/>
                <w:sz w:val="24"/>
                <w:szCs w:val="24"/>
                <w:lang w:val="en-US"/>
              </w:rPr>
              <w:t>2016</w:t>
            </w:r>
          </w:p>
        </w:tc>
      </w:tr>
      <w:tr w:rsidR="00486DC1" w:rsidRPr="00162D37" w:rsidTr="006157E7">
        <w:trPr>
          <w:jc w:val="center"/>
        </w:trPr>
        <w:tc>
          <w:tcPr>
            <w:tcW w:w="3984" w:type="dxa"/>
            <w:shd w:val="clear" w:color="auto" w:fill="FDE9D9" w:themeFill="accent6" w:themeFillTint="33"/>
          </w:tcPr>
          <w:p w:rsidR="00486DC1" w:rsidRPr="00162D37" w:rsidRDefault="00486DC1" w:rsidP="00C625DB">
            <w:pPr>
              <w:rPr>
                <w:rFonts w:ascii="Arial" w:hAnsi="Arial" w:cs="Arial"/>
                <w:sz w:val="24"/>
                <w:szCs w:val="24"/>
                <w:lang w:val="en-US"/>
              </w:rPr>
            </w:pPr>
            <w:r w:rsidRPr="00162D37">
              <w:rPr>
                <w:rFonts w:ascii="Arial" w:hAnsi="Arial" w:cs="Arial"/>
                <w:sz w:val="24"/>
                <w:szCs w:val="24"/>
                <w:lang w:val="en-US"/>
              </w:rPr>
              <w:t>Suprafaţa forestieră afectată (ha)</w:t>
            </w:r>
          </w:p>
        </w:tc>
        <w:tc>
          <w:tcPr>
            <w:tcW w:w="928" w:type="dxa"/>
            <w:shd w:val="clear" w:color="auto" w:fill="FDE9D9" w:themeFill="accent6" w:themeFillTint="33"/>
          </w:tcPr>
          <w:p w:rsidR="00486DC1" w:rsidRPr="00162D37" w:rsidRDefault="00486DC1" w:rsidP="006157E7">
            <w:pPr>
              <w:tabs>
                <w:tab w:val="left" w:pos="1890"/>
              </w:tabs>
              <w:jc w:val="center"/>
              <w:rPr>
                <w:rFonts w:ascii="Arial" w:eastAsia="Calibri" w:hAnsi="Arial" w:cs="Arial"/>
                <w:sz w:val="24"/>
                <w:szCs w:val="24"/>
              </w:rPr>
            </w:pPr>
            <w:r w:rsidRPr="00162D37">
              <w:rPr>
                <w:rFonts w:ascii="Arial" w:hAnsi="Arial" w:cs="Arial"/>
                <w:sz w:val="24"/>
                <w:szCs w:val="24"/>
              </w:rPr>
              <w:t>2,3</w:t>
            </w:r>
          </w:p>
        </w:tc>
        <w:tc>
          <w:tcPr>
            <w:tcW w:w="929" w:type="dxa"/>
            <w:shd w:val="clear" w:color="auto" w:fill="FDE9D9" w:themeFill="accent6" w:themeFillTint="33"/>
          </w:tcPr>
          <w:p w:rsidR="00486DC1" w:rsidRPr="00162D37" w:rsidRDefault="00486DC1" w:rsidP="006157E7">
            <w:pPr>
              <w:tabs>
                <w:tab w:val="left" w:pos="1890"/>
              </w:tabs>
              <w:jc w:val="center"/>
              <w:rPr>
                <w:rFonts w:ascii="Arial" w:eastAsia="Calibri" w:hAnsi="Arial" w:cs="Arial"/>
                <w:sz w:val="24"/>
                <w:szCs w:val="24"/>
              </w:rPr>
            </w:pPr>
            <w:r w:rsidRPr="00162D37">
              <w:rPr>
                <w:rFonts w:ascii="Arial" w:hAnsi="Arial" w:cs="Arial"/>
                <w:sz w:val="24"/>
                <w:szCs w:val="24"/>
              </w:rPr>
              <w:t>1,6</w:t>
            </w:r>
          </w:p>
        </w:tc>
        <w:tc>
          <w:tcPr>
            <w:tcW w:w="929" w:type="dxa"/>
            <w:shd w:val="clear" w:color="auto" w:fill="FDE9D9" w:themeFill="accent6" w:themeFillTint="33"/>
          </w:tcPr>
          <w:p w:rsidR="00486DC1" w:rsidRPr="00162D37" w:rsidRDefault="00486DC1" w:rsidP="006157E7">
            <w:pPr>
              <w:tabs>
                <w:tab w:val="left" w:pos="1890"/>
              </w:tabs>
              <w:jc w:val="center"/>
              <w:rPr>
                <w:rFonts w:ascii="Arial" w:eastAsia="Calibri" w:hAnsi="Arial" w:cs="Arial"/>
                <w:sz w:val="24"/>
                <w:szCs w:val="24"/>
              </w:rPr>
            </w:pPr>
            <w:r w:rsidRPr="00162D37">
              <w:rPr>
                <w:rFonts w:ascii="Arial" w:hAnsi="Arial" w:cs="Arial"/>
                <w:sz w:val="24"/>
                <w:szCs w:val="24"/>
              </w:rPr>
              <w:t>2,2</w:t>
            </w:r>
          </w:p>
        </w:tc>
        <w:tc>
          <w:tcPr>
            <w:tcW w:w="929" w:type="dxa"/>
            <w:shd w:val="clear" w:color="auto" w:fill="FDE9D9" w:themeFill="accent6" w:themeFillTint="33"/>
          </w:tcPr>
          <w:p w:rsidR="00486DC1" w:rsidRPr="00162D37" w:rsidRDefault="00486DC1" w:rsidP="006157E7">
            <w:pPr>
              <w:tabs>
                <w:tab w:val="left" w:pos="1890"/>
              </w:tabs>
              <w:jc w:val="center"/>
              <w:rPr>
                <w:rFonts w:ascii="Arial" w:eastAsia="Calibri" w:hAnsi="Arial" w:cs="Arial"/>
                <w:sz w:val="24"/>
                <w:szCs w:val="24"/>
              </w:rPr>
            </w:pPr>
            <w:r w:rsidRPr="00162D37">
              <w:rPr>
                <w:rFonts w:ascii="Arial" w:eastAsia="Calibri" w:hAnsi="Arial" w:cs="Arial"/>
                <w:sz w:val="24"/>
                <w:szCs w:val="24"/>
              </w:rPr>
              <w:t>0,2</w:t>
            </w:r>
          </w:p>
        </w:tc>
        <w:tc>
          <w:tcPr>
            <w:tcW w:w="929" w:type="dxa"/>
            <w:shd w:val="clear" w:color="auto" w:fill="FDE9D9" w:themeFill="accent6" w:themeFillTint="33"/>
          </w:tcPr>
          <w:p w:rsidR="00486DC1" w:rsidRPr="00162D37" w:rsidRDefault="00486DC1" w:rsidP="006157E7">
            <w:pPr>
              <w:tabs>
                <w:tab w:val="left" w:pos="1890"/>
              </w:tabs>
              <w:jc w:val="center"/>
              <w:rPr>
                <w:rFonts w:ascii="Arial" w:eastAsia="Calibri" w:hAnsi="Arial" w:cs="Arial"/>
                <w:sz w:val="24"/>
                <w:szCs w:val="24"/>
              </w:rPr>
            </w:pPr>
            <w:r w:rsidRPr="00162D37">
              <w:rPr>
                <w:rFonts w:ascii="Arial" w:eastAsia="Calibri" w:hAnsi="Arial" w:cs="Arial"/>
                <w:sz w:val="24"/>
                <w:szCs w:val="24"/>
              </w:rPr>
              <w:t>0,0</w:t>
            </w:r>
          </w:p>
        </w:tc>
      </w:tr>
    </w:tbl>
    <w:p w:rsidR="00486DC1" w:rsidRPr="00162D37" w:rsidRDefault="00486DC1" w:rsidP="00C625DB">
      <w:pPr>
        <w:spacing w:after="0" w:line="240" w:lineRule="auto"/>
        <w:rPr>
          <w:rFonts w:ascii="Arial" w:hAnsi="Arial" w:cs="Arial"/>
          <w:sz w:val="24"/>
          <w:szCs w:val="24"/>
          <w:lang w:val="en-US"/>
        </w:rPr>
      </w:pPr>
    </w:p>
    <w:p w:rsidR="00486DC1" w:rsidRPr="00162D37" w:rsidRDefault="00486DC1" w:rsidP="00C625DB">
      <w:pPr>
        <w:spacing w:after="0" w:line="240" w:lineRule="auto"/>
        <w:jc w:val="center"/>
        <w:rPr>
          <w:rFonts w:ascii="Arial" w:hAnsi="Arial" w:cs="Arial"/>
          <w:sz w:val="24"/>
          <w:szCs w:val="24"/>
          <w:lang w:val="en-US"/>
        </w:rPr>
      </w:pPr>
      <w:r w:rsidRPr="00162D37">
        <w:rPr>
          <w:rFonts w:ascii="Arial" w:hAnsi="Arial" w:cs="Arial"/>
          <w:noProof/>
          <w:sz w:val="24"/>
          <w:szCs w:val="24"/>
          <w:lang w:eastAsia="ro-RO"/>
        </w:rPr>
        <w:drawing>
          <wp:inline distT="0" distB="0" distL="0" distR="0">
            <wp:extent cx="3990975" cy="2181225"/>
            <wp:effectExtent l="19050" t="0" r="9525" b="0"/>
            <wp:docPr id="6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442D1" w:rsidRDefault="002442D1" w:rsidP="00C625DB">
      <w:pPr>
        <w:spacing w:after="0" w:line="240" w:lineRule="auto"/>
        <w:rPr>
          <w:rFonts w:ascii="Arial" w:hAnsi="Arial" w:cs="Arial"/>
          <w:sz w:val="24"/>
          <w:szCs w:val="24"/>
          <w:lang w:val="en-US"/>
        </w:rPr>
      </w:pPr>
    </w:p>
    <w:p w:rsidR="00486DC1" w:rsidRPr="00162D37" w:rsidRDefault="00486DC1" w:rsidP="00C625DB">
      <w:pPr>
        <w:spacing w:after="0" w:line="240" w:lineRule="auto"/>
        <w:rPr>
          <w:rFonts w:ascii="Arial" w:hAnsi="Arial" w:cs="Arial"/>
          <w:sz w:val="24"/>
          <w:szCs w:val="24"/>
          <w:lang w:val="en-US"/>
        </w:rPr>
      </w:pPr>
      <w:r w:rsidRPr="00162D37">
        <w:rPr>
          <w:rFonts w:ascii="Arial" w:hAnsi="Arial" w:cs="Arial"/>
          <w:sz w:val="24"/>
          <w:szCs w:val="24"/>
          <w:lang w:val="en-US"/>
        </w:rPr>
        <w:t>Figura nr. VI.2.3. – 1</w:t>
      </w:r>
      <w:r w:rsidRPr="00162D37">
        <w:rPr>
          <w:rFonts w:ascii="Arial" w:hAnsi="Arial" w:cs="Arial"/>
          <w:b/>
          <w:sz w:val="24"/>
          <w:szCs w:val="24"/>
          <w:lang w:val="en-US"/>
        </w:rPr>
        <w:t xml:space="preserve"> </w:t>
      </w:r>
      <w:r w:rsidRPr="00162D37">
        <w:rPr>
          <w:rFonts w:ascii="Arial" w:hAnsi="Arial" w:cs="Arial"/>
          <w:sz w:val="24"/>
          <w:szCs w:val="24"/>
          <w:lang w:val="en-US"/>
        </w:rPr>
        <w:t>Evoluţia suprafeţei forestiere parcurse de incendiile de pădure 2012-2016</w:t>
      </w:r>
    </w:p>
    <w:p w:rsidR="00410EDF" w:rsidRDefault="00410EDF" w:rsidP="00C625DB">
      <w:pPr>
        <w:spacing w:after="0" w:line="240" w:lineRule="auto"/>
        <w:jc w:val="both"/>
        <w:rPr>
          <w:rFonts w:ascii="Arial" w:hAnsi="Arial" w:cs="Arial"/>
          <w:b/>
          <w:sz w:val="24"/>
          <w:szCs w:val="24"/>
        </w:rPr>
      </w:pPr>
    </w:p>
    <w:p w:rsidR="002442D1" w:rsidRDefault="00410EDF" w:rsidP="00C625DB">
      <w:pPr>
        <w:spacing w:after="0" w:line="240" w:lineRule="auto"/>
        <w:jc w:val="both"/>
        <w:rPr>
          <w:rFonts w:ascii="Arial" w:hAnsi="Arial" w:cs="Arial"/>
          <w:b/>
          <w:sz w:val="24"/>
          <w:szCs w:val="24"/>
        </w:rPr>
      </w:pPr>
      <w:r>
        <w:rPr>
          <w:rFonts w:ascii="Arial" w:hAnsi="Arial" w:cs="Arial"/>
          <w:b/>
          <w:sz w:val="24"/>
          <w:szCs w:val="24"/>
        </w:rPr>
        <w:t xml:space="preserve"> </w:t>
      </w:r>
    </w:p>
    <w:p w:rsidR="006157E7" w:rsidRDefault="006157E7" w:rsidP="00C625DB">
      <w:pPr>
        <w:spacing w:after="0" w:line="240" w:lineRule="auto"/>
        <w:jc w:val="both"/>
        <w:rPr>
          <w:rFonts w:ascii="Arial" w:hAnsi="Arial" w:cs="Arial"/>
          <w:b/>
          <w:sz w:val="28"/>
          <w:szCs w:val="28"/>
        </w:rPr>
      </w:pPr>
    </w:p>
    <w:p w:rsidR="006157E7" w:rsidRDefault="006157E7" w:rsidP="00C625DB">
      <w:pPr>
        <w:spacing w:after="0" w:line="240" w:lineRule="auto"/>
        <w:jc w:val="both"/>
        <w:rPr>
          <w:rFonts w:ascii="Arial" w:hAnsi="Arial" w:cs="Arial"/>
          <w:b/>
          <w:sz w:val="28"/>
          <w:szCs w:val="28"/>
        </w:rPr>
      </w:pPr>
    </w:p>
    <w:p w:rsidR="00F065B7" w:rsidRPr="002442D1" w:rsidRDefault="00F065B7" w:rsidP="00C625DB">
      <w:pPr>
        <w:spacing w:after="0" w:line="240" w:lineRule="auto"/>
        <w:jc w:val="both"/>
        <w:rPr>
          <w:rFonts w:ascii="Arial" w:hAnsi="Arial" w:cs="Arial"/>
          <w:b/>
          <w:sz w:val="28"/>
          <w:szCs w:val="28"/>
        </w:rPr>
      </w:pPr>
      <w:r w:rsidRPr="002442D1">
        <w:rPr>
          <w:rFonts w:ascii="Arial" w:hAnsi="Arial" w:cs="Arial"/>
          <w:b/>
          <w:sz w:val="28"/>
          <w:szCs w:val="28"/>
        </w:rPr>
        <w:t>VII. RESURSELE MATERIALE ȘI DEȘEURILE</w:t>
      </w:r>
    </w:p>
    <w:p w:rsidR="00410EDF" w:rsidRPr="00C625DB" w:rsidRDefault="00410EDF" w:rsidP="00C625DB">
      <w:pPr>
        <w:spacing w:after="0" w:line="240" w:lineRule="auto"/>
        <w:jc w:val="both"/>
        <w:rPr>
          <w:rFonts w:ascii="Arial" w:hAnsi="Arial" w:cs="Arial"/>
          <w:sz w:val="24"/>
          <w:szCs w:val="24"/>
        </w:rPr>
      </w:pPr>
    </w:p>
    <w:p w:rsidR="00F065B7" w:rsidRDefault="00F065B7" w:rsidP="00C625DB">
      <w:pPr>
        <w:spacing w:after="0" w:line="240" w:lineRule="auto"/>
        <w:jc w:val="both"/>
        <w:rPr>
          <w:rFonts w:ascii="Arial" w:hAnsi="Arial" w:cs="Arial"/>
          <w:b/>
          <w:sz w:val="24"/>
          <w:szCs w:val="24"/>
        </w:rPr>
      </w:pPr>
      <w:r w:rsidRPr="00C625DB">
        <w:rPr>
          <w:rFonts w:ascii="Arial" w:hAnsi="Arial" w:cs="Arial"/>
          <w:sz w:val="24"/>
          <w:szCs w:val="24"/>
        </w:rPr>
        <w:t xml:space="preserve">    </w:t>
      </w:r>
      <w:r w:rsidRPr="00C625DB">
        <w:rPr>
          <w:rFonts w:ascii="Arial" w:hAnsi="Arial" w:cs="Arial"/>
          <w:b/>
          <w:sz w:val="24"/>
          <w:szCs w:val="24"/>
        </w:rPr>
        <w:t>VII.1. Generarea şi gestionarea deşeurilor: tendinţe, impacturi şi prognoze</w:t>
      </w:r>
    </w:p>
    <w:p w:rsidR="00410EDF" w:rsidRPr="00C625DB" w:rsidRDefault="00410EDF" w:rsidP="00C625DB">
      <w:pPr>
        <w:spacing w:after="0" w:line="240" w:lineRule="auto"/>
        <w:jc w:val="both"/>
        <w:rPr>
          <w:rFonts w:ascii="Arial" w:hAnsi="Arial" w:cs="Arial"/>
          <w:b/>
          <w:sz w:val="24"/>
          <w:szCs w:val="24"/>
        </w:rPr>
      </w:pPr>
    </w:p>
    <w:p w:rsidR="00F065B7" w:rsidRPr="00C625DB" w:rsidRDefault="00F065B7" w:rsidP="00C625DB">
      <w:pPr>
        <w:tabs>
          <w:tab w:val="left" w:pos="9000"/>
        </w:tabs>
        <w:spacing w:after="0" w:line="240" w:lineRule="auto"/>
        <w:jc w:val="both"/>
        <w:outlineLvl w:val="0"/>
        <w:rPr>
          <w:rFonts w:ascii="Arial" w:hAnsi="Arial" w:cs="Arial"/>
          <w:b/>
          <w:bCs/>
          <w:sz w:val="24"/>
          <w:szCs w:val="24"/>
        </w:rPr>
      </w:pPr>
      <w:r w:rsidRPr="00C625DB">
        <w:rPr>
          <w:rFonts w:ascii="Arial" w:hAnsi="Arial" w:cs="Arial"/>
          <w:b/>
          <w:bCs/>
          <w:sz w:val="24"/>
          <w:szCs w:val="24"/>
        </w:rPr>
        <w:t>Date generale</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Deşeurile reprezintă una din problemele cele mai acute legate de protecţia mediului. În fiecare an se generează mari cantităţi de deşeuri atât din producţie cât şi de la populaţie, deşeurile municipale nepericuloase şi periculoase (deşeurile menajere şi asimilabile din comerţ, industrie şi instituţii), la care se adaugă alte câteva fluxuri speciale de deşeuri: deşeurile de ambalaje, deşeurile din construcţii şi demolări, nămoluri de la epurarea apelor uzate, vehicule scoase din uz şi deşeuri de echipamente electrice şi electronice care au un mod de gestionare specific.</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Generarea deşeurilor urmează, de obicei, tendinţele de consum şi de producţie, de exemplu, generarea deşeurilor menajere (cantitate/locuitor) creşte odată cu creşterea nivelului de trai. Oferta largă şi diversitatea produselor pe care le găsim astăzi în magazine au provocat totodată şi o creştere îngrijorătoare a cantităţii de deşeuri. Dacă cineva ar avea curiozitatea să vadă ce fel de resturi conţin „gunoaiele” din ultimii ani, ar constata că aproximativ jumătate din volumul ocupat de deşeuri este format din ambalaje.</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Creşterea producţiei economice, de asemenea, conduce la generarea de cantităţi mai mari de deşeuri. Operatorii economici au obligaţia de a valorifica deşeurile proprii prin reciclare, </w:t>
      </w:r>
      <w:r w:rsidRPr="00410EDF">
        <w:rPr>
          <w:rFonts w:ascii="Arial" w:hAnsi="Arial" w:cs="Arial"/>
          <w:sz w:val="24"/>
          <w:szCs w:val="24"/>
        </w:rPr>
        <w:lastRenderedPageBreak/>
        <w:t xml:space="preserve">valorificare energetică, tratare (pentru diminuarea gradului de periculozitate) şi, doar în ultimul rând, soluţia aleasă să fie, eliminarea prin incinerare sau depozitare. Informaţiile privind generarea deşeurilor şi practicile actuale de gestionare a acestora sunt importante în identificarea riscurilor potenţiale pentru mediu şi sănătate umană, cât şi pentru verificarea modului de respectare a gestionării deşeurilor impuse prin legislaţia în vigoare. </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Gestionarea deşeurilor cuprinde toate activităţile de colectare, transport, tratare, valorificare şi eliminare a deşeurilor, inclusiv supravegherea acestor operaţii şi îngrijirea zonelor de depozitare după închiderea acestora. </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De la 1 ianuarie 2014 a intrat în vigoare Strategia Națională de Gestionare a Deșeurilor 2014-2020, document ce a fost aprobat prin HG 870/2013.Prevederile noii strategii se aplică pentru toate tipurile de deșeuri reglementate prin Legea 211/2011 privind regimul deșeurilor, respectiv:</w:t>
      </w:r>
    </w:p>
    <w:p w:rsidR="00F065B7" w:rsidRPr="00410EDF" w:rsidRDefault="00F065B7" w:rsidP="00C625DB">
      <w:pPr>
        <w:autoSpaceDE w:val="0"/>
        <w:autoSpaceDN w:val="0"/>
        <w:adjustRightInd w:val="0"/>
        <w:spacing w:after="0" w:line="240" w:lineRule="auto"/>
        <w:ind w:firstLine="708"/>
        <w:jc w:val="both"/>
        <w:rPr>
          <w:rFonts w:ascii="Arial" w:hAnsi="Arial" w:cs="Arial"/>
          <w:b/>
          <w:bCs/>
          <w:sz w:val="24"/>
          <w:szCs w:val="24"/>
        </w:rPr>
      </w:pPr>
      <w:r w:rsidRPr="00410EDF">
        <w:rPr>
          <w:rFonts w:ascii="Arial" w:hAnsi="Arial" w:cs="Arial"/>
          <w:bCs/>
          <w:sz w:val="24"/>
          <w:szCs w:val="24"/>
        </w:rPr>
        <w:t>- deşeuri municipale şi asimilabile din comerţ, industrie, instituţii, inclusiv fracţii colectate separat;</w:t>
      </w:r>
    </w:p>
    <w:p w:rsidR="00F065B7" w:rsidRPr="00410EDF" w:rsidRDefault="00F065B7" w:rsidP="00C625DB">
      <w:pPr>
        <w:autoSpaceDE w:val="0"/>
        <w:autoSpaceDN w:val="0"/>
        <w:adjustRightInd w:val="0"/>
        <w:spacing w:after="0" w:line="240" w:lineRule="auto"/>
        <w:ind w:firstLine="708"/>
        <w:jc w:val="both"/>
        <w:rPr>
          <w:rFonts w:ascii="Arial" w:hAnsi="Arial" w:cs="Arial"/>
          <w:b/>
          <w:bCs/>
          <w:sz w:val="24"/>
          <w:szCs w:val="24"/>
        </w:rPr>
      </w:pPr>
      <w:r w:rsidRPr="00410EDF">
        <w:rPr>
          <w:rFonts w:ascii="Arial" w:hAnsi="Arial" w:cs="Arial"/>
          <w:bCs/>
          <w:sz w:val="24"/>
          <w:szCs w:val="24"/>
        </w:rPr>
        <w:t>- fluxuri specifice de deşeuri: biodeşeuri, deşeuri de ambalaje, deşeuri din construcţii şi demolări, vehicule scoase din uz, deşeuri de echipamente electrice şi electronice, baterii şi acumulatori uzaţi, uleiuri uzate, anvelope uzate, deşeuri cu conţinut de PCB/PCT, deşeuri cu conţinut de azbest, deşeuri rezultate din activităţi medicale şi activităţi conexe.</w:t>
      </w:r>
    </w:p>
    <w:p w:rsidR="00F065B7" w:rsidRPr="00410EDF" w:rsidRDefault="00F065B7" w:rsidP="00C625DB">
      <w:pPr>
        <w:autoSpaceDE w:val="0"/>
        <w:autoSpaceDN w:val="0"/>
        <w:adjustRightInd w:val="0"/>
        <w:spacing w:after="0" w:line="240" w:lineRule="auto"/>
        <w:jc w:val="both"/>
        <w:rPr>
          <w:rFonts w:ascii="Arial" w:hAnsi="Arial" w:cs="Arial"/>
          <w:b/>
          <w:sz w:val="24"/>
          <w:szCs w:val="24"/>
          <w:lang w:val="it-IT"/>
        </w:rPr>
      </w:pPr>
      <w:r w:rsidRPr="00410EDF">
        <w:rPr>
          <w:rFonts w:ascii="Arial" w:hAnsi="Arial" w:cs="Arial"/>
          <w:sz w:val="24"/>
          <w:szCs w:val="24"/>
          <w:lang w:val="it-IT"/>
        </w:rPr>
        <w:t>Există o ierarhie a opţiunilor de gestionare a deşeurilor:</w:t>
      </w:r>
    </w:p>
    <w:bookmarkStart w:id="1" w:name="do|ca4|ar4|al1|lia"/>
    <w:p w:rsidR="00F065B7" w:rsidRPr="00410EDF" w:rsidRDefault="003D04DD" w:rsidP="00252ED3">
      <w:pPr>
        <w:pStyle w:val="ListParagraph"/>
        <w:numPr>
          <w:ilvl w:val="0"/>
          <w:numId w:val="50"/>
        </w:numPr>
        <w:jc w:val="both"/>
        <w:rPr>
          <w:rFonts w:ascii="Arial" w:hAnsi="Arial" w:cs="Arial"/>
          <w:b/>
        </w:rPr>
      </w:pPr>
      <w:r w:rsidRPr="00410EDF">
        <w:rPr>
          <w:rFonts w:ascii="Arial" w:hAnsi="Arial" w:cs="Arial"/>
          <w:b/>
        </w:rPr>
        <w:fldChar w:fldCharType="begin"/>
      </w:r>
      <w:r w:rsidR="00F065B7" w:rsidRPr="00410EDF">
        <w:rPr>
          <w:rFonts w:ascii="Arial" w:hAnsi="Arial" w:cs="Arial"/>
        </w:rPr>
        <w:instrText xml:space="preserve"> HYPERLINK "file:///C:\\Documents%20and%20Settings\\Administrator\\Sintact%202.0\\cache\\Legislatie\\temp\\00144158.HTM" \l "#" </w:instrText>
      </w:r>
      <w:r w:rsidRPr="00410EDF">
        <w:rPr>
          <w:rFonts w:ascii="Arial" w:hAnsi="Arial" w:cs="Arial"/>
          <w:b/>
        </w:rPr>
        <w:fldChar w:fldCharType="end"/>
      </w:r>
      <w:bookmarkEnd w:id="1"/>
      <w:r w:rsidR="00F065B7" w:rsidRPr="00410EDF">
        <w:rPr>
          <w:rFonts w:ascii="Arial" w:hAnsi="Arial" w:cs="Arial"/>
        </w:rPr>
        <w:t>prevenirea( minimizarea cantităţilor generate);</w:t>
      </w:r>
    </w:p>
    <w:bookmarkStart w:id="2" w:name="do|ca4|ar4|al1|lib"/>
    <w:p w:rsidR="00F065B7" w:rsidRPr="00410EDF" w:rsidRDefault="003D04DD" w:rsidP="00252ED3">
      <w:pPr>
        <w:pStyle w:val="ListParagraph"/>
        <w:numPr>
          <w:ilvl w:val="0"/>
          <w:numId w:val="50"/>
        </w:numPr>
        <w:jc w:val="both"/>
        <w:rPr>
          <w:rFonts w:ascii="Arial" w:hAnsi="Arial" w:cs="Arial"/>
          <w:b/>
        </w:rPr>
      </w:pPr>
      <w:r w:rsidRPr="00410EDF">
        <w:rPr>
          <w:rFonts w:ascii="Arial" w:hAnsi="Arial" w:cs="Arial"/>
          <w:b/>
        </w:rPr>
        <w:fldChar w:fldCharType="begin"/>
      </w:r>
      <w:r w:rsidR="00F065B7" w:rsidRPr="00410EDF">
        <w:rPr>
          <w:rFonts w:ascii="Arial" w:hAnsi="Arial" w:cs="Arial"/>
        </w:rPr>
        <w:instrText xml:space="preserve"> HYPERLINK "file:///C:\\Documents%20and%20Settings\\Administrator\\Sintact%202.0\\cache\\Legislatie\\temp\\00144158.HTM" \l "#" </w:instrText>
      </w:r>
      <w:r w:rsidRPr="00410EDF">
        <w:rPr>
          <w:rFonts w:ascii="Arial" w:hAnsi="Arial" w:cs="Arial"/>
          <w:b/>
        </w:rPr>
        <w:fldChar w:fldCharType="end"/>
      </w:r>
      <w:bookmarkEnd w:id="2"/>
      <w:r w:rsidR="00F065B7" w:rsidRPr="00410EDF">
        <w:rPr>
          <w:rFonts w:ascii="Arial" w:hAnsi="Arial" w:cs="Arial"/>
        </w:rPr>
        <w:t>pregătirea pentru reutilizare;</w:t>
      </w:r>
    </w:p>
    <w:bookmarkStart w:id="3" w:name="do|ca4|ar4|al1|lic"/>
    <w:p w:rsidR="00F065B7" w:rsidRPr="00410EDF" w:rsidRDefault="003D04DD" w:rsidP="00252ED3">
      <w:pPr>
        <w:pStyle w:val="ListParagraph"/>
        <w:numPr>
          <w:ilvl w:val="0"/>
          <w:numId w:val="50"/>
        </w:numPr>
        <w:rPr>
          <w:rFonts w:ascii="Arial" w:hAnsi="Arial" w:cs="Arial"/>
          <w:b/>
        </w:rPr>
      </w:pPr>
      <w:r w:rsidRPr="00410EDF">
        <w:rPr>
          <w:rFonts w:ascii="Arial" w:hAnsi="Arial" w:cs="Arial"/>
          <w:b/>
        </w:rPr>
        <w:fldChar w:fldCharType="begin"/>
      </w:r>
      <w:r w:rsidR="00F065B7" w:rsidRPr="00410EDF">
        <w:rPr>
          <w:rFonts w:ascii="Arial" w:hAnsi="Arial" w:cs="Arial"/>
        </w:rPr>
        <w:instrText xml:space="preserve"> HYPERLINK "file:///C:\\Documents%20and%20Settings\\Administrator\\Sintact%202.0\\cache\\Legislatie\\temp\\00144158.HTM" \l "#" </w:instrText>
      </w:r>
      <w:r w:rsidRPr="00410EDF">
        <w:rPr>
          <w:rFonts w:ascii="Arial" w:hAnsi="Arial" w:cs="Arial"/>
          <w:b/>
        </w:rPr>
        <w:fldChar w:fldCharType="end"/>
      </w:r>
      <w:bookmarkEnd w:id="3"/>
      <w:r w:rsidR="00F065B7" w:rsidRPr="00410EDF">
        <w:rPr>
          <w:rFonts w:ascii="Arial" w:hAnsi="Arial" w:cs="Arial"/>
        </w:rPr>
        <w:t>reciclarea;</w:t>
      </w:r>
    </w:p>
    <w:bookmarkStart w:id="4" w:name="do|ca4|ar4|al1|lid"/>
    <w:p w:rsidR="00F065B7" w:rsidRPr="00410EDF" w:rsidRDefault="003D04DD" w:rsidP="00252ED3">
      <w:pPr>
        <w:pStyle w:val="ListParagraph"/>
        <w:numPr>
          <w:ilvl w:val="0"/>
          <w:numId w:val="50"/>
        </w:numPr>
        <w:rPr>
          <w:rFonts w:ascii="Arial" w:hAnsi="Arial" w:cs="Arial"/>
          <w:b/>
        </w:rPr>
      </w:pPr>
      <w:r w:rsidRPr="00410EDF">
        <w:rPr>
          <w:rFonts w:ascii="Arial" w:hAnsi="Arial" w:cs="Arial"/>
          <w:b/>
        </w:rPr>
        <w:fldChar w:fldCharType="begin"/>
      </w:r>
      <w:r w:rsidR="00F065B7" w:rsidRPr="00410EDF">
        <w:rPr>
          <w:rFonts w:ascii="Arial" w:hAnsi="Arial" w:cs="Arial"/>
        </w:rPr>
        <w:instrText xml:space="preserve"> HYPERLINK "file:///C:\\Documents%20and%20Settings\\Administrator\\Sintact%202.0\\cache\\Legislatie\\temp\\00144158.HTM" \l "#" </w:instrText>
      </w:r>
      <w:r w:rsidRPr="00410EDF">
        <w:rPr>
          <w:rFonts w:ascii="Arial" w:hAnsi="Arial" w:cs="Arial"/>
          <w:b/>
        </w:rPr>
        <w:fldChar w:fldCharType="end"/>
      </w:r>
      <w:bookmarkEnd w:id="4"/>
      <w:r w:rsidR="00F065B7" w:rsidRPr="00410EDF">
        <w:rPr>
          <w:rFonts w:ascii="Arial" w:hAnsi="Arial" w:cs="Arial"/>
        </w:rPr>
        <w:t>alte operaţiuni de valorificare, de exemplu valorificarea energetică;</w:t>
      </w:r>
    </w:p>
    <w:bookmarkStart w:id="5" w:name="do|ca4|ar4|al1|lie"/>
    <w:p w:rsidR="00F065B7" w:rsidRPr="00410EDF" w:rsidRDefault="003D04DD" w:rsidP="00252ED3">
      <w:pPr>
        <w:pStyle w:val="ListParagraph"/>
        <w:numPr>
          <w:ilvl w:val="0"/>
          <w:numId w:val="50"/>
        </w:numPr>
        <w:rPr>
          <w:rFonts w:ascii="Arial" w:hAnsi="Arial" w:cs="Arial"/>
          <w:b/>
        </w:rPr>
      </w:pPr>
      <w:r w:rsidRPr="00410EDF">
        <w:rPr>
          <w:rFonts w:ascii="Arial" w:hAnsi="Arial" w:cs="Arial"/>
          <w:b/>
        </w:rPr>
        <w:fldChar w:fldCharType="begin"/>
      </w:r>
      <w:r w:rsidR="00F065B7" w:rsidRPr="00410EDF">
        <w:rPr>
          <w:rFonts w:ascii="Arial" w:hAnsi="Arial" w:cs="Arial"/>
        </w:rPr>
        <w:instrText xml:space="preserve"> HYPERLINK "file:///C:\\Documents%20and%20Settings\\Administrator\\Sintact%202.0\\cache\\Legislatie\\temp\\00144158.HTM" \l "#" </w:instrText>
      </w:r>
      <w:r w:rsidRPr="00410EDF">
        <w:rPr>
          <w:rFonts w:ascii="Arial" w:hAnsi="Arial" w:cs="Arial"/>
          <w:b/>
        </w:rPr>
        <w:fldChar w:fldCharType="end"/>
      </w:r>
      <w:bookmarkEnd w:id="5"/>
      <w:r w:rsidR="00F065B7" w:rsidRPr="00410EDF">
        <w:rPr>
          <w:rFonts w:ascii="Arial" w:hAnsi="Arial" w:cs="Arial"/>
        </w:rPr>
        <w:t>eliminarea (depozitarea).</w:t>
      </w:r>
    </w:p>
    <w:p w:rsidR="00F065B7" w:rsidRPr="00410EDF" w:rsidRDefault="00F065B7" w:rsidP="00C625DB">
      <w:pPr>
        <w:autoSpaceDE w:val="0"/>
        <w:autoSpaceDN w:val="0"/>
        <w:adjustRightInd w:val="0"/>
        <w:spacing w:after="0" w:line="240" w:lineRule="auto"/>
        <w:jc w:val="both"/>
        <w:rPr>
          <w:rFonts w:ascii="Arial" w:hAnsi="Arial" w:cs="Arial"/>
          <w:b/>
          <w:sz w:val="24"/>
          <w:szCs w:val="24"/>
          <w:lang w:val="it-IT"/>
        </w:rPr>
      </w:pPr>
      <w:r w:rsidRPr="00410EDF">
        <w:rPr>
          <w:rFonts w:ascii="Arial" w:hAnsi="Arial" w:cs="Arial"/>
          <w:sz w:val="24"/>
          <w:szCs w:val="24"/>
          <w:lang w:val="it-IT"/>
        </w:rPr>
        <w:t xml:space="preserve">Responsabilitatea pentru activităţile de gestionare a deşeurilor revine: </w:t>
      </w:r>
    </w:p>
    <w:p w:rsidR="00F065B7" w:rsidRPr="00410EDF" w:rsidRDefault="00F065B7" w:rsidP="00252ED3">
      <w:pPr>
        <w:pStyle w:val="ListParagraph"/>
        <w:numPr>
          <w:ilvl w:val="0"/>
          <w:numId w:val="51"/>
        </w:numPr>
        <w:jc w:val="both"/>
        <w:rPr>
          <w:rFonts w:ascii="Arial" w:hAnsi="Arial" w:cs="Arial"/>
          <w:b/>
        </w:rPr>
      </w:pPr>
      <w:r w:rsidRPr="00410EDF">
        <w:rPr>
          <w:rFonts w:ascii="Arial" w:hAnsi="Arial" w:cs="Arial"/>
        </w:rPr>
        <w:t>generatorilor acestora în conformitate cu principiul “poluatorul plăteşte” și</w:t>
      </w:r>
    </w:p>
    <w:p w:rsidR="00F065B7" w:rsidRPr="00410EDF" w:rsidRDefault="00F065B7" w:rsidP="00252ED3">
      <w:pPr>
        <w:pStyle w:val="ListParagraph"/>
        <w:numPr>
          <w:ilvl w:val="0"/>
          <w:numId w:val="51"/>
        </w:numPr>
        <w:jc w:val="both"/>
        <w:rPr>
          <w:rFonts w:ascii="Arial" w:hAnsi="Arial" w:cs="Arial"/>
          <w:b/>
        </w:rPr>
      </w:pPr>
      <w:r w:rsidRPr="00410EDF">
        <w:rPr>
          <w:rFonts w:ascii="Arial" w:hAnsi="Arial" w:cs="Arial"/>
        </w:rPr>
        <w:t>producătorilor, în conformitate cu principiul “responsabilitatea producătorului.</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Împreună cu Planul Național de Gestionare a Deșeurilor care va aborda, cu măsuri specifice, fiecare flux de deşeuri, strategia îşi propune să creeze cadrul naţional de planificare necesar pentru dezvoltarea şi implementarea unui management integrat/durabil al deşeurilor.</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În vederea realizării rapo</w:t>
      </w:r>
      <w:r w:rsidR="009A6745" w:rsidRPr="00410EDF">
        <w:rPr>
          <w:rFonts w:ascii="Arial" w:hAnsi="Arial" w:cs="Arial"/>
          <w:sz w:val="24"/>
          <w:szCs w:val="24"/>
        </w:rPr>
        <w:t xml:space="preserve">rtărilor </w:t>
      </w:r>
      <w:r w:rsidRPr="00410EDF">
        <w:rPr>
          <w:rFonts w:ascii="Arial" w:hAnsi="Arial" w:cs="Arial"/>
          <w:sz w:val="24"/>
          <w:szCs w:val="24"/>
        </w:rPr>
        <w:t>statistice către comisia statistică a Uniunii Europene EUROSTAT, privind gestionarea deșeurilor, începând cu anul 2005, Agenţia Naţională pentru Protecţia Mediului a implementat și perfecționat în timp o bază de date națională privind generarea și gestionarea deșeurilor. Noua aplicație dezvoltată în cadrul Sist</w:t>
      </w:r>
      <w:r w:rsidR="009A6745" w:rsidRPr="00410EDF">
        <w:rPr>
          <w:rFonts w:ascii="Arial" w:hAnsi="Arial" w:cs="Arial"/>
          <w:sz w:val="24"/>
          <w:szCs w:val="24"/>
        </w:rPr>
        <w:t xml:space="preserve">emului Integrat de Mediu, </w:t>
      </w:r>
      <w:r w:rsidRPr="00410EDF">
        <w:rPr>
          <w:rFonts w:ascii="Arial" w:hAnsi="Arial" w:cs="Arial"/>
          <w:sz w:val="24"/>
          <w:szCs w:val="24"/>
        </w:rPr>
        <w:t>componenta Statistica deșeurilor, cuprinde 5 tipuri de chestionare ce sunt completate de operatorii economici, astfel:</w:t>
      </w:r>
    </w:p>
    <w:p w:rsidR="00F065B7" w:rsidRPr="00410EDF" w:rsidRDefault="00F065B7" w:rsidP="00252ED3">
      <w:pPr>
        <w:pStyle w:val="ListParagraph"/>
        <w:numPr>
          <w:ilvl w:val="0"/>
          <w:numId w:val="52"/>
        </w:numPr>
        <w:suppressAutoHyphens/>
        <w:autoSpaceDE w:val="0"/>
        <w:autoSpaceDN w:val="0"/>
        <w:adjustRightInd w:val="0"/>
        <w:jc w:val="both"/>
        <w:rPr>
          <w:rFonts w:ascii="Arial" w:hAnsi="Arial" w:cs="Arial"/>
          <w:b/>
        </w:rPr>
      </w:pPr>
      <w:r w:rsidRPr="00410EDF">
        <w:rPr>
          <w:rFonts w:ascii="Arial" w:hAnsi="Arial" w:cs="Arial"/>
        </w:rPr>
        <w:t>PRODDES – este completat de operatorii economici generatori de deşeuri</w:t>
      </w:r>
    </w:p>
    <w:p w:rsidR="00F065B7" w:rsidRPr="00410EDF" w:rsidRDefault="00F065B7" w:rsidP="00252ED3">
      <w:pPr>
        <w:pStyle w:val="ListParagraph"/>
        <w:numPr>
          <w:ilvl w:val="0"/>
          <w:numId w:val="52"/>
        </w:numPr>
        <w:suppressAutoHyphens/>
        <w:autoSpaceDE w:val="0"/>
        <w:autoSpaceDN w:val="0"/>
        <w:adjustRightInd w:val="0"/>
        <w:jc w:val="both"/>
        <w:rPr>
          <w:rFonts w:ascii="Arial" w:hAnsi="Arial" w:cs="Arial"/>
          <w:b/>
        </w:rPr>
      </w:pPr>
      <w:r w:rsidRPr="00410EDF">
        <w:rPr>
          <w:rFonts w:ascii="Arial" w:hAnsi="Arial" w:cs="Arial"/>
        </w:rPr>
        <w:t>MUN – completat de operatorii economici care desfășoară activități de salu</w:t>
      </w:r>
      <w:r w:rsidR="007C1699">
        <w:rPr>
          <w:rFonts w:ascii="Arial" w:hAnsi="Arial" w:cs="Arial"/>
        </w:rPr>
        <w:t>BR</w:t>
      </w:r>
      <w:r w:rsidRPr="00410EDF">
        <w:rPr>
          <w:rFonts w:ascii="Arial" w:hAnsi="Arial" w:cs="Arial"/>
        </w:rPr>
        <w:t>itate</w:t>
      </w:r>
    </w:p>
    <w:p w:rsidR="00F065B7" w:rsidRPr="00410EDF" w:rsidRDefault="00F065B7" w:rsidP="00252ED3">
      <w:pPr>
        <w:pStyle w:val="ListParagraph"/>
        <w:numPr>
          <w:ilvl w:val="0"/>
          <w:numId w:val="52"/>
        </w:numPr>
        <w:suppressAutoHyphens/>
        <w:autoSpaceDE w:val="0"/>
        <w:autoSpaceDN w:val="0"/>
        <w:adjustRightInd w:val="0"/>
        <w:jc w:val="both"/>
        <w:rPr>
          <w:rFonts w:ascii="Arial" w:hAnsi="Arial" w:cs="Arial"/>
          <w:b/>
        </w:rPr>
      </w:pPr>
      <w:r w:rsidRPr="00410EDF">
        <w:rPr>
          <w:rFonts w:ascii="Arial" w:hAnsi="Arial" w:cs="Arial"/>
        </w:rPr>
        <w:t>TRAT- se adresează operatorilor economici care dețin autorizație de mediu pentru instalații de tratare a deşeurilor</w:t>
      </w:r>
    </w:p>
    <w:p w:rsidR="00F065B7" w:rsidRPr="00410EDF" w:rsidRDefault="00F065B7" w:rsidP="00252ED3">
      <w:pPr>
        <w:pStyle w:val="ListParagraph"/>
        <w:numPr>
          <w:ilvl w:val="0"/>
          <w:numId w:val="52"/>
        </w:numPr>
        <w:autoSpaceDE w:val="0"/>
        <w:autoSpaceDN w:val="0"/>
        <w:adjustRightInd w:val="0"/>
        <w:jc w:val="both"/>
        <w:rPr>
          <w:rFonts w:ascii="Arial" w:hAnsi="Arial" w:cs="Arial"/>
          <w:b/>
        </w:rPr>
      </w:pPr>
      <w:r w:rsidRPr="00410EDF">
        <w:rPr>
          <w:rFonts w:ascii="Arial" w:hAnsi="Arial" w:cs="Arial"/>
        </w:rPr>
        <w:t>COLECTARE/TRATARE- este completat de operatorii economici  autorizați să desfășoare activități sub codul CAEN rev. 2 38 și 4677.</w:t>
      </w:r>
    </w:p>
    <w:p w:rsidR="00F065B7" w:rsidRPr="00410EDF" w:rsidRDefault="00F065B7" w:rsidP="00252ED3">
      <w:pPr>
        <w:pStyle w:val="ListParagraph"/>
        <w:numPr>
          <w:ilvl w:val="0"/>
          <w:numId w:val="52"/>
        </w:numPr>
        <w:autoSpaceDE w:val="0"/>
        <w:autoSpaceDN w:val="0"/>
        <w:adjustRightInd w:val="0"/>
        <w:jc w:val="both"/>
        <w:rPr>
          <w:rFonts w:ascii="Arial" w:hAnsi="Arial" w:cs="Arial"/>
          <w:b/>
        </w:rPr>
      </w:pPr>
      <w:r w:rsidRPr="00410EDF">
        <w:rPr>
          <w:rFonts w:ascii="Arial" w:hAnsi="Arial" w:cs="Arial"/>
        </w:rPr>
        <w:t>NĂMOL- se adresează operatorilor economici care dețin staţii de epurare orăşeneşti, respectiv industriale, din a căror activitate rezultă nămoluri.</w:t>
      </w:r>
    </w:p>
    <w:p w:rsidR="006F3B1E" w:rsidRPr="00410EDF" w:rsidRDefault="006F3B1E" w:rsidP="00C625DB">
      <w:pPr>
        <w:pStyle w:val="ListParagraph"/>
        <w:autoSpaceDE w:val="0"/>
        <w:autoSpaceDN w:val="0"/>
        <w:adjustRightInd w:val="0"/>
        <w:ind w:left="0"/>
        <w:jc w:val="both"/>
        <w:rPr>
          <w:rFonts w:ascii="Arial" w:hAnsi="Arial" w:cs="Arial"/>
          <w:b/>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Pentru realizarea acestui capitol au fost folosite datele validate de Agenția pentru Protecția Mediului </w:t>
      </w:r>
      <w:r w:rsidR="00217620">
        <w:rPr>
          <w:rFonts w:ascii="Arial" w:hAnsi="Arial" w:cs="Arial"/>
          <w:sz w:val="24"/>
          <w:szCs w:val="24"/>
        </w:rPr>
        <w:t>Brăila</w:t>
      </w:r>
      <w:r w:rsidRPr="00410EDF">
        <w:rPr>
          <w:rFonts w:ascii="Arial" w:hAnsi="Arial" w:cs="Arial"/>
          <w:sz w:val="24"/>
          <w:szCs w:val="24"/>
        </w:rPr>
        <w:t xml:space="preserve"> rezultate din aplicația Statistica deșeurilor pentru anul 2014.Alte tipuri de date şi informaţii specifice legate de generarea şi gestionarea deşeurilor ce nu fac obiectul bazei de date, au fost însă colectate cu o frecvenţă mai mare şi se referă la anul 201</w:t>
      </w:r>
      <w:r w:rsidR="00845DF8" w:rsidRPr="00410EDF">
        <w:rPr>
          <w:rFonts w:ascii="Arial" w:hAnsi="Arial" w:cs="Arial"/>
          <w:sz w:val="24"/>
          <w:szCs w:val="24"/>
        </w:rPr>
        <w:t>5</w:t>
      </w:r>
      <w:r w:rsidRPr="00410EDF">
        <w:rPr>
          <w:rFonts w:ascii="Arial" w:hAnsi="Arial" w:cs="Arial"/>
          <w:sz w:val="24"/>
          <w:szCs w:val="24"/>
        </w:rPr>
        <w:t xml:space="preserve">. </w:t>
      </w:r>
    </w:p>
    <w:p w:rsidR="00F065B7" w:rsidRPr="00410EDF" w:rsidRDefault="00F065B7" w:rsidP="00C625DB">
      <w:pPr>
        <w:autoSpaceDE w:val="0"/>
        <w:autoSpaceDN w:val="0"/>
        <w:adjustRightInd w:val="0"/>
        <w:spacing w:after="0" w:line="240" w:lineRule="auto"/>
        <w:jc w:val="both"/>
        <w:rPr>
          <w:rFonts w:ascii="Arial" w:hAnsi="Arial" w:cs="Arial"/>
          <w:b/>
          <w:sz w:val="24"/>
          <w:szCs w:val="24"/>
        </w:rPr>
      </w:pPr>
    </w:p>
    <w:p w:rsidR="002442D1" w:rsidRDefault="00F065B7" w:rsidP="00C625DB">
      <w:pPr>
        <w:autoSpaceDE w:val="0"/>
        <w:autoSpaceDN w:val="0"/>
        <w:adjustRightInd w:val="0"/>
        <w:spacing w:after="0" w:line="240" w:lineRule="auto"/>
        <w:jc w:val="both"/>
        <w:rPr>
          <w:rFonts w:ascii="Arial" w:hAnsi="Arial" w:cs="Arial"/>
          <w:b/>
          <w:sz w:val="24"/>
          <w:szCs w:val="24"/>
        </w:rPr>
      </w:pPr>
      <w:r w:rsidRPr="00410EDF">
        <w:rPr>
          <w:rFonts w:ascii="Arial" w:hAnsi="Arial" w:cs="Arial"/>
          <w:b/>
          <w:sz w:val="24"/>
          <w:szCs w:val="24"/>
        </w:rPr>
        <w:t xml:space="preserve">        </w:t>
      </w:r>
    </w:p>
    <w:p w:rsidR="002442D1" w:rsidRDefault="002442D1" w:rsidP="00C625DB">
      <w:pPr>
        <w:autoSpaceDE w:val="0"/>
        <w:autoSpaceDN w:val="0"/>
        <w:adjustRightInd w:val="0"/>
        <w:spacing w:after="0" w:line="240" w:lineRule="auto"/>
        <w:jc w:val="both"/>
        <w:rPr>
          <w:rFonts w:ascii="Arial" w:hAnsi="Arial" w:cs="Arial"/>
          <w:b/>
          <w:sz w:val="24"/>
          <w:szCs w:val="24"/>
        </w:rPr>
      </w:pPr>
    </w:p>
    <w:p w:rsidR="002442D1" w:rsidRDefault="002442D1" w:rsidP="00C625DB">
      <w:pPr>
        <w:autoSpaceDE w:val="0"/>
        <w:autoSpaceDN w:val="0"/>
        <w:adjustRightInd w:val="0"/>
        <w:spacing w:after="0" w:line="240" w:lineRule="auto"/>
        <w:jc w:val="both"/>
        <w:rPr>
          <w:rFonts w:ascii="Arial" w:hAnsi="Arial" w:cs="Arial"/>
          <w:b/>
          <w:sz w:val="24"/>
          <w:szCs w:val="24"/>
        </w:rPr>
      </w:pPr>
    </w:p>
    <w:p w:rsidR="00F065B7" w:rsidRPr="00410EDF" w:rsidRDefault="00F065B7" w:rsidP="002442D1">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b/>
          <w:sz w:val="24"/>
          <w:szCs w:val="24"/>
        </w:rPr>
        <w:lastRenderedPageBreak/>
        <w:t xml:space="preserve">VII.1.1.  </w:t>
      </w:r>
      <w:r w:rsidRPr="00410EDF">
        <w:rPr>
          <w:rFonts w:ascii="Arial" w:hAnsi="Arial" w:cs="Arial"/>
          <w:b/>
          <w:i/>
          <w:sz w:val="24"/>
          <w:szCs w:val="24"/>
        </w:rPr>
        <w:t>Generarea şi gestionarea deşeurilor municipale</w:t>
      </w:r>
    </w:p>
    <w:p w:rsidR="006F3B1E" w:rsidRPr="00410EDF" w:rsidRDefault="006F3B1E" w:rsidP="00C625DB">
      <w:pPr>
        <w:autoSpaceDE w:val="0"/>
        <w:autoSpaceDN w:val="0"/>
        <w:adjustRightInd w:val="0"/>
        <w:spacing w:after="0" w:line="240" w:lineRule="auto"/>
        <w:jc w:val="both"/>
        <w:rPr>
          <w:rFonts w:ascii="Arial" w:hAnsi="Arial" w:cs="Arial"/>
          <w:b/>
          <w:sz w:val="24"/>
          <w:szCs w:val="24"/>
        </w:rPr>
      </w:pPr>
    </w:p>
    <w:p w:rsidR="00F065B7" w:rsidRPr="00410EDF" w:rsidRDefault="00F065B7" w:rsidP="00C625DB">
      <w:pPr>
        <w:autoSpaceDE w:val="0"/>
        <w:autoSpaceDN w:val="0"/>
        <w:adjustRightInd w:val="0"/>
        <w:spacing w:after="0" w:line="240" w:lineRule="auto"/>
        <w:jc w:val="both"/>
        <w:rPr>
          <w:rFonts w:ascii="Arial" w:hAnsi="Arial" w:cs="Arial"/>
          <w:b/>
          <w:sz w:val="24"/>
          <w:szCs w:val="24"/>
        </w:rPr>
      </w:pPr>
      <w:r w:rsidRPr="00410EDF">
        <w:rPr>
          <w:rFonts w:ascii="Arial" w:hAnsi="Arial" w:cs="Arial"/>
          <w:b/>
          <w:sz w:val="24"/>
          <w:szCs w:val="24"/>
        </w:rPr>
        <w:t>Cantităţi şi compoziţie</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Deşeurile municipale reprezintă totalitatea deşeurilor generate în mediul urban şi rural din gospodării, instituţii, unităţi comerciale, unităţi economice (deşeuri menajere şi asimilabile), deşeuri stradale colectate din spaţii publice, străzi, parcuri, spaţii verzi, precum şi deşeuri din construcţii şi demolări colectate de operatorii de salu</w:t>
      </w:r>
      <w:r w:rsidR="007C1699">
        <w:rPr>
          <w:rFonts w:ascii="Arial" w:hAnsi="Arial" w:cs="Arial"/>
          <w:sz w:val="24"/>
          <w:szCs w:val="24"/>
        </w:rPr>
        <w:t>BR</w:t>
      </w:r>
      <w:r w:rsidRPr="00410EDF">
        <w:rPr>
          <w:rFonts w:ascii="Arial" w:hAnsi="Arial" w:cs="Arial"/>
          <w:sz w:val="24"/>
          <w:szCs w:val="24"/>
        </w:rPr>
        <w:t>izare.</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Din totalul cantităţii de deşeuri municipale cel mai mare procentaj îl deţin deşeurile menajere şi asimilabile. Acestea au o varietate de surse de provenienţă dintre care cele mai importante ar fi gospodăriile, unităţile economice și instituţiile. </w:t>
      </w:r>
    </w:p>
    <w:p w:rsidR="00F065B7" w:rsidRPr="00410EDF" w:rsidRDefault="00F065B7" w:rsidP="00C625DB">
      <w:pPr>
        <w:spacing w:after="0" w:line="240" w:lineRule="auto"/>
        <w:ind w:firstLine="360"/>
        <w:jc w:val="both"/>
        <w:rPr>
          <w:rFonts w:ascii="Arial" w:hAnsi="Arial" w:cs="Arial"/>
          <w:b/>
          <w:sz w:val="24"/>
          <w:szCs w:val="24"/>
        </w:rPr>
      </w:pPr>
      <w:r w:rsidRPr="00410EDF">
        <w:rPr>
          <w:rFonts w:ascii="Arial" w:hAnsi="Arial" w:cs="Arial"/>
          <w:sz w:val="24"/>
          <w:szCs w:val="24"/>
        </w:rPr>
        <w:t xml:space="preserve">Deşeurile municipale şi asimilabile rezultate în judeţul </w:t>
      </w:r>
      <w:r w:rsidR="00217620">
        <w:rPr>
          <w:rFonts w:ascii="Arial" w:hAnsi="Arial" w:cs="Arial"/>
          <w:sz w:val="24"/>
          <w:szCs w:val="24"/>
        </w:rPr>
        <w:t>Brăila</w:t>
      </w:r>
      <w:r w:rsidRPr="00410EDF">
        <w:rPr>
          <w:rFonts w:ascii="Arial" w:hAnsi="Arial" w:cs="Arial"/>
          <w:sz w:val="24"/>
          <w:szCs w:val="24"/>
        </w:rPr>
        <w:t xml:space="preserve"> sunt de tipul: </w:t>
      </w:r>
    </w:p>
    <w:p w:rsidR="00F065B7" w:rsidRPr="00410EDF" w:rsidRDefault="00F065B7" w:rsidP="00252ED3">
      <w:pPr>
        <w:pStyle w:val="ListParagraph"/>
        <w:numPr>
          <w:ilvl w:val="0"/>
          <w:numId w:val="53"/>
        </w:numPr>
        <w:jc w:val="both"/>
        <w:rPr>
          <w:rFonts w:ascii="Arial" w:hAnsi="Arial" w:cs="Arial"/>
          <w:b/>
        </w:rPr>
      </w:pPr>
      <w:r w:rsidRPr="00410EDF">
        <w:rPr>
          <w:rFonts w:ascii="Arial" w:hAnsi="Arial" w:cs="Arial"/>
        </w:rPr>
        <w:t>deşeuri menajere colectate în amestec şi separat de la populaţie;</w:t>
      </w:r>
    </w:p>
    <w:p w:rsidR="00F065B7" w:rsidRPr="00410EDF" w:rsidRDefault="00F065B7" w:rsidP="00252ED3">
      <w:pPr>
        <w:pStyle w:val="ListParagraph"/>
        <w:numPr>
          <w:ilvl w:val="0"/>
          <w:numId w:val="53"/>
        </w:numPr>
        <w:jc w:val="both"/>
        <w:rPr>
          <w:rFonts w:ascii="Arial" w:hAnsi="Arial" w:cs="Arial"/>
          <w:b/>
        </w:rPr>
      </w:pPr>
      <w:r w:rsidRPr="00410EDF">
        <w:rPr>
          <w:rFonts w:ascii="Arial" w:hAnsi="Arial" w:cs="Arial"/>
        </w:rPr>
        <w:t>deşeuri asimilabile celor menajere colectate din industrie, comerţ şi instituţii;</w:t>
      </w:r>
    </w:p>
    <w:p w:rsidR="00F065B7" w:rsidRPr="00410EDF" w:rsidRDefault="00F065B7" w:rsidP="00252ED3">
      <w:pPr>
        <w:pStyle w:val="ListParagraph"/>
        <w:numPr>
          <w:ilvl w:val="0"/>
          <w:numId w:val="53"/>
        </w:numPr>
        <w:jc w:val="both"/>
        <w:rPr>
          <w:rFonts w:ascii="Arial" w:hAnsi="Arial" w:cs="Arial"/>
          <w:b/>
        </w:rPr>
      </w:pPr>
      <w:r w:rsidRPr="00410EDF">
        <w:rPr>
          <w:rFonts w:ascii="Arial" w:hAnsi="Arial" w:cs="Arial"/>
        </w:rPr>
        <w:t>deşeuri stradale;</w:t>
      </w:r>
    </w:p>
    <w:p w:rsidR="00F065B7" w:rsidRPr="00410EDF" w:rsidRDefault="00F065B7" w:rsidP="00252ED3">
      <w:pPr>
        <w:pStyle w:val="ListParagraph"/>
        <w:numPr>
          <w:ilvl w:val="0"/>
          <w:numId w:val="53"/>
        </w:numPr>
        <w:jc w:val="both"/>
        <w:rPr>
          <w:rFonts w:ascii="Arial" w:hAnsi="Arial" w:cs="Arial"/>
          <w:b/>
        </w:rPr>
      </w:pPr>
      <w:r w:rsidRPr="00410EDF">
        <w:rPr>
          <w:rFonts w:ascii="Arial" w:hAnsi="Arial" w:cs="Arial"/>
        </w:rPr>
        <w:t>deşeuri din pieţe;</w:t>
      </w:r>
    </w:p>
    <w:p w:rsidR="00F065B7" w:rsidRPr="00410EDF" w:rsidRDefault="00F065B7" w:rsidP="00252ED3">
      <w:pPr>
        <w:pStyle w:val="ListParagraph"/>
        <w:numPr>
          <w:ilvl w:val="0"/>
          <w:numId w:val="53"/>
        </w:numPr>
        <w:jc w:val="both"/>
        <w:rPr>
          <w:rFonts w:ascii="Arial" w:hAnsi="Arial" w:cs="Arial"/>
          <w:b/>
        </w:rPr>
      </w:pPr>
      <w:r w:rsidRPr="00410EDF">
        <w:rPr>
          <w:rFonts w:ascii="Arial" w:hAnsi="Arial" w:cs="Arial"/>
        </w:rPr>
        <w:t>deşeuri din grădini şi parcuri</w:t>
      </w:r>
    </w:p>
    <w:p w:rsidR="00F065B7" w:rsidRPr="00410EDF" w:rsidRDefault="00F065B7" w:rsidP="00252ED3">
      <w:pPr>
        <w:pStyle w:val="ListParagraph"/>
        <w:numPr>
          <w:ilvl w:val="0"/>
          <w:numId w:val="53"/>
        </w:numPr>
        <w:autoSpaceDE w:val="0"/>
        <w:autoSpaceDN w:val="0"/>
        <w:adjustRightInd w:val="0"/>
        <w:jc w:val="both"/>
        <w:rPr>
          <w:rFonts w:ascii="Arial" w:hAnsi="Arial" w:cs="Arial"/>
          <w:b/>
        </w:rPr>
      </w:pPr>
      <w:r w:rsidRPr="00410EDF">
        <w:rPr>
          <w:rFonts w:ascii="Arial" w:hAnsi="Arial" w:cs="Arial"/>
        </w:rPr>
        <w:t>deşeuri din construcţii şi demolări.</w:t>
      </w:r>
    </w:p>
    <w:p w:rsidR="006F3B1E" w:rsidRPr="00410EDF" w:rsidRDefault="006F3B1E" w:rsidP="00C625DB">
      <w:pPr>
        <w:autoSpaceDE w:val="0"/>
        <w:autoSpaceDN w:val="0"/>
        <w:adjustRightInd w:val="0"/>
        <w:spacing w:after="0" w:line="240" w:lineRule="auto"/>
        <w:jc w:val="both"/>
        <w:rPr>
          <w:rFonts w:ascii="Arial" w:hAnsi="Arial" w:cs="Arial"/>
          <w:b/>
          <w:sz w:val="24"/>
          <w:szCs w:val="24"/>
        </w:rPr>
      </w:pPr>
    </w:p>
    <w:p w:rsidR="00F065B7" w:rsidRPr="00410EDF" w:rsidRDefault="00F065B7" w:rsidP="00C625DB">
      <w:pPr>
        <w:spacing w:after="0" w:line="240" w:lineRule="auto"/>
        <w:ind w:firstLine="708"/>
        <w:jc w:val="both"/>
        <w:rPr>
          <w:rFonts w:ascii="Arial" w:hAnsi="Arial" w:cs="Arial"/>
          <w:b/>
          <w:sz w:val="24"/>
          <w:szCs w:val="24"/>
        </w:rPr>
      </w:pPr>
      <w:r w:rsidRPr="00410EDF">
        <w:rPr>
          <w:rFonts w:ascii="Arial" w:hAnsi="Arial" w:cs="Arial"/>
          <w:sz w:val="24"/>
          <w:szCs w:val="24"/>
        </w:rPr>
        <w:t xml:space="preserve">În tabelul VII. 1.1.1 și figura VII.1.1.1 este prezentată evoluția generării deșeurilor municipale în județul </w:t>
      </w:r>
      <w:r w:rsidR="00217620">
        <w:rPr>
          <w:rFonts w:ascii="Arial" w:hAnsi="Arial" w:cs="Arial"/>
          <w:sz w:val="24"/>
          <w:szCs w:val="24"/>
        </w:rPr>
        <w:t>Brăila</w:t>
      </w:r>
      <w:r w:rsidRPr="00410EDF">
        <w:rPr>
          <w:rFonts w:ascii="Arial" w:hAnsi="Arial" w:cs="Arial"/>
          <w:sz w:val="24"/>
          <w:szCs w:val="24"/>
        </w:rPr>
        <w:t xml:space="preserve"> pentru perioada 20</w:t>
      </w:r>
      <w:r w:rsidR="00845DF8" w:rsidRPr="00410EDF">
        <w:rPr>
          <w:rFonts w:ascii="Arial" w:hAnsi="Arial" w:cs="Arial"/>
          <w:sz w:val="24"/>
          <w:szCs w:val="24"/>
        </w:rPr>
        <w:t>10</w:t>
      </w:r>
      <w:r w:rsidRPr="00410EDF">
        <w:rPr>
          <w:rFonts w:ascii="Arial" w:hAnsi="Arial" w:cs="Arial"/>
          <w:sz w:val="24"/>
          <w:szCs w:val="24"/>
        </w:rPr>
        <w:t>-201</w:t>
      </w:r>
      <w:r w:rsidR="00845DF8" w:rsidRPr="00410EDF">
        <w:rPr>
          <w:rFonts w:ascii="Arial" w:hAnsi="Arial" w:cs="Arial"/>
          <w:sz w:val="24"/>
          <w:szCs w:val="24"/>
        </w:rPr>
        <w:t>5</w:t>
      </w:r>
      <w:r w:rsidRPr="00410EDF">
        <w:rPr>
          <w:rFonts w:ascii="Arial" w:hAnsi="Arial" w:cs="Arial"/>
          <w:sz w:val="24"/>
          <w:szCs w:val="24"/>
        </w:rPr>
        <w:t>, anul 201</w:t>
      </w:r>
      <w:r w:rsidR="00845DF8" w:rsidRPr="00410EDF">
        <w:rPr>
          <w:rFonts w:ascii="Arial" w:hAnsi="Arial" w:cs="Arial"/>
          <w:sz w:val="24"/>
          <w:szCs w:val="24"/>
        </w:rPr>
        <w:t>5</w:t>
      </w:r>
      <w:r w:rsidRPr="00410EDF">
        <w:rPr>
          <w:rFonts w:ascii="Arial" w:hAnsi="Arial" w:cs="Arial"/>
          <w:sz w:val="24"/>
          <w:szCs w:val="24"/>
        </w:rPr>
        <w:t xml:space="preserve"> fiind ultimul an pentru care există date validate de către ANPM.</w:t>
      </w:r>
      <w:r w:rsidR="006947D2" w:rsidRPr="00410EDF">
        <w:rPr>
          <w:rFonts w:ascii="Arial" w:hAnsi="Arial" w:cs="Arial"/>
          <w:sz w:val="24"/>
          <w:szCs w:val="24"/>
        </w:rPr>
        <w:t xml:space="preserve"> </w:t>
      </w:r>
      <w:r w:rsidRPr="00410EDF">
        <w:rPr>
          <w:rFonts w:ascii="Arial" w:hAnsi="Arial" w:cs="Arial"/>
          <w:sz w:val="24"/>
          <w:szCs w:val="24"/>
        </w:rPr>
        <w:t>Astfel, la nivelul anului 201</w:t>
      </w:r>
      <w:r w:rsidR="006947D2" w:rsidRPr="00410EDF">
        <w:rPr>
          <w:rFonts w:ascii="Arial" w:hAnsi="Arial" w:cs="Arial"/>
          <w:sz w:val="24"/>
          <w:szCs w:val="24"/>
        </w:rPr>
        <w:t>5</w:t>
      </w:r>
      <w:r w:rsidRPr="00410EDF">
        <w:rPr>
          <w:rFonts w:ascii="Arial" w:hAnsi="Arial" w:cs="Arial"/>
          <w:sz w:val="24"/>
          <w:szCs w:val="24"/>
        </w:rPr>
        <w:t xml:space="preserve">, în judeţul </w:t>
      </w:r>
      <w:r w:rsidR="00217620">
        <w:rPr>
          <w:rFonts w:ascii="Arial" w:hAnsi="Arial" w:cs="Arial"/>
          <w:sz w:val="24"/>
          <w:szCs w:val="24"/>
        </w:rPr>
        <w:t>Brăila</w:t>
      </w:r>
      <w:r w:rsidRPr="00410EDF">
        <w:rPr>
          <w:rFonts w:ascii="Arial" w:hAnsi="Arial" w:cs="Arial"/>
          <w:sz w:val="24"/>
          <w:szCs w:val="24"/>
        </w:rPr>
        <w:t xml:space="preserve"> au fost colectate </w:t>
      </w:r>
      <w:r w:rsidR="00845DF8" w:rsidRPr="00410EDF">
        <w:rPr>
          <w:rFonts w:ascii="Arial" w:hAnsi="Arial" w:cs="Arial"/>
          <w:sz w:val="24"/>
          <w:szCs w:val="24"/>
        </w:rPr>
        <w:t>101300</w:t>
      </w:r>
      <w:r w:rsidRPr="00410EDF">
        <w:rPr>
          <w:rFonts w:ascii="Arial" w:hAnsi="Arial" w:cs="Arial"/>
          <w:sz w:val="24"/>
          <w:szCs w:val="24"/>
        </w:rPr>
        <w:t xml:space="preserve"> tone de deşeuri municipale, în amestec şi separat de la populaţie şi operatori economici.</w:t>
      </w:r>
    </w:p>
    <w:p w:rsidR="00F065B7" w:rsidRPr="00410EDF" w:rsidRDefault="00F065B7" w:rsidP="00C625DB">
      <w:pPr>
        <w:spacing w:after="0" w:line="240" w:lineRule="auto"/>
        <w:jc w:val="both"/>
        <w:rPr>
          <w:rFonts w:ascii="Arial" w:hAnsi="Arial" w:cs="Arial"/>
          <w:b/>
          <w:sz w:val="24"/>
          <w:szCs w:val="24"/>
        </w:rPr>
      </w:pPr>
    </w:p>
    <w:p w:rsidR="00845DF8" w:rsidRPr="00410EDF" w:rsidRDefault="00F065B7" w:rsidP="00C625DB">
      <w:pPr>
        <w:spacing w:after="0" w:line="240" w:lineRule="auto"/>
        <w:jc w:val="both"/>
        <w:rPr>
          <w:rFonts w:ascii="Arial" w:hAnsi="Arial" w:cs="Arial"/>
          <w:sz w:val="24"/>
          <w:szCs w:val="24"/>
        </w:rPr>
      </w:pPr>
      <w:r w:rsidRPr="00410EDF">
        <w:rPr>
          <w:rFonts w:ascii="Arial" w:hAnsi="Arial" w:cs="Arial"/>
          <w:bCs/>
          <w:iCs/>
          <w:sz w:val="24"/>
          <w:szCs w:val="24"/>
        </w:rPr>
        <w:t>Tabel VII.1.1.1</w:t>
      </w:r>
      <w:r w:rsidRPr="00410EDF">
        <w:rPr>
          <w:rFonts w:ascii="Arial" w:hAnsi="Arial" w:cs="Arial"/>
          <w:bCs/>
          <w:i/>
          <w:iCs/>
          <w:sz w:val="24"/>
          <w:szCs w:val="24"/>
        </w:rPr>
        <w:t xml:space="preserve">  </w:t>
      </w:r>
      <w:r w:rsidRPr="00410EDF">
        <w:rPr>
          <w:rFonts w:ascii="Arial" w:hAnsi="Arial" w:cs="Arial"/>
          <w:sz w:val="24"/>
          <w:szCs w:val="24"/>
        </w:rPr>
        <w:t>Cantități de d</w:t>
      </w:r>
      <w:r w:rsidRPr="00410EDF">
        <w:rPr>
          <w:rFonts w:ascii="Arial" w:hAnsi="Arial" w:cs="Arial"/>
          <w:bCs/>
          <w:sz w:val="24"/>
          <w:szCs w:val="24"/>
        </w:rPr>
        <w:t>eşeuri municipale generate în perioada 20</w:t>
      </w:r>
      <w:r w:rsidR="00845DF8" w:rsidRPr="00410EDF">
        <w:rPr>
          <w:rFonts w:ascii="Arial" w:hAnsi="Arial" w:cs="Arial"/>
          <w:bCs/>
          <w:sz w:val="24"/>
          <w:szCs w:val="24"/>
        </w:rPr>
        <w:t>10</w:t>
      </w:r>
      <w:r w:rsidRPr="00410EDF">
        <w:rPr>
          <w:rFonts w:ascii="Arial" w:hAnsi="Arial" w:cs="Arial"/>
          <w:bCs/>
          <w:sz w:val="24"/>
          <w:szCs w:val="24"/>
        </w:rPr>
        <w:t>-201</w:t>
      </w:r>
      <w:r w:rsidR="00845DF8" w:rsidRPr="00410EDF">
        <w:rPr>
          <w:rFonts w:ascii="Arial" w:hAnsi="Arial" w:cs="Arial"/>
          <w:bCs/>
          <w:sz w:val="24"/>
          <w:szCs w:val="24"/>
        </w:rPr>
        <w:t>5</w:t>
      </w:r>
      <w:r w:rsidRPr="00410EDF">
        <w:rPr>
          <w:rFonts w:ascii="Arial" w:hAnsi="Arial" w:cs="Arial"/>
          <w:bCs/>
          <w:sz w:val="24"/>
          <w:szCs w:val="24"/>
        </w:rPr>
        <w:t xml:space="preserve"> </w:t>
      </w:r>
      <w:r w:rsidRPr="00410EDF">
        <w:rPr>
          <w:rFonts w:ascii="Arial" w:hAnsi="Arial" w:cs="Arial"/>
          <w:sz w:val="24"/>
          <w:szCs w:val="24"/>
        </w:rPr>
        <w:t>(mii tone)</w:t>
      </w:r>
    </w:p>
    <w:tbl>
      <w:tblPr>
        <w:tblpPr w:leftFromText="180" w:rightFromText="180" w:vertAnchor="text" w:horzAnchor="margin" w:tblpXSpec="center" w:tblpY="442"/>
        <w:tblW w:w="9873"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ayout w:type="fixed"/>
        <w:tblLook w:val="01E0"/>
      </w:tblPr>
      <w:tblGrid>
        <w:gridCol w:w="675"/>
        <w:gridCol w:w="2818"/>
        <w:gridCol w:w="1134"/>
        <w:gridCol w:w="1134"/>
        <w:gridCol w:w="1076"/>
        <w:gridCol w:w="992"/>
        <w:gridCol w:w="926"/>
        <w:gridCol w:w="1118"/>
      </w:tblGrid>
      <w:tr w:rsidR="00845DF8" w:rsidRPr="00410EDF" w:rsidTr="006157E7">
        <w:trPr>
          <w:trHeight w:val="258"/>
        </w:trPr>
        <w:tc>
          <w:tcPr>
            <w:tcW w:w="675" w:type="dxa"/>
          </w:tcPr>
          <w:p w:rsidR="00845DF8" w:rsidRPr="006157E7" w:rsidRDefault="00845DF8" w:rsidP="00C625DB">
            <w:pPr>
              <w:spacing w:after="0" w:line="240" w:lineRule="auto"/>
              <w:rPr>
                <w:rFonts w:ascii="Arial" w:hAnsi="Arial" w:cs="Arial"/>
              </w:rPr>
            </w:pPr>
          </w:p>
        </w:tc>
        <w:tc>
          <w:tcPr>
            <w:tcW w:w="2818" w:type="dxa"/>
          </w:tcPr>
          <w:p w:rsidR="00845DF8" w:rsidRPr="006157E7" w:rsidRDefault="00845DF8" w:rsidP="00C625DB">
            <w:pPr>
              <w:spacing w:after="0" w:line="240" w:lineRule="auto"/>
              <w:rPr>
                <w:rFonts w:ascii="Arial" w:hAnsi="Arial" w:cs="Arial"/>
              </w:rPr>
            </w:pPr>
            <w:r w:rsidRPr="006157E7">
              <w:rPr>
                <w:rFonts w:ascii="Arial" w:hAnsi="Arial" w:cs="Arial"/>
              </w:rPr>
              <w:t>Deşeuri municipale</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2010</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2011</w:t>
            </w:r>
          </w:p>
        </w:tc>
        <w:tc>
          <w:tcPr>
            <w:tcW w:w="1076" w:type="dxa"/>
          </w:tcPr>
          <w:p w:rsidR="00845DF8" w:rsidRPr="006157E7" w:rsidRDefault="00845DF8" w:rsidP="00C625DB">
            <w:pPr>
              <w:spacing w:after="0" w:line="240" w:lineRule="auto"/>
              <w:jc w:val="center"/>
              <w:rPr>
                <w:rFonts w:ascii="Arial" w:hAnsi="Arial" w:cs="Arial"/>
              </w:rPr>
            </w:pPr>
            <w:r w:rsidRPr="006157E7">
              <w:rPr>
                <w:rFonts w:ascii="Arial" w:hAnsi="Arial" w:cs="Arial"/>
              </w:rPr>
              <w:t>2012</w:t>
            </w:r>
          </w:p>
        </w:tc>
        <w:tc>
          <w:tcPr>
            <w:tcW w:w="992" w:type="dxa"/>
          </w:tcPr>
          <w:p w:rsidR="00845DF8" w:rsidRPr="006157E7" w:rsidRDefault="00845DF8" w:rsidP="00C625DB">
            <w:pPr>
              <w:spacing w:after="0" w:line="240" w:lineRule="auto"/>
              <w:jc w:val="center"/>
              <w:rPr>
                <w:rFonts w:ascii="Arial" w:hAnsi="Arial" w:cs="Arial"/>
              </w:rPr>
            </w:pPr>
            <w:r w:rsidRPr="006157E7">
              <w:rPr>
                <w:rFonts w:ascii="Arial" w:hAnsi="Arial" w:cs="Arial"/>
              </w:rPr>
              <w:t>2013</w:t>
            </w:r>
          </w:p>
        </w:tc>
        <w:tc>
          <w:tcPr>
            <w:tcW w:w="926" w:type="dxa"/>
          </w:tcPr>
          <w:p w:rsidR="00845DF8" w:rsidRPr="006157E7" w:rsidRDefault="00845DF8" w:rsidP="00C625DB">
            <w:pPr>
              <w:spacing w:after="0" w:line="240" w:lineRule="auto"/>
              <w:jc w:val="center"/>
              <w:rPr>
                <w:rFonts w:ascii="Arial" w:hAnsi="Arial" w:cs="Arial"/>
              </w:rPr>
            </w:pPr>
            <w:r w:rsidRPr="006157E7">
              <w:rPr>
                <w:rFonts w:ascii="Arial" w:hAnsi="Arial" w:cs="Arial"/>
              </w:rPr>
              <w:t>2014</w:t>
            </w:r>
          </w:p>
        </w:tc>
        <w:tc>
          <w:tcPr>
            <w:tcW w:w="1118" w:type="dxa"/>
          </w:tcPr>
          <w:p w:rsidR="00845DF8" w:rsidRPr="006157E7" w:rsidRDefault="00845DF8" w:rsidP="00C625DB">
            <w:pPr>
              <w:spacing w:after="0" w:line="240" w:lineRule="auto"/>
              <w:jc w:val="center"/>
              <w:rPr>
                <w:rFonts w:ascii="Arial" w:hAnsi="Arial" w:cs="Arial"/>
              </w:rPr>
            </w:pPr>
            <w:r w:rsidRPr="006157E7">
              <w:rPr>
                <w:rFonts w:ascii="Arial" w:hAnsi="Arial" w:cs="Arial"/>
              </w:rPr>
              <w:t>2015</w:t>
            </w:r>
          </w:p>
        </w:tc>
      </w:tr>
      <w:tr w:rsidR="00845DF8" w:rsidRPr="00410EDF" w:rsidTr="006157E7">
        <w:trPr>
          <w:trHeight w:val="273"/>
        </w:trPr>
        <w:tc>
          <w:tcPr>
            <w:tcW w:w="675" w:type="dxa"/>
          </w:tcPr>
          <w:p w:rsidR="00845DF8" w:rsidRPr="006157E7" w:rsidRDefault="00845DF8" w:rsidP="00C625DB">
            <w:pPr>
              <w:spacing w:after="0" w:line="240" w:lineRule="auto"/>
              <w:rPr>
                <w:rFonts w:ascii="Arial" w:hAnsi="Arial" w:cs="Arial"/>
              </w:rPr>
            </w:pPr>
            <w:r w:rsidRPr="006157E7">
              <w:rPr>
                <w:rFonts w:ascii="Arial" w:hAnsi="Arial" w:cs="Arial"/>
              </w:rPr>
              <w:t>1</w:t>
            </w:r>
          </w:p>
        </w:tc>
        <w:tc>
          <w:tcPr>
            <w:tcW w:w="2818" w:type="dxa"/>
          </w:tcPr>
          <w:p w:rsidR="00845DF8" w:rsidRPr="006157E7" w:rsidRDefault="00845DF8" w:rsidP="00C625DB">
            <w:pPr>
              <w:spacing w:after="0" w:line="240" w:lineRule="auto"/>
              <w:rPr>
                <w:rFonts w:ascii="Arial" w:hAnsi="Arial" w:cs="Arial"/>
              </w:rPr>
            </w:pPr>
            <w:r w:rsidRPr="006157E7">
              <w:rPr>
                <w:rFonts w:ascii="Arial" w:hAnsi="Arial" w:cs="Arial"/>
              </w:rPr>
              <w:t>Deşeuri menajere colectate</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59.5</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50.7</w:t>
            </w:r>
          </w:p>
        </w:tc>
        <w:tc>
          <w:tcPr>
            <w:tcW w:w="1076" w:type="dxa"/>
          </w:tcPr>
          <w:p w:rsidR="00845DF8" w:rsidRPr="006157E7" w:rsidRDefault="00845DF8" w:rsidP="00C625DB">
            <w:pPr>
              <w:spacing w:after="0" w:line="240" w:lineRule="auto"/>
              <w:jc w:val="center"/>
              <w:rPr>
                <w:rFonts w:ascii="Arial" w:hAnsi="Arial" w:cs="Arial"/>
              </w:rPr>
            </w:pPr>
            <w:r w:rsidRPr="006157E7">
              <w:rPr>
                <w:rFonts w:ascii="Arial" w:hAnsi="Arial" w:cs="Arial"/>
              </w:rPr>
              <w:t>49.3</w:t>
            </w:r>
          </w:p>
        </w:tc>
        <w:tc>
          <w:tcPr>
            <w:tcW w:w="992" w:type="dxa"/>
          </w:tcPr>
          <w:p w:rsidR="00845DF8" w:rsidRPr="006157E7" w:rsidRDefault="00845DF8" w:rsidP="00C625DB">
            <w:pPr>
              <w:spacing w:after="0" w:line="240" w:lineRule="auto"/>
              <w:jc w:val="center"/>
              <w:rPr>
                <w:rFonts w:ascii="Arial" w:hAnsi="Arial" w:cs="Arial"/>
              </w:rPr>
            </w:pPr>
            <w:r w:rsidRPr="006157E7">
              <w:rPr>
                <w:rFonts w:ascii="Arial" w:hAnsi="Arial" w:cs="Arial"/>
              </w:rPr>
              <w:t>53.8</w:t>
            </w:r>
          </w:p>
        </w:tc>
        <w:tc>
          <w:tcPr>
            <w:tcW w:w="926" w:type="dxa"/>
          </w:tcPr>
          <w:p w:rsidR="00845DF8" w:rsidRPr="006157E7" w:rsidRDefault="00845DF8" w:rsidP="00C625DB">
            <w:pPr>
              <w:spacing w:after="0" w:line="240" w:lineRule="auto"/>
              <w:jc w:val="center"/>
              <w:rPr>
                <w:rFonts w:ascii="Arial" w:hAnsi="Arial" w:cs="Arial"/>
              </w:rPr>
            </w:pPr>
            <w:r w:rsidRPr="006157E7">
              <w:rPr>
                <w:rFonts w:ascii="Arial" w:hAnsi="Arial" w:cs="Arial"/>
              </w:rPr>
              <w:t>46.9</w:t>
            </w:r>
          </w:p>
        </w:tc>
        <w:tc>
          <w:tcPr>
            <w:tcW w:w="1118" w:type="dxa"/>
          </w:tcPr>
          <w:p w:rsidR="00845DF8" w:rsidRPr="006157E7" w:rsidRDefault="00845DF8" w:rsidP="00C625DB">
            <w:pPr>
              <w:spacing w:after="0" w:line="240" w:lineRule="auto"/>
              <w:jc w:val="center"/>
              <w:rPr>
                <w:rFonts w:ascii="Arial" w:hAnsi="Arial" w:cs="Arial"/>
              </w:rPr>
            </w:pPr>
            <w:r w:rsidRPr="006157E7">
              <w:rPr>
                <w:rFonts w:ascii="Arial" w:hAnsi="Arial" w:cs="Arial"/>
              </w:rPr>
              <w:t>53.03</w:t>
            </w:r>
          </w:p>
        </w:tc>
      </w:tr>
      <w:tr w:rsidR="00845DF8" w:rsidRPr="00410EDF" w:rsidTr="006157E7">
        <w:trPr>
          <w:trHeight w:val="273"/>
        </w:trPr>
        <w:tc>
          <w:tcPr>
            <w:tcW w:w="675" w:type="dxa"/>
          </w:tcPr>
          <w:p w:rsidR="00845DF8" w:rsidRPr="006157E7" w:rsidRDefault="00845DF8" w:rsidP="00C625DB">
            <w:pPr>
              <w:spacing w:after="0" w:line="240" w:lineRule="auto"/>
              <w:rPr>
                <w:rFonts w:ascii="Arial" w:hAnsi="Arial" w:cs="Arial"/>
              </w:rPr>
            </w:pPr>
            <w:r w:rsidRPr="006157E7">
              <w:rPr>
                <w:rFonts w:ascii="Arial" w:hAnsi="Arial" w:cs="Arial"/>
              </w:rPr>
              <w:t>1.1</w:t>
            </w:r>
          </w:p>
        </w:tc>
        <w:tc>
          <w:tcPr>
            <w:tcW w:w="2818" w:type="dxa"/>
          </w:tcPr>
          <w:p w:rsidR="00845DF8" w:rsidRPr="006157E7" w:rsidRDefault="00845DF8" w:rsidP="00252ED3">
            <w:pPr>
              <w:numPr>
                <w:ilvl w:val="0"/>
                <w:numId w:val="41"/>
              </w:numPr>
              <w:spacing w:after="0" w:line="240" w:lineRule="auto"/>
              <w:rPr>
                <w:rFonts w:ascii="Arial" w:hAnsi="Arial" w:cs="Arial"/>
              </w:rPr>
            </w:pPr>
            <w:r w:rsidRPr="006157E7">
              <w:rPr>
                <w:rFonts w:ascii="Arial" w:hAnsi="Arial" w:cs="Arial"/>
              </w:rPr>
              <w:t>în amestec</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59.4</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50.6</w:t>
            </w:r>
          </w:p>
        </w:tc>
        <w:tc>
          <w:tcPr>
            <w:tcW w:w="1076" w:type="dxa"/>
          </w:tcPr>
          <w:p w:rsidR="00845DF8" w:rsidRPr="006157E7" w:rsidRDefault="00845DF8" w:rsidP="00C625DB">
            <w:pPr>
              <w:spacing w:after="0" w:line="240" w:lineRule="auto"/>
              <w:jc w:val="center"/>
              <w:rPr>
                <w:rFonts w:ascii="Arial" w:hAnsi="Arial" w:cs="Arial"/>
              </w:rPr>
            </w:pPr>
            <w:r w:rsidRPr="006157E7">
              <w:rPr>
                <w:rFonts w:ascii="Arial" w:hAnsi="Arial" w:cs="Arial"/>
              </w:rPr>
              <w:t>49.2</w:t>
            </w:r>
          </w:p>
        </w:tc>
        <w:tc>
          <w:tcPr>
            <w:tcW w:w="992" w:type="dxa"/>
          </w:tcPr>
          <w:p w:rsidR="00845DF8" w:rsidRPr="006157E7" w:rsidRDefault="00845DF8" w:rsidP="00C625DB">
            <w:pPr>
              <w:spacing w:after="0" w:line="240" w:lineRule="auto"/>
              <w:jc w:val="center"/>
              <w:rPr>
                <w:rFonts w:ascii="Arial" w:hAnsi="Arial" w:cs="Arial"/>
              </w:rPr>
            </w:pPr>
            <w:r w:rsidRPr="006157E7">
              <w:rPr>
                <w:rFonts w:ascii="Arial" w:hAnsi="Arial" w:cs="Arial"/>
              </w:rPr>
              <w:t>53.7</w:t>
            </w:r>
          </w:p>
        </w:tc>
        <w:tc>
          <w:tcPr>
            <w:tcW w:w="926" w:type="dxa"/>
          </w:tcPr>
          <w:p w:rsidR="00845DF8" w:rsidRPr="006157E7" w:rsidRDefault="00845DF8" w:rsidP="00C625DB">
            <w:pPr>
              <w:spacing w:after="0" w:line="240" w:lineRule="auto"/>
              <w:jc w:val="center"/>
              <w:rPr>
                <w:rFonts w:ascii="Arial" w:hAnsi="Arial" w:cs="Arial"/>
              </w:rPr>
            </w:pPr>
            <w:r w:rsidRPr="006157E7">
              <w:rPr>
                <w:rFonts w:ascii="Arial" w:hAnsi="Arial" w:cs="Arial"/>
              </w:rPr>
              <w:t>46.8</w:t>
            </w:r>
          </w:p>
        </w:tc>
        <w:tc>
          <w:tcPr>
            <w:tcW w:w="1118" w:type="dxa"/>
          </w:tcPr>
          <w:p w:rsidR="00845DF8" w:rsidRPr="006157E7" w:rsidRDefault="00845DF8" w:rsidP="00C625DB">
            <w:pPr>
              <w:spacing w:after="0" w:line="240" w:lineRule="auto"/>
              <w:jc w:val="center"/>
              <w:rPr>
                <w:rFonts w:ascii="Arial" w:hAnsi="Arial" w:cs="Arial"/>
              </w:rPr>
            </w:pPr>
            <w:r w:rsidRPr="006157E7">
              <w:rPr>
                <w:rFonts w:ascii="Arial" w:hAnsi="Arial" w:cs="Arial"/>
              </w:rPr>
              <w:t>52.9</w:t>
            </w:r>
          </w:p>
        </w:tc>
      </w:tr>
      <w:tr w:rsidR="00845DF8" w:rsidRPr="00410EDF" w:rsidTr="006157E7">
        <w:trPr>
          <w:trHeight w:val="288"/>
        </w:trPr>
        <w:tc>
          <w:tcPr>
            <w:tcW w:w="675" w:type="dxa"/>
          </w:tcPr>
          <w:p w:rsidR="00845DF8" w:rsidRPr="006157E7" w:rsidRDefault="00845DF8" w:rsidP="00C625DB">
            <w:pPr>
              <w:spacing w:after="0" w:line="240" w:lineRule="auto"/>
              <w:rPr>
                <w:rFonts w:ascii="Arial" w:hAnsi="Arial" w:cs="Arial"/>
              </w:rPr>
            </w:pPr>
            <w:r w:rsidRPr="006157E7">
              <w:rPr>
                <w:rFonts w:ascii="Arial" w:hAnsi="Arial" w:cs="Arial"/>
              </w:rPr>
              <w:t>1.2</w:t>
            </w:r>
          </w:p>
        </w:tc>
        <w:tc>
          <w:tcPr>
            <w:tcW w:w="2818" w:type="dxa"/>
          </w:tcPr>
          <w:p w:rsidR="00845DF8" w:rsidRPr="006157E7" w:rsidRDefault="00845DF8" w:rsidP="00252ED3">
            <w:pPr>
              <w:numPr>
                <w:ilvl w:val="0"/>
                <w:numId w:val="41"/>
              </w:numPr>
              <w:spacing w:after="0" w:line="240" w:lineRule="auto"/>
              <w:rPr>
                <w:rFonts w:ascii="Arial" w:hAnsi="Arial" w:cs="Arial"/>
              </w:rPr>
            </w:pPr>
            <w:r w:rsidRPr="006157E7">
              <w:rPr>
                <w:rFonts w:ascii="Arial" w:hAnsi="Arial" w:cs="Arial"/>
              </w:rPr>
              <w:t>selectiv</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0.1</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0.1</w:t>
            </w:r>
          </w:p>
        </w:tc>
        <w:tc>
          <w:tcPr>
            <w:tcW w:w="1076" w:type="dxa"/>
          </w:tcPr>
          <w:p w:rsidR="00845DF8" w:rsidRPr="006157E7" w:rsidRDefault="00845DF8" w:rsidP="00C625DB">
            <w:pPr>
              <w:spacing w:after="0" w:line="240" w:lineRule="auto"/>
              <w:jc w:val="center"/>
              <w:rPr>
                <w:rFonts w:ascii="Arial" w:hAnsi="Arial" w:cs="Arial"/>
              </w:rPr>
            </w:pPr>
            <w:r w:rsidRPr="006157E7">
              <w:rPr>
                <w:rFonts w:ascii="Arial" w:hAnsi="Arial" w:cs="Arial"/>
              </w:rPr>
              <w:t>0.1</w:t>
            </w:r>
          </w:p>
        </w:tc>
        <w:tc>
          <w:tcPr>
            <w:tcW w:w="992" w:type="dxa"/>
          </w:tcPr>
          <w:p w:rsidR="00845DF8" w:rsidRPr="006157E7" w:rsidRDefault="00845DF8" w:rsidP="00C625DB">
            <w:pPr>
              <w:spacing w:after="0" w:line="240" w:lineRule="auto"/>
              <w:jc w:val="center"/>
              <w:rPr>
                <w:rFonts w:ascii="Arial" w:hAnsi="Arial" w:cs="Arial"/>
              </w:rPr>
            </w:pPr>
            <w:r w:rsidRPr="006157E7">
              <w:rPr>
                <w:rFonts w:ascii="Arial" w:hAnsi="Arial" w:cs="Arial"/>
              </w:rPr>
              <w:t>0.1</w:t>
            </w:r>
          </w:p>
        </w:tc>
        <w:tc>
          <w:tcPr>
            <w:tcW w:w="926" w:type="dxa"/>
          </w:tcPr>
          <w:p w:rsidR="00845DF8" w:rsidRPr="006157E7" w:rsidRDefault="00845DF8" w:rsidP="00C625DB">
            <w:pPr>
              <w:spacing w:after="0" w:line="240" w:lineRule="auto"/>
              <w:jc w:val="center"/>
              <w:rPr>
                <w:rFonts w:ascii="Arial" w:hAnsi="Arial" w:cs="Arial"/>
              </w:rPr>
            </w:pPr>
            <w:r w:rsidRPr="006157E7">
              <w:rPr>
                <w:rFonts w:ascii="Arial" w:hAnsi="Arial" w:cs="Arial"/>
              </w:rPr>
              <w:t>0.1</w:t>
            </w:r>
          </w:p>
        </w:tc>
        <w:tc>
          <w:tcPr>
            <w:tcW w:w="1118" w:type="dxa"/>
          </w:tcPr>
          <w:p w:rsidR="00845DF8" w:rsidRPr="006157E7" w:rsidRDefault="00845DF8" w:rsidP="00C625DB">
            <w:pPr>
              <w:spacing w:after="0" w:line="240" w:lineRule="auto"/>
              <w:jc w:val="center"/>
              <w:rPr>
                <w:rFonts w:ascii="Arial" w:hAnsi="Arial" w:cs="Arial"/>
              </w:rPr>
            </w:pPr>
            <w:r w:rsidRPr="006157E7">
              <w:rPr>
                <w:rFonts w:ascii="Arial" w:hAnsi="Arial" w:cs="Arial"/>
              </w:rPr>
              <w:t>0.1</w:t>
            </w:r>
          </w:p>
        </w:tc>
      </w:tr>
      <w:tr w:rsidR="00845DF8" w:rsidRPr="00410EDF" w:rsidTr="006157E7">
        <w:trPr>
          <w:trHeight w:val="819"/>
        </w:trPr>
        <w:tc>
          <w:tcPr>
            <w:tcW w:w="675" w:type="dxa"/>
          </w:tcPr>
          <w:p w:rsidR="00845DF8" w:rsidRPr="006157E7" w:rsidRDefault="00845DF8" w:rsidP="00C625DB">
            <w:pPr>
              <w:spacing w:after="0" w:line="240" w:lineRule="auto"/>
              <w:rPr>
                <w:rFonts w:ascii="Arial" w:hAnsi="Arial" w:cs="Arial"/>
              </w:rPr>
            </w:pPr>
            <w:r w:rsidRPr="006157E7">
              <w:rPr>
                <w:rFonts w:ascii="Arial" w:hAnsi="Arial" w:cs="Arial"/>
              </w:rPr>
              <w:t>2</w:t>
            </w:r>
          </w:p>
        </w:tc>
        <w:tc>
          <w:tcPr>
            <w:tcW w:w="2818" w:type="dxa"/>
          </w:tcPr>
          <w:p w:rsidR="00845DF8" w:rsidRPr="006157E7" w:rsidRDefault="00845DF8" w:rsidP="00C625DB">
            <w:pPr>
              <w:spacing w:after="0" w:line="240" w:lineRule="auto"/>
              <w:rPr>
                <w:rFonts w:ascii="Arial" w:hAnsi="Arial" w:cs="Arial"/>
              </w:rPr>
            </w:pPr>
            <w:r w:rsidRPr="006157E7">
              <w:rPr>
                <w:rFonts w:ascii="Arial" w:hAnsi="Arial" w:cs="Arial"/>
              </w:rPr>
              <w:t>Deşeuri din servicii municipale (stradale, pieţe, grădini, parcuri şi spaţii verzi)</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14.2</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14.1</w:t>
            </w:r>
          </w:p>
        </w:tc>
        <w:tc>
          <w:tcPr>
            <w:tcW w:w="1076" w:type="dxa"/>
          </w:tcPr>
          <w:p w:rsidR="00845DF8" w:rsidRPr="006157E7" w:rsidRDefault="00845DF8" w:rsidP="00C625DB">
            <w:pPr>
              <w:spacing w:after="0" w:line="240" w:lineRule="auto"/>
              <w:jc w:val="center"/>
              <w:rPr>
                <w:rFonts w:ascii="Arial" w:hAnsi="Arial" w:cs="Arial"/>
              </w:rPr>
            </w:pPr>
            <w:r w:rsidRPr="006157E7">
              <w:rPr>
                <w:rFonts w:ascii="Arial" w:hAnsi="Arial" w:cs="Arial"/>
              </w:rPr>
              <w:t>16.7</w:t>
            </w:r>
          </w:p>
        </w:tc>
        <w:tc>
          <w:tcPr>
            <w:tcW w:w="992" w:type="dxa"/>
          </w:tcPr>
          <w:p w:rsidR="00845DF8" w:rsidRPr="006157E7" w:rsidRDefault="00845DF8" w:rsidP="00C625DB">
            <w:pPr>
              <w:spacing w:after="0" w:line="240" w:lineRule="auto"/>
              <w:jc w:val="center"/>
              <w:rPr>
                <w:rFonts w:ascii="Arial" w:hAnsi="Arial" w:cs="Arial"/>
              </w:rPr>
            </w:pPr>
            <w:r w:rsidRPr="006157E7">
              <w:rPr>
                <w:rFonts w:ascii="Arial" w:hAnsi="Arial" w:cs="Arial"/>
              </w:rPr>
              <w:t>18.8</w:t>
            </w:r>
          </w:p>
          <w:p w:rsidR="00845DF8" w:rsidRPr="006157E7" w:rsidRDefault="00845DF8" w:rsidP="00C625DB">
            <w:pPr>
              <w:spacing w:after="0" w:line="240" w:lineRule="auto"/>
              <w:jc w:val="center"/>
              <w:rPr>
                <w:rFonts w:ascii="Arial" w:hAnsi="Arial" w:cs="Arial"/>
              </w:rPr>
            </w:pPr>
          </w:p>
        </w:tc>
        <w:tc>
          <w:tcPr>
            <w:tcW w:w="926" w:type="dxa"/>
          </w:tcPr>
          <w:p w:rsidR="00845DF8" w:rsidRPr="006157E7" w:rsidRDefault="00845DF8" w:rsidP="00C625DB">
            <w:pPr>
              <w:spacing w:after="0" w:line="240" w:lineRule="auto"/>
              <w:jc w:val="center"/>
              <w:rPr>
                <w:rFonts w:ascii="Arial" w:hAnsi="Arial" w:cs="Arial"/>
              </w:rPr>
            </w:pPr>
            <w:r w:rsidRPr="006157E7">
              <w:rPr>
                <w:rFonts w:ascii="Arial" w:hAnsi="Arial" w:cs="Arial"/>
              </w:rPr>
              <w:t>18.6</w:t>
            </w:r>
          </w:p>
        </w:tc>
        <w:tc>
          <w:tcPr>
            <w:tcW w:w="1118" w:type="dxa"/>
          </w:tcPr>
          <w:p w:rsidR="00845DF8" w:rsidRPr="006157E7" w:rsidRDefault="00845DF8" w:rsidP="00C625DB">
            <w:pPr>
              <w:spacing w:after="0" w:line="240" w:lineRule="auto"/>
              <w:jc w:val="center"/>
              <w:rPr>
                <w:rFonts w:ascii="Arial" w:hAnsi="Arial" w:cs="Arial"/>
              </w:rPr>
            </w:pPr>
            <w:r w:rsidRPr="006157E7">
              <w:rPr>
                <w:rFonts w:ascii="Arial" w:hAnsi="Arial" w:cs="Arial"/>
              </w:rPr>
              <w:t>19.6</w:t>
            </w:r>
          </w:p>
        </w:tc>
      </w:tr>
      <w:tr w:rsidR="00845DF8" w:rsidRPr="00410EDF" w:rsidTr="006157E7">
        <w:trPr>
          <w:trHeight w:val="258"/>
        </w:trPr>
        <w:tc>
          <w:tcPr>
            <w:tcW w:w="675" w:type="dxa"/>
          </w:tcPr>
          <w:p w:rsidR="00845DF8" w:rsidRPr="006157E7" w:rsidRDefault="00845DF8" w:rsidP="00C625DB">
            <w:pPr>
              <w:spacing w:after="0" w:line="240" w:lineRule="auto"/>
              <w:rPr>
                <w:rFonts w:ascii="Arial" w:hAnsi="Arial" w:cs="Arial"/>
              </w:rPr>
            </w:pPr>
            <w:r w:rsidRPr="006157E7">
              <w:rPr>
                <w:rFonts w:ascii="Arial" w:hAnsi="Arial" w:cs="Arial"/>
              </w:rPr>
              <w:t>3</w:t>
            </w:r>
          </w:p>
        </w:tc>
        <w:tc>
          <w:tcPr>
            <w:tcW w:w="2818" w:type="dxa"/>
          </w:tcPr>
          <w:p w:rsidR="00845DF8" w:rsidRPr="006157E7" w:rsidRDefault="00845DF8" w:rsidP="00C625DB">
            <w:pPr>
              <w:spacing w:after="0" w:line="240" w:lineRule="auto"/>
              <w:rPr>
                <w:rFonts w:ascii="Arial" w:hAnsi="Arial" w:cs="Arial"/>
              </w:rPr>
            </w:pPr>
            <w:r w:rsidRPr="006157E7">
              <w:rPr>
                <w:rFonts w:ascii="Arial" w:hAnsi="Arial" w:cs="Arial"/>
              </w:rPr>
              <w:t>Deşeuri din construcţii şi demolări</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10.8</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10</w:t>
            </w:r>
          </w:p>
        </w:tc>
        <w:tc>
          <w:tcPr>
            <w:tcW w:w="1076" w:type="dxa"/>
          </w:tcPr>
          <w:p w:rsidR="00845DF8" w:rsidRPr="006157E7" w:rsidRDefault="00845DF8" w:rsidP="00C625DB">
            <w:pPr>
              <w:spacing w:after="0" w:line="240" w:lineRule="auto"/>
              <w:jc w:val="center"/>
              <w:rPr>
                <w:rFonts w:ascii="Arial" w:hAnsi="Arial" w:cs="Arial"/>
              </w:rPr>
            </w:pPr>
            <w:r w:rsidRPr="006157E7">
              <w:rPr>
                <w:rFonts w:ascii="Arial" w:hAnsi="Arial" w:cs="Arial"/>
              </w:rPr>
              <w:t>4.9</w:t>
            </w:r>
          </w:p>
        </w:tc>
        <w:tc>
          <w:tcPr>
            <w:tcW w:w="992" w:type="dxa"/>
          </w:tcPr>
          <w:p w:rsidR="00845DF8" w:rsidRPr="006157E7" w:rsidRDefault="00845DF8" w:rsidP="00C625DB">
            <w:pPr>
              <w:spacing w:after="0" w:line="240" w:lineRule="auto"/>
              <w:jc w:val="center"/>
              <w:rPr>
                <w:rFonts w:ascii="Arial" w:hAnsi="Arial" w:cs="Arial"/>
              </w:rPr>
            </w:pPr>
            <w:r w:rsidRPr="006157E7">
              <w:rPr>
                <w:rFonts w:ascii="Arial" w:hAnsi="Arial" w:cs="Arial"/>
              </w:rPr>
              <w:t>4.4</w:t>
            </w:r>
          </w:p>
        </w:tc>
        <w:tc>
          <w:tcPr>
            <w:tcW w:w="926" w:type="dxa"/>
          </w:tcPr>
          <w:p w:rsidR="00845DF8" w:rsidRPr="006157E7" w:rsidRDefault="00845DF8" w:rsidP="00C625DB">
            <w:pPr>
              <w:spacing w:after="0" w:line="240" w:lineRule="auto"/>
              <w:jc w:val="center"/>
              <w:rPr>
                <w:rFonts w:ascii="Arial" w:hAnsi="Arial" w:cs="Arial"/>
              </w:rPr>
            </w:pPr>
            <w:r w:rsidRPr="006157E7">
              <w:rPr>
                <w:rFonts w:ascii="Arial" w:hAnsi="Arial" w:cs="Arial"/>
              </w:rPr>
              <w:t>30.5</w:t>
            </w:r>
          </w:p>
          <w:p w:rsidR="00845DF8" w:rsidRPr="006157E7" w:rsidRDefault="00845DF8" w:rsidP="00C625DB">
            <w:pPr>
              <w:spacing w:after="0" w:line="240" w:lineRule="auto"/>
              <w:jc w:val="center"/>
              <w:rPr>
                <w:rFonts w:ascii="Arial" w:hAnsi="Arial" w:cs="Arial"/>
              </w:rPr>
            </w:pPr>
          </w:p>
        </w:tc>
        <w:tc>
          <w:tcPr>
            <w:tcW w:w="1118" w:type="dxa"/>
          </w:tcPr>
          <w:p w:rsidR="00845DF8" w:rsidRPr="006157E7" w:rsidRDefault="00845DF8" w:rsidP="00C625DB">
            <w:pPr>
              <w:spacing w:after="0" w:line="240" w:lineRule="auto"/>
              <w:jc w:val="center"/>
              <w:rPr>
                <w:rFonts w:ascii="Arial" w:hAnsi="Arial" w:cs="Arial"/>
              </w:rPr>
            </w:pPr>
            <w:r w:rsidRPr="006157E7">
              <w:rPr>
                <w:rFonts w:ascii="Arial" w:hAnsi="Arial" w:cs="Arial"/>
              </w:rPr>
              <w:t>28.7</w:t>
            </w:r>
          </w:p>
        </w:tc>
      </w:tr>
      <w:tr w:rsidR="00845DF8" w:rsidRPr="00410EDF" w:rsidTr="006157E7">
        <w:trPr>
          <w:trHeight w:val="546"/>
        </w:trPr>
        <w:tc>
          <w:tcPr>
            <w:tcW w:w="675" w:type="dxa"/>
          </w:tcPr>
          <w:p w:rsidR="00845DF8" w:rsidRPr="006157E7" w:rsidRDefault="00845DF8" w:rsidP="00C625DB">
            <w:pPr>
              <w:spacing w:after="0" w:line="240" w:lineRule="auto"/>
              <w:rPr>
                <w:rFonts w:ascii="Arial" w:hAnsi="Arial" w:cs="Arial"/>
              </w:rPr>
            </w:pPr>
            <w:r w:rsidRPr="006157E7">
              <w:rPr>
                <w:rFonts w:ascii="Arial" w:hAnsi="Arial" w:cs="Arial"/>
              </w:rPr>
              <w:t>4=1+2+3</w:t>
            </w:r>
          </w:p>
        </w:tc>
        <w:tc>
          <w:tcPr>
            <w:tcW w:w="2818" w:type="dxa"/>
          </w:tcPr>
          <w:p w:rsidR="00845DF8" w:rsidRPr="006157E7" w:rsidRDefault="00845DF8" w:rsidP="00C625DB">
            <w:pPr>
              <w:spacing w:after="0" w:line="240" w:lineRule="auto"/>
              <w:rPr>
                <w:rFonts w:ascii="Arial" w:hAnsi="Arial" w:cs="Arial"/>
              </w:rPr>
            </w:pPr>
            <w:r w:rsidRPr="006157E7">
              <w:rPr>
                <w:rFonts w:ascii="Arial" w:hAnsi="Arial" w:cs="Arial"/>
              </w:rPr>
              <w:t>Total deşeuri municipale colectate</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84.6</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74.8</w:t>
            </w:r>
          </w:p>
        </w:tc>
        <w:tc>
          <w:tcPr>
            <w:tcW w:w="1076" w:type="dxa"/>
          </w:tcPr>
          <w:p w:rsidR="00845DF8" w:rsidRPr="006157E7" w:rsidRDefault="00845DF8" w:rsidP="00C625DB">
            <w:pPr>
              <w:spacing w:after="0" w:line="240" w:lineRule="auto"/>
              <w:jc w:val="center"/>
              <w:rPr>
                <w:rFonts w:ascii="Arial" w:hAnsi="Arial" w:cs="Arial"/>
              </w:rPr>
            </w:pPr>
            <w:r w:rsidRPr="006157E7">
              <w:rPr>
                <w:rFonts w:ascii="Arial" w:hAnsi="Arial" w:cs="Arial"/>
              </w:rPr>
              <w:t>70.9</w:t>
            </w:r>
          </w:p>
        </w:tc>
        <w:tc>
          <w:tcPr>
            <w:tcW w:w="992" w:type="dxa"/>
          </w:tcPr>
          <w:p w:rsidR="00845DF8" w:rsidRPr="006157E7" w:rsidRDefault="00845DF8" w:rsidP="00C625DB">
            <w:pPr>
              <w:spacing w:after="0" w:line="240" w:lineRule="auto"/>
              <w:jc w:val="center"/>
              <w:rPr>
                <w:rFonts w:ascii="Arial" w:hAnsi="Arial" w:cs="Arial"/>
              </w:rPr>
            </w:pPr>
            <w:r w:rsidRPr="006157E7">
              <w:rPr>
                <w:rFonts w:ascii="Arial" w:hAnsi="Arial" w:cs="Arial"/>
              </w:rPr>
              <w:t>77</w:t>
            </w:r>
          </w:p>
        </w:tc>
        <w:tc>
          <w:tcPr>
            <w:tcW w:w="926" w:type="dxa"/>
          </w:tcPr>
          <w:p w:rsidR="00845DF8" w:rsidRPr="006157E7" w:rsidRDefault="00845DF8" w:rsidP="00C625DB">
            <w:pPr>
              <w:spacing w:after="0" w:line="240" w:lineRule="auto"/>
              <w:jc w:val="center"/>
              <w:rPr>
                <w:rFonts w:ascii="Arial" w:hAnsi="Arial" w:cs="Arial"/>
              </w:rPr>
            </w:pPr>
            <w:r w:rsidRPr="006157E7">
              <w:rPr>
                <w:rFonts w:ascii="Arial" w:hAnsi="Arial" w:cs="Arial"/>
              </w:rPr>
              <w:t>96</w:t>
            </w:r>
          </w:p>
        </w:tc>
        <w:tc>
          <w:tcPr>
            <w:tcW w:w="1118" w:type="dxa"/>
          </w:tcPr>
          <w:p w:rsidR="00845DF8" w:rsidRPr="006157E7" w:rsidRDefault="00845DF8" w:rsidP="00C625DB">
            <w:pPr>
              <w:spacing w:after="0" w:line="240" w:lineRule="auto"/>
              <w:jc w:val="center"/>
              <w:rPr>
                <w:rFonts w:ascii="Arial" w:hAnsi="Arial" w:cs="Arial"/>
              </w:rPr>
            </w:pPr>
            <w:r w:rsidRPr="006157E7">
              <w:rPr>
                <w:rFonts w:ascii="Arial" w:hAnsi="Arial" w:cs="Arial"/>
              </w:rPr>
              <w:t>101.3</w:t>
            </w:r>
          </w:p>
        </w:tc>
      </w:tr>
      <w:tr w:rsidR="00845DF8" w:rsidRPr="00410EDF" w:rsidTr="006157E7">
        <w:trPr>
          <w:trHeight w:val="546"/>
        </w:trPr>
        <w:tc>
          <w:tcPr>
            <w:tcW w:w="675" w:type="dxa"/>
          </w:tcPr>
          <w:p w:rsidR="00845DF8" w:rsidRPr="006157E7" w:rsidRDefault="00845DF8" w:rsidP="00C625DB">
            <w:pPr>
              <w:spacing w:after="0" w:line="240" w:lineRule="auto"/>
              <w:rPr>
                <w:rFonts w:ascii="Arial" w:hAnsi="Arial" w:cs="Arial"/>
              </w:rPr>
            </w:pPr>
            <w:r w:rsidRPr="006157E7">
              <w:rPr>
                <w:rFonts w:ascii="Arial" w:hAnsi="Arial" w:cs="Arial"/>
              </w:rPr>
              <w:t>5</w:t>
            </w:r>
          </w:p>
        </w:tc>
        <w:tc>
          <w:tcPr>
            <w:tcW w:w="2818" w:type="dxa"/>
          </w:tcPr>
          <w:p w:rsidR="00845DF8" w:rsidRPr="006157E7" w:rsidRDefault="00845DF8" w:rsidP="00C625DB">
            <w:pPr>
              <w:spacing w:after="0" w:line="240" w:lineRule="auto"/>
              <w:rPr>
                <w:rFonts w:ascii="Arial" w:hAnsi="Arial" w:cs="Arial"/>
              </w:rPr>
            </w:pPr>
            <w:r w:rsidRPr="006157E7">
              <w:rPr>
                <w:rFonts w:ascii="Arial" w:hAnsi="Arial" w:cs="Arial"/>
              </w:rPr>
              <w:t>Deşeuri menajere generate şi necolectate (estimat)*</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33.2</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9.6</w:t>
            </w:r>
          </w:p>
        </w:tc>
        <w:tc>
          <w:tcPr>
            <w:tcW w:w="1076" w:type="dxa"/>
          </w:tcPr>
          <w:p w:rsidR="00845DF8" w:rsidRPr="006157E7" w:rsidRDefault="00845DF8" w:rsidP="00C625DB">
            <w:pPr>
              <w:spacing w:after="0" w:line="240" w:lineRule="auto"/>
              <w:jc w:val="center"/>
              <w:rPr>
                <w:rFonts w:ascii="Arial" w:hAnsi="Arial" w:cs="Arial"/>
              </w:rPr>
            </w:pPr>
            <w:r w:rsidRPr="006157E7">
              <w:rPr>
                <w:rFonts w:ascii="Arial" w:hAnsi="Arial" w:cs="Arial"/>
              </w:rPr>
              <w:t>7.3</w:t>
            </w:r>
          </w:p>
        </w:tc>
        <w:tc>
          <w:tcPr>
            <w:tcW w:w="992" w:type="dxa"/>
          </w:tcPr>
          <w:p w:rsidR="00845DF8" w:rsidRPr="006157E7" w:rsidRDefault="00845DF8" w:rsidP="00C625DB">
            <w:pPr>
              <w:spacing w:after="0" w:line="240" w:lineRule="auto"/>
              <w:jc w:val="center"/>
              <w:rPr>
                <w:rFonts w:ascii="Arial" w:hAnsi="Arial" w:cs="Arial"/>
              </w:rPr>
            </w:pPr>
            <w:r w:rsidRPr="006157E7">
              <w:rPr>
                <w:rFonts w:ascii="Arial" w:hAnsi="Arial" w:cs="Arial"/>
              </w:rPr>
              <w:t>7.5</w:t>
            </w:r>
          </w:p>
        </w:tc>
        <w:tc>
          <w:tcPr>
            <w:tcW w:w="926" w:type="dxa"/>
          </w:tcPr>
          <w:p w:rsidR="00845DF8" w:rsidRPr="006157E7" w:rsidRDefault="00845DF8" w:rsidP="00C625DB">
            <w:pPr>
              <w:spacing w:after="0" w:line="240" w:lineRule="auto"/>
              <w:jc w:val="center"/>
              <w:rPr>
                <w:rFonts w:ascii="Arial" w:hAnsi="Arial" w:cs="Arial"/>
              </w:rPr>
            </w:pPr>
            <w:r w:rsidRPr="006157E7">
              <w:rPr>
                <w:rFonts w:ascii="Arial" w:hAnsi="Arial" w:cs="Arial"/>
              </w:rPr>
              <w:t>10.1</w:t>
            </w:r>
          </w:p>
        </w:tc>
        <w:tc>
          <w:tcPr>
            <w:tcW w:w="1118" w:type="dxa"/>
          </w:tcPr>
          <w:p w:rsidR="00845DF8" w:rsidRPr="006157E7" w:rsidRDefault="00845DF8" w:rsidP="00C625DB">
            <w:pPr>
              <w:spacing w:after="0" w:line="240" w:lineRule="auto"/>
              <w:jc w:val="center"/>
              <w:rPr>
                <w:rFonts w:ascii="Arial" w:hAnsi="Arial" w:cs="Arial"/>
              </w:rPr>
            </w:pPr>
            <w:r w:rsidRPr="006157E7">
              <w:rPr>
                <w:rFonts w:ascii="Arial" w:hAnsi="Arial" w:cs="Arial"/>
              </w:rPr>
              <w:t>12.4</w:t>
            </w:r>
          </w:p>
        </w:tc>
      </w:tr>
      <w:tr w:rsidR="00845DF8" w:rsidRPr="00410EDF" w:rsidTr="006157E7">
        <w:trPr>
          <w:trHeight w:val="258"/>
        </w:trPr>
        <w:tc>
          <w:tcPr>
            <w:tcW w:w="675" w:type="dxa"/>
          </w:tcPr>
          <w:p w:rsidR="00845DF8" w:rsidRPr="006157E7" w:rsidRDefault="00845DF8" w:rsidP="00C625DB">
            <w:pPr>
              <w:spacing w:after="0" w:line="240" w:lineRule="auto"/>
              <w:rPr>
                <w:rFonts w:ascii="Arial" w:hAnsi="Arial" w:cs="Arial"/>
              </w:rPr>
            </w:pPr>
            <w:r w:rsidRPr="006157E7">
              <w:rPr>
                <w:rFonts w:ascii="Arial" w:hAnsi="Arial" w:cs="Arial"/>
              </w:rPr>
              <w:t>6= 4+5</w:t>
            </w:r>
          </w:p>
        </w:tc>
        <w:tc>
          <w:tcPr>
            <w:tcW w:w="2818" w:type="dxa"/>
          </w:tcPr>
          <w:p w:rsidR="00845DF8" w:rsidRPr="006157E7" w:rsidRDefault="00845DF8" w:rsidP="00C625DB">
            <w:pPr>
              <w:spacing w:after="0" w:line="240" w:lineRule="auto"/>
              <w:rPr>
                <w:rFonts w:ascii="Arial" w:hAnsi="Arial" w:cs="Arial"/>
              </w:rPr>
            </w:pPr>
            <w:r w:rsidRPr="006157E7">
              <w:rPr>
                <w:rFonts w:ascii="Arial" w:hAnsi="Arial" w:cs="Arial"/>
              </w:rPr>
              <w:t>Total deşeuri municipale generate</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117.7</w:t>
            </w:r>
          </w:p>
        </w:tc>
        <w:tc>
          <w:tcPr>
            <w:tcW w:w="1134" w:type="dxa"/>
          </w:tcPr>
          <w:p w:rsidR="00845DF8" w:rsidRPr="006157E7" w:rsidRDefault="00845DF8" w:rsidP="00C625DB">
            <w:pPr>
              <w:spacing w:after="0" w:line="240" w:lineRule="auto"/>
              <w:jc w:val="center"/>
              <w:rPr>
                <w:rFonts w:ascii="Arial" w:hAnsi="Arial" w:cs="Arial"/>
              </w:rPr>
            </w:pPr>
            <w:r w:rsidRPr="006157E7">
              <w:rPr>
                <w:rFonts w:ascii="Arial" w:hAnsi="Arial" w:cs="Arial"/>
              </w:rPr>
              <w:t>84.4</w:t>
            </w:r>
          </w:p>
        </w:tc>
        <w:tc>
          <w:tcPr>
            <w:tcW w:w="1076" w:type="dxa"/>
          </w:tcPr>
          <w:p w:rsidR="00845DF8" w:rsidRPr="006157E7" w:rsidRDefault="00845DF8" w:rsidP="00C625DB">
            <w:pPr>
              <w:spacing w:after="0" w:line="240" w:lineRule="auto"/>
              <w:jc w:val="center"/>
              <w:rPr>
                <w:rFonts w:ascii="Arial" w:hAnsi="Arial" w:cs="Arial"/>
              </w:rPr>
            </w:pPr>
            <w:r w:rsidRPr="006157E7">
              <w:rPr>
                <w:rFonts w:ascii="Arial" w:hAnsi="Arial" w:cs="Arial"/>
              </w:rPr>
              <w:t>78.2</w:t>
            </w:r>
          </w:p>
        </w:tc>
        <w:tc>
          <w:tcPr>
            <w:tcW w:w="992" w:type="dxa"/>
          </w:tcPr>
          <w:p w:rsidR="00845DF8" w:rsidRPr="006157E7" w:rsidRDefault="00845DF8" w:rsidP="00C625DB">
            <w:pPr>
              <w:spacing w:after="0" w:line="240" w:lineRule="auto"/>
              <w:jc w:val="center"/>
              <w:rPr>
                <w:rFonts w:ascii="Arial" w:hAnsi="Arial" w:cs="Arial"/>
              </w:rPr>
            </w:pPr>
            <w:r w:rsidRPr="006157E7">
              <w:rPr>
                <w:rFonts w:ascii="Arial" w:hAnsi="Arial" w:cs="Arial"/>
              </w:rPr>
              <w:t>84.5</w:t>
            </w:r>
          </w:p>
        </w:tc>
        <w:tc>
          <w:tcPr>
            <w:tcW w:w="926" w:type="dxa"/>
          </w:tcPr>
          <w:p w:rsidR="00845DF8" w:rsidRPr="006157E7" w:rsidRDefault="00845DF8" w:rsidP="00C625DB">
            <w:pPr>
              <w:spacing w:after="0" w:line="240" w:lineRule="auto"/>
              <w:jc w:val="center"/>
              <w:rPr>
                <w:rFonts w:ascii="Arial" w:hAnsi="Arial" w:cs="Arial"/>
              </w:rPr>
            </w:pPr>
            <w:r w:rsidRPr="006157E7">
              <w:rPr>
                <w:rFonts w:ascii="Arial" w:hAnsi="Arial" w:cs="Arial"/>
              </w:rPr>
              <w:t>106.1</w:t>
            </w:r>
          </w:p>
        </w:tc>
        <w:tc>
          <w:tcPr>
            <w:tcW w:w="1118" w:type="dxa"/>
          </w:tcPr>
          <w:p w:rsidR="00845DF8" w:rsidRPr="006157E7" w:rsidRDefault="00845DF8" w:rsidP="00C625DB">
            <w:pPr>
              <w:spacing w:after="0" w:line="240" w:lineRule="auto"/>
              <w:jc w:val="center"/>
              <w:rPr>
                <w:rFonts w:ascii="Arial" w:hAnsi="Arial" w:cs="Arial"/>
              </w:rPr>
            </w:pPr>
            <w:r w:rsidRPr="006157E7">
              <w:rPr>
                <w:rFonts w:ascii="Arial" w:hAnsi="Arial" w:cs="Arial"/>
              </w:rPr>
              <w:t>113.7</w:t>
            </w:r>
          </w:p>
        </w:tc>
      </w:tr>
    </w:tbl>
    <w:p w:rsidR="006947D2" w:rsidRPr="00410EDF" w:rsidRDefault="006947D2" w:rsidP="00C625DB">
      <w:pPr>
        <w:spacing w:after="0" w:line="240" w:lineRule="auto"/>
        <w:jc w:val="both"/>
        <w:rPr>
          <w:rFonts w:ascii="Arial" w:hAnsi="Arial" w:cs="Arial"/>
          <w:sz w:val="24"/>
          <w:szCs w:val="24"/>
        </w:rPr>
      </w:pPr>
    </w:p>
    <w:p w:rsidR="002442D1" w:rsidRDefault="002442D1" w:rsidP="00C625DB">
      <w:pPr>
        <w:spacing w:after="0" w:line="240" w:lineRule="auto"/>
        <w:ind w:firstLine="708"/>
        <w:jc w:val="both"/>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A fost estimată de asemenea, cantitatea de deșeuri generată dar necolectată din zonele județului care nu au fost deservite de servicii de salu</w:t>
      </w:r>
      <w:r w:rsidR="007C1699">
        <w:rPr>
          <w:rFonts w:ascii="Arial" w:hAnsi="Arial" w:cs="Arial"/>
          <w:sz w:val="24"/>
          <w:szCs w:val="24"/>
        </w:rPr>
        <w:t>BR</w:t>
      </w:r>
      <w:r w:rsidRPr="00410EDF">
        <w:rPr>
          <w:rFonts w:ascii="Arial" w:hAnsi="Arial" w:cs="Arial"/>
          <w:sz w:val="24"/>
          <w:szCs w:val="24"/>
        </w:rPr>
        <w:t>izare, utilizând următorii indicatori de generare stabiliţi de ANPM:</w:t>
      </w:r>
    </w:p>
    <w:p w:rsidR="00F065B7" w:rsidRPr="00410EDF" w:rsidRDefault="00F065B7" w:rsidP="00252ED3">
      <w:pPr>
        <w:pStyle w:val="ListParagraph"/>
        <w:numPr>
          <w:ilvl w:val="0"/>
          <w:numId w:val="54"/>
        </w:numPr>
        <w:jc w:val="both"/>
        <w:rPr>
          <w:rFonts w:ascii="Arial" w:hAnsi="Arial" w:cs="Arial"/>
          <w:b/>
        </w:rPr>
      </w:pPr>
      <w:r w:rsidRPr="00410EDF">
        <w:rPr>
          <w:rFonts w:ascii="Arial" w:hAnsi="Arial" w:cs="Arial"/>
        </w:rPr>
        <w:t>mediul urban: 0,9 kg/loc./an</w:t>
      </w:r>
    </w:p>
    <w:p w:rsidR="00F065B7" w:rsidRPr="00410EDF" w:rsidRDefault="00F065B7" w:rsidP="00252ED3">
      <w:pPr>
        <w:pStyle w:val="ListParagraph"/>
        <w:numPr>
          <w:ilvl w:val="0"/>
          <w:numId w:val="54"/>
        </w:numPr>
        <w:jc w:val="both"/>
        <w:rPr>
          <w:rFonts w:ascii="Arial" w:hAnsi="Arial" w:cs="Arial"/>
          <w:b/>
        </w:rPr>
      </w:pPr>
      <w:r w:rsidRPr="00410EDF">
        <w:rPr>
          <w:rFonts w:ascii="Arial" w:hAnsi="Arial" w:cs="Arial"/>
        </w:rPr>
        <w:t>mediul rural: 0,4 kg/loc./an</w:t>
      </w:r>
    </w:p>
    <w:p w:rsidR="00F065B7" w:rsidRPr="00410EDF" w:rsidRDefault="00F065B7" w:rsidP="00C625DB">
      <w:pPr>
        <w:spacing w:after="0" w:line="240" w:lineRule="auto"/>
        <w:jc w:val="both"/>
        <w:rPr>
          <w:rFonts w:ascii="Arial" w:hAnsi="Arial" w:cs="Arial"/>
          <w:b/>
          <w:i/>
          <w:sz w:val="24"/>
          <w:szCs w:val="24"/>
        </w:rPr>
      </w:pPr>
      <w:r w:rsidRPr="00410EDF">
        <w:rPr>
          <w:rFonts w:ascii="Arial" w:hAnsi="Arial" w:cs="Arial"/>
          <w:i/>
          <w:sz w:val="24"/>
          <w:szCs w:val="24"/>
        </w:rPr>
        <w:t>Sursa de date</w:t>
      </w:r>
      <w:r w:rsidRPr="00410EDF">
        <w:rPr>
          <w:rFonts w:ascii="Arial" w:hAnsi="Arial" w:cs="Arial"/>
          <w:i/>
          <w:sz w:val="24"/>
          <w:szCs w:val="24"/>
        </w:rPr>
        <w:sym w:font="Symbol" w:char="F03A"/>
      </w:r>
      <w:r w:rsidRPr="00410EDF">
        <w:rPr>
          <w:rFonts w:ascii="Arial" w:hAnsi="Arial" w:cs="Arial"/>
          <w:i/>
          <w:sz w:val="24"/>
          <w:szCs w:val="24"/>
        </w:rPr>
        <w:t xml:space="preserve">  Baza de date Medius si SIM-SD- Statistica deseurilor 2013-201</w:t>
      </w:r>
      <w:r w:rsidR="006947D2" w:rsidRPr="00410EDF">
        <w:rPr>
          <w:rFonts w:ascii="Arial" w:hAnsi="Arial" w:cs="Arial"/>
          <w:i/>
          <w:sz w:val="24"/>
          <w:szCs w:val="24"/>
        </w:rPr>
        <w:t>5</w:t>
      </w:r>
    </w:p>
    <w:p w:rsidR="00F065B7" w:rsidRPr="00410EDF" w:rsidRDefault="00F065B7" w:rsidP="00C625DB">
      <w:pPr>
        <w:spacing w:after="0" w:line="240" w:lineRule="auto"/>
        <w:jc w:val="both"/>
        <w:rPr>
          <w:rFonts w:ascii="Arial" w:hAnsi="Arial" w:cs="Arial"/>
          <w:b/>
          <w:i/>
          <w:sz w:val="24"/>
          <w:szCs w:val="24"/>
        </w:rPr>
      </w:pPr>
    </w:p>
    <w:p w:rsidR="00F065B7" w:rsidRPr="00410EDF" w:rsidRDefault="00F065B7" w:rsidP="00C625DB">
      <w:pPr>
        <w:spacing w:after="0" w:line="240" w:lineRule="auto"/>
        <w:jc w:val="center"/>
        <w:rPr>
          <w:rFonts w:ascii="Arial" w:hAnsi="Arial" w:cs="Arial"/>
          <w:b/>
          <w:sz w:val="24"/>
          <w:szCs w:val="24"/>
        </w:rPr>
      </w:pPr>
    </w:p>
    <w:p w:rsidR="00845DF8" w:rsidRPr="00410EDF" w:rsidRDefault="00845DF8" w:rsidP="002442D1">
      <w:pPr>
        <w:spacing w:after="0" w:line="240" w:lineRule="auto"/>
        <w:jc w:val="center"/>
        <w:rPr>
          <w:rFonts w:ascii="Arial" w:hAnsi="Arial" w:cs="Arial"/>
          <w:b/>
          <w:szCs w:val="24"/>
        </w:rPr>
      </w:pPr>
      <w:r w:rsidRPr="00410EDF">
        <w:rPr>
          <w:rFonts w:ascii="Arial" w:hAnsi="Arial" w:cs="Arial"/>
          <w:b/>
          <w:noProof/>
          <w:szCs w:val="24"/>
          <w:lang w:eastAsia="ro-RO"/>
        </w:rPr>
        <w:drawing>
          <wp:inline distT="0" distB="0" distL="0" distR="0">
            <wp:extent cx="5419725" cy="2618313"/>
            <wp:effectExtent l="19050" t="0" r="9525" b="0"/>
            <wp:docPr id="130"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F065B7" w:rsidRPr="00410EDF" w:rsidRDefault="00F065B7" w:rsidP="00C625DB">
      <w:pPr>
        <w:autoSpaceDE w:val="0"/>
        <w:autoSpaceDN w:val="0"/>
        <w:adjustRightInd w:val="0"/>
        <w:spacing w:after="0" w:line="240" w:lineRule="auto"/>
        <w:jc w:val="both"/>
        <w:rPr>
          <w:rFonts w:ascii="Arial" w:hAnsi="Arial" w:cs="Arial"/>
          <w:b/>
          <w:iCs/>
          <w:sz w:val="24"/>
          <w:szCs w:val="24"/>
        </w:rPr>
      </w:pPr>
    </w:p>
    <w:p w:rsidR="002442D1" w:rsidRPr="00410EDF" w:rsidRDefault="002442D1" w:rsidP="002442D1">
      <w:pPr>
        <w:spacing w:after="0" w:line="240" w:lineRule="auto"/>
        <w:jc w:val="center"/>
        <w:rPr>
          <w:rFonts w:ascii="Arial" w:hAnsi="Arial" w:cs="Arial"/>
          <w:b/>
          <w:i/>
          <w:sz w:val="24"/>
          <w:szCs w:val="24"/>
        </w:rPr>
      </w:pPr>
      <w:r w:rsidRPr="00410EDF">
        <w:rPr>
          <w:rFonts w:ascii="Arial" w:hAnsi="Arial" w:cs="Arial"/>
          <w:sz w:val="24"/>
          <w:szCs w:val="24"/>
        </w:rPr>
        <w:t>Figura VII.1.1.1 Structura deșeurilor municipale generate în perioada 2010-2015</w:t>
      </w:r>
    </w:p>
    <w:p w:rsidR="002442D1" w:rsidRDefault="002442D1" w:rsidP="002442D1">
      <w:pPr>
        <w:spacing w:after="0" w:line="240" w:lineRule="auto"/>
        <w:ind w:firstLine="708"/>
        <w:jc w:val="center"/>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Compoziţia procentuală, pe tip de material, a deșeurilor menajere colectate în 201</w:t>
      </w:r>
      <w:r w:rsidR="00845DF8" w:rsidRPr="00410EDF">
        <w:rPr>
          <w:rFonts w:ascii="Arial" w:hAnsi="Arial" w:cs="Arial"/>
          <w:sz w:val="24"/>
          <w:szCs w:val="24"/>
        </w:rPr>
        <w:t>5</w:t>
      </w:r>
      <w:r w:rsidRPr="00410EDF">
        <w:rPr>
          <w:rFonts w:ascii="Arial" w:hAnsi="Arial" w:cs="Arial"/>
          <w:sz w:val="24"/>
          <w:szCs w:val="24"/>
        </w:rPr>
        <w:t xml:space="preserve"> este ilustrată în tabelul și figura VII.1.1.2. Datele privind compoziţia deşeurilor menajere sunt estimate pe baza datelor primite de la operatorii de salu</w:t>
      </w:r>
      <w:r w:rsidR="007C1699">
        <w:rPr>
          <w:rFonts w:ascii="Arial" w:hAnsi="Arial" w:cs="Arial"/>
          <w:sz w:val="24"/>
          <w:szCs w:val="24"/>
        </w:rPr>
        <w:t>BR</w:t>
      </w:r>
      <w:r w:rsidRPr="00410EDF">
        <w:rPr>
          <w:rFonts w:ascii="Arial" w:hAnsi="Arial" w:cs="Arial"/>
          <w:sz w:val="24"/>
          <w:szCs w:val="24"/>
        </w:rPr>
        <w:t xml:space="preserve">itate, nefiind determinată prin măsurători. </w:t>
      </w:r>
    </w:p>
    <w:p w:rsidR="00F065B7" w:rsidRPr="00410EDF" w:rsidRDefault="00F065B7" w:rsidP="00C625DB">
      <w:pPr>
        <w:spacing w:after="0" w:line="240" w:lineRule="auto"/>
        <w:jc w:val="both"/>
        <w:rPr>
          <w:rFonts w:ascii="Arial" w:hAnsi="Arial" w:cs="Arial"/>
          <w:b/>
          <w:sz w:val="24"/>
          <w:szCs w:val="24"/>
        </w:rPr>
      </w:pPr>
    </w:p>
    <w:p w:rsidR="00F065B7" w:rsidRPr="00410EDF" w:rsidRDefault="00F065B7" w:rsidP="00C625DB">
      <w:pPr>
        <w:spacing w:after="0" w:line="240" w:lineRule="auto"/>
        <w:rPr>
          <w:rFonts w:ascii="Arial" w:hAnsi="Arial" w:cs="Arial"/>
          <w:b/>
          <w:sz w:val="24"/>
          <w:szCs w:val="24"/>
        </w:rPr>
      </w:pPr>
      <w:r w:rsidRPr="00410EDF">
        <w:rPr>
          <w:rFonts w:ascii="Arial" w:hAnsi="Arial" w:cs="Arial"/>
          <w:bCs/>
          <w:iCs/>
          <w:sz w:val="24"/>
          <w:szCs w:val="24"/>
        </w:rPr>
        <w:t>Tabel VII.1.1.2</w:t>
      </w:r>
      <w:r w:rsidRPr="00410EDF">
        <w:rPr>
          <w:rFonts w:ascii="Arial" w:hAnsi="Arial" w:cs="Arial"/>
          <w:bCs/>
          <w:i/>
          <w:iCs/>
          <w:sz w:val="24"/>
          <w:szCs w:val="24"/>
        </w:rPr>
        <w:t xml:space="preserve">  </w:t>
      </w:r>
      <w:r w:rsidRPr="00410EDF">
        <w:rPr>
          <w:rFonts w:ascii="Arial" w:hAnsi="Arial" w:cs="Arial"/>
          <w:sz w:val="24"/>
          <w:szCs w:val="24"/>
        </w:rPr>
        <w:t xml:space="preserve">Compoziția deșeurilor menajere colectate de pe raza municipiului </w:t>
      </w:r>
      <w:r w:rsidR="00217620">
        <w:rPr>
          <w:rFonts w:ascii="Arial" w:hAnsi="Arial" w:cs="Arial"/>
          <w:sz w:val="24"/>
          <w:szCs w:val="24"/>
        </w:rPr>
        <w:t>Brăila</w:t>
      </w:r>
    </w:p>
    <w:tbl>
      <w:tblPr>
        <w:tblW w:w="0" w:type="auto"/>
        <w:jc w:val="center"/>
        <w:tblInd w:w="99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2556"/>
        <w:gridCol w:w="2053"/>
      </w:tblGrid>
      <w:tr w:rsidR="00F065B7" w:rsidRPr="00410EDF" w:rsidTr="006157E7">
        <w:trPr>
          <w:jc w:val="center"/>
        </w:trPr>
        <w:tc>
          <w:tcPr>
            <w:tcW w:w="2556" w:type="dxa"/>
            <w:shd w:val="clear" w:color="auto" w:fill="EEECE1" w:themeFill="background2"/>
          </w:tcPr>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caps/>
                <w:sz w:val="24"/>
                <w:szCs w:val="24"/>
              </w:rPr>
              <w:t>material</w:t>
            </w:r>
          </w:p>
        </w:tc>
        <w:tc>
          <w:tcPr>
            <w:tcW w:w="2053" w:type="dxa"/>
            <w:shd w:val="clear" w:color="auto" w:fill="EEECE1" w:themeFill="background2"/>
          </w:tcPr>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caps/>
                <w:sz w:val="24"/>
                <w:szCs w:val="24"/>
              </w:rPr>
              <w:t>procent %</w:t>
            </w:r>
          </w:p>
        </w:tc>
      </w:tr>
      <w:tr w:rsidR="00F065B7" w:rsidRPr="00410EDF" w:rsidTr="006157E7">
        <w:trPr>
          <w:jc w:val="center"/>
        </w:trPr>
        <w:tc>
          <w:tcPr>
            <w:tcW w:w="2556" w:type="dxa"/>
            <w:shd w:val="clear" w:color="auto" w:fill="auto"/>
          </w:tcPr>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Hârtie/carton</w:t>
            </w:r>
          </w:p>
        </w:tc>
        <w:tc>
          <w:tcPr>
            <w:tcW w:w="2053"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11</w:t>
            </w:r>
          </w:p>
        </w:tc>
      </w:tr>
      <w:tr w:rsidR="00F065B7" w:rsidRPr="00410EDF" w:rsidTr="006157E7">
        <w:trPr>
          <w:jc w:val="center"/>
        </w:trPr>
        <w:tc>
          <w:tcPr>
            <w:tcW w:w="2556" w:type="dxa"/>
            <w:shd w:val="clear" w:color="auto" w:fill="auto"/>
          </w:tcPr>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Sticlă</w:t>
            </w:r>
          </w:p>
        </w:tc>
        <w:tc>
          <w:tcPr>
            <w:tcW w:w="2053"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5</w:t>
            </w:r>
          </w:p>
        </w:tc>
      </w:tr>
      <w:tr w:rsidR="00F065B7" w:rsidRPr="00410EDF" w:rsidTr="006157E7">
        <w:trPr>
          <w:jc w:val="center"/>
        </w:trPr>
        <w:tc>
          <w:tcPr>
            <w:tcW w:w="2556" w:type="dxa"/>
            <w:shd w:val="clear" w:color="auto" w:fill="auto"/>
          </w:tcPr>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Metale</w:t>
            </w:r>
          </w:p>
        </w:tc>
        <w:tc>
          <w:tcPr>
            <w:tcW w:w="2053"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5</w:t>
            </w:r>
          </w:p>
        </w:tc>
      </w:tr>
      <w:tr w:rsidR="00F065B7" w:rsidRPr="00410EDF" w:rsidTr="006157E7">
        <w:trPr>
          <w:jc w:val="center"/>
        </w:trPr>
        <w:tc>
          <w:tcPr>
            <w:tcW w:w="2556" w:type="dxa"/>
            <w:shd w:val="clear" w:color="auto" w:fill="auto"/>
          </w:tcPr>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Materiale plastice</w:t>
            </w:r>
          </w:p>
        </w:tc>
        <w:tc>
          <w:tcPr>
            <w:tcW w:w="2053"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10</w:t>
            </w:r>
          </w:p>
        </w:tc>
      </w:tr>
      <w:tr w:rsidR="00F065B7" w:rsidRPr="00410EDF" w:rsidTr="006157E7">
        <w:trPr>
          <w:jc w:val="center"/>
        </w:trPr>
        <w:tc>
          <w:tcPr>
            <w:tcW w:w="2556" w:type="dxa"/>
            <w:shd w:val="clear" w:color="auto" w:fill="auto"/>
          </w:tcPr>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Biodegradabile</w:t>
            </w:r>
          </w:p>
        </w:tc>
        <w:tc>
          <w:tcPr>
            <w:tcW w:w="2053"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52</w:t>
            </w:r>
          </w:p>
        </w:tc>
      </w:tr>
      <w:tr w:rsidR="00F065B7" w:rsidRPr="00410EDF" w:rsidTr="006157E7">
        <w:trPr>
          <w:jc w:val="center"/>
        </w:trPr>
        <w:tc>
          <w:tcPr>
            <w:tcW w:w="2556" w:type="dxa"/>
            <w:shd w:val="clear" w:color="auto" w:fill="auto"/>
          </w:tcPr>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Lemn</w:t>
            </w:r>
          </w:p>
        </w:tc>
        <w:tc>
          <w:tcPr>
            <w:tcW w:w="2053"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3</w:t>
            </w:r>
          </w:p>
        </w:tc>
      </w:tr>
      <w:tr w:rsidR="00F065B7" w:rsidRPr="00410EDF" w:rsidTr="006157E7">
        <w:trPr>
          <w:jc w:val="center"/>
        </w:trPr>
        <w:tc>
          <w:tcPr>
            <w:tcW w:w="2556" w:type="dxa"/>
            <w:shd w:val="clear" w:color="auto" w:fill="auto"/>
          </w:tcPr>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Inerte</w:t>
            </w:r>
          </w:p>
        </w:tc>
        <w:tc>
          <w:tcPr>
            <w:tcW w:w="2053"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w:t>
            </w:r>
          </w:p>
        </w:tc>
      </w:tr>
      <w:tr w:rsidR="00F065B7" w:rsidRPr="00410EDF" w:rsidTr="006157E7">
        <w:trPr>
          <w:jc w:val="center"/>
        </w:trPr>
        <w:tc>
          <w:tcPr>
            <w:tcW w:w="2556" w:type="dxa"/>
            <w:shd w:val="clear" w:color="auto" w:fill="auto"/>
          </w:tcPr>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Altele</w:t>
            </w:r>
          </w:p>
        </w:tc>
        <w:tc>
          <w:tcPr>
            <w:tcW w:w="2053"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12</w:t>
            </w:r>
          </w:p>
        </w:tc>
      </w:tr>
      <w:tr w:rsidR="00F065B7" w:rsidRPr="00410EDF" w:rsidTr="006157E7">
        <w:trPr>
          <w:jc w:val="center"/>
        </w:trPr>
        <w:tc>
          <w:tcPr>
            <w:tcW w:w="2556" w:type="dxa"/>
            <w:shd w:val="clear" w:color="auto" w:fill="auto"/>
          </w:tcPr>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Total</w:t>
            </w:r>
          </w:p>
        </w:tc>
        <w:tc>
          <w:tcPr>
            <w:tcW w:w="2053" w:type="dxa"/>
            <w:shd w:val="clear" w:color="auto" w:fill="auto"/>
          </w:tcPr>
          <w:p w:rsidR="00F065B7" w:rsidRPr="00410EDF" w:rsidRDefault="00F065B7" w:rsidP="00C625DB">
            <w:pPr>
              <w:spacing w:after="0" w:line="240" w:lineRule="auto"/>
              <w:jc w:val="center"/>
              <w:rPr>
                <w:rFonts w:ascii="Arial" w:hAnsi="Arial" w:cs="Arial"/>
                <w:sz w:val="24"/>
                <w:szCs w:val="24"/>
              </w:rPr>
            </w:pPr>
            <w:r w:rsidRPr="00410EDF">
              <w:rPr>
                <w:rFonts w:ascii="Arial" w:hAnsi="Arial" w:cs="Arial"/>
                <w:sz w:val="24"/>
                <w:szCs w:val="24"/>
              </w:rPr>
              <w:t>100</w:t>
            </w:r>
          </w:p>
        </w:tc>
      </w:tr>
    </w:tbl>
    <w:p w:rsidR="00F065B7" w:rsidRPr="00410EDF" w:rsidRDefault="00F065B7"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sz w:val="24"/>
          <w:szCs w:val="24"/>
        </w:rPr>
      </w:pPr>
      <w:r w:rsidRPr="00410EDF">
        <w:rPr>
          <w:rFonts w:ascii="Arial" w:hAnsi="Arial" w:cs="Arial"/>
          <w:noProof/>
          <w:sz w:val="24"/>
          <w:szCs w:val="24"/>
          <w:lang w:eastAsia="ro-RO"/>
        </w:rPr>
        <w:drawing>
          <wp:anchor distT="0" distB="0" distL="114300" distR="114300" simplePos="0" relativeHeight="251664384" behindDoc="0" locked="0" layoutInCell="1" allowOverlap="1">
            <wp:simplePos x="0" y="0"/>
            <wp:positionH relativeFrom="column">
              <wp:posOffset>1042035</wp:posOffset>
            </wp:positionH>
            <wp:positionV relativeFrom="paragraph">
              <wp:posOffset>0</wp:posOffset>
            </wp:positionV>
            <wp:extent cx="4533900" cy="2095500"/>
            <wp:effectExtent l="0" t="0" r="0" b="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4533900" cy="2095500"/>
                    </a:xfrm>
                    <a:prstGeom prst="rect">
                      <a:avLst/>
                    </a:prstGeom>
                    <a:noFill/>
                    <a:ln w="9525">
                      <a:noFill/>
                      <a:miter lim="800000"/>
                      <a:headEnd/>
                      <a:tailEnd/>
                    </a:ln>
                  </pic:spPr>
                </pic:pic>
              </a:graphicData>
            </a:graphic>
          </wp:anchor>
        </w:drawing>
      </w:r>
    </w:p>
    <w:p w:rsidR="00F065B7" w:rsidRPr="00410EDF" w:rsidRDefault="00F065B7"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sz w:val="24"/>
          <w:szCs w:val="24"/>
        </w:rPr>
      </w:pPr>
    </w:p>
    <w:p w:rsidR="00845DF8" w:rsidRPr="00410EDF" w:rsidRDefault="00845DF8" w:rsidP="00C625DB">
      <w:pPr>
        <w:spacing w:after="0" w:line="240" w:lineRule="auto"/>
        <w:rPr>
          <w:rFonts w:ascii="Arial" w:hAnsi="Arial" w:cs="Arial"/>
          <w:sz w:val="24"/>
          <w:szCs w:val="24"/>
        </w:rPr>
      </w:pPr>
    </w:p>
    <w:p w:rsidR="00845DF8" w:rsidRPr="00410EDF" w:rsidRDefault="00845DF8" w:rsidP="00C625DB">
      <w:pPr>
        <w:spacing w:after="0" w:line="240" w:lineRule="auto"/>
        <w:rPr>
          <w:rFonts w:ascii="Arial" w:hAnsi="Arial" w:cs="Arial"/>
          <w:sz w:val="24"/>
          <w:szCs w:val="24"/>
        </w:rPr>
      </w:pPr>
    </w:p>
    <w:p w:rsidR="00845DF8" w:rsidRPr="00410EDF" w:rsidRDefault="00845DF8" w:rsidP="00C625DB">
      <w:pPr>
        <w:spacing w:after="0" w:line="240" w:lineRule="auto"/>
        <w:rPr>
          <w:rFonts w:ascii="Arial" w:hAnsi="Arial" w:cs="Arial"/>
          <w:sz w:val="24"/>
          <w:szCs w:val="24"/>
        </w:rPr>
      </w:pPr>
    </w:p>
    <w:p w:rsidR="00845DF8" w:rsidRPr="00410EDF" w:rsidRDefault="00845DF8" w:rsidP="00C625DB">
      <w:pPr>
        <w:spacing w:after="0" w:line="240" w:lineRule="auto"/>
        <w:rPr>
          <w:rFonts w:ascii="Arial" w:hAnsi="Arial" w:cs="Arial"/>
          <w:sz w:val="24"/>
          <w:szCs w:val="24"/>
        </w:rPr>
      </w:pPr>
    </w:p>
    <w:p w:rsidR="00845DF8" w:rsidRPr="00410EDF" w:rsidRDefault="00845DF8" w:rsidP="00C625DB">
      <w:pPr>
        <w:spacing w:after="0" w:line="240" w:lineRule="auto"/>
        <w:rPr>
          <w:rFonts w:ascii="Arial" w:hAnsi="Arial" w:cs="Arial"/>
          <w:sz w:val="24"/>
          <w:szCs w:val="24"/>
        </w:rPr>
      </w:pPr>
    </w:p>
    <w:p w:rsidR="00845DF8" w:rsidRPr="00410EDF" w:rsidRDefault="00845DF8" w:rsidP="00C625DB">
      <w:pPr>
        <w:spacing w:after="0" w:line="240" w:lineRule="auto"/>
        <w:rPr>
          <w:rFonts w:ascii="Arial" w:hAnsi="Arial" w:cs="Arial"/>
          <w:sz w:val="24"/>
          <w:szCs w:val="24"/>
        </w:rPr>
      </w:pPr>
    </w:p>
    <w:p w:rsidR="00845DF8" w:rsidRPr="00410EDF" w:rsidRDefault="00845DF8" w:rsidP="00C625DB">
      <w:pPr>
        <w:spacing w:after="0" w:line="240" w:lineRule="auto"/>
        <w:rPr>
          <w:rFonts w:ascii="Arial" w:hAnsi="Arial" w:cs="Arial"/>
          <w:sz w:val="24"/>
          <w:szCs w:val="24"/>
        </w:rPr>
      </w:pPr>
    </w:p>
    <w:p w:rsidR="002442D1" w:rsidRPr="00410EDF" w:rsidRDefault="002442D1" w:rsidP="002442D1">
      <w:pPr>
        <w:spacing w:after="0" w:line="240" w:lineRule="auto"/>
        <w:jc w:val="center"/>
        <w:rPr>
          <w:rFonts w:ascii="Arial" w:hAnsi="Arial" w:cs="Arial"/>
          <w:b/>
          <w:sz w:val="24"/>
          <w:szCs w:val="24"/>
        </w:rPr>
      </w:pPr>
      <w:r w:rsidRPr="00410EDF">
        <w:rPr>
          <w:rFonts w:ascii="Arial" w:hAnsi="Arial" w:cs="Arial"/>
          <w:sz w:val="24"/>
          <w:szCs w:val="24"/>
        </w:rPr>
        <w:t xml:space="preserve">Figura VII.1.1.2 </w:t>
      </w:r>
      <w:r w:rsidRPr="00410EDF">
        <w:rPr>
          <w:rFonts w:ascii="Arial" w:hAnsi="Arial" w:cs="Arial"/>
          <w:iCs/>
          <w:sz w:val="24"/>
          <w:szCs w:val="24"/>
        </w:rPr>
        <w:t>Compoziţia procentuală, pe tip de material, a deșeurilor menajere colectate în 2015</w:t>
      </w:r>
    </w:p>
    <w:p w:rsidR="00F065B7" w:rsidRPr="00410EDF" w:rsidRDefault="00F065B7" w:rsidP="002442D1">
      <w:pPr>
        <w:tabs>
          <w:tab w:val="left" w:pos="2100"/>
        </w:tabs>
        <w:spacing w:after="0" w:line="240" w:lineRule="auto"/>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Cantitatea de deșeuri biodegradabile este majoritară în deșeurile menajere, reprezentând aprox. 52% din total. De asemenea, remarcăm ca ridicată ponderea deșeurilor reciclabile de aprox. 30% din total, deșeuri ce ar fi trebuit să se regăsească în circuitul colectării selective.</w:t>
      </w:r>
    </w:p>
    <w:p w:rsidR="00F065B7" w:rsidRPr="00410EDF" w:rsidRDefault="00F065B7" w:rsidP="00C625DB">
      <w:pPr>
        <w:spacing w:after="0" w:line="240" w:lineRule="auto"/>
        <w:ind w:firstLine="708"/>
        <w:jc w:val="both"/>
        <w:rPr>
          <w:rFonts w:ascii="Arial" w:hAnsi="Arial" w:cs="Arial"/>
          <w:b/>
          <w:sz w:val="24"/>
          <w:szCs w:val="24"/>
        </w:rPr>
      </w:pPr>
      <w:r w:rsidRPr="00410EDF">
        <w:rPr>
          <w:rFonts w:ascii="Arial" w:hAnsi="Arial" w:cs="Arial"/>
          <w:sz w:val="24"/>
          <w:szCs w:val="24"/>
        </w:rPr>
        <w:t>Deşeurile reprezintă o pierdere uriaşă de resurse sub formă de materiale şi energie. Cantitatea deşeurilor generate poate fi privită ca un indicator a cât de eficienţi suntem noi ca societate, în special cu privire la utilizarea resurselor naturale şi la operaţiile de tratare a deşeurilor. Deşeurile municipale sunt în prezent cel mai bun indicator disponibil pentru descrierea dezvoltării generale a generării şi tratării deşeurilor în România.</w:t>
      </w:r>
    </w:p>
    <w:tbl>
      <w:tblPr>
        <w:tblpPr w:leftFromText="180" w:rightFromText="180" w:vertAnchor="text" w:horzAnchor="margin" w:tblpX="136"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4A0"/>
      </w:tblPr>
      <w:tblGrid>
        <w:gridCol w:w="10037"/>
      </w:tblGrid>
      <w:tr w:rsidR="00F065B7" w:rsidRPr="00410EDF" w:rsidTr="008914B8">
        <w:tc>
          <w:tcPr>
            <w:tcW w:w="10037" w:type="dxa"/>
            <w:shd w:val="clear" w:color="auto" w:fill="C6D9F1"/>
          </w:tcPr>
          <w:p w:rsidR="00F065B7" w:rsidRPr="00410EDF" w:rsidRDefault="00F065B7" w:rsidP="00C625DB">
            <w:pPr>
              <w:autoSpaceDE w:val="0"/>
              <w:autoSpaceDN w:val="0"/>
              <w:adjustRightInd w:val="0"/>
              <w:spacing w:after="0" w:line="240" w:lineRule="auto"/>
              <w:jc w:val="both"/>
              <w:rPr>
                <w:rFonts w:ascii="Arial" w:hAnsi="Arial" w:cs="Arial"/>
                <w:sz w:val="24"/>
                <w:szCs w:val="24"/>
              </w:rPr>
            </w:pPr>
            <w:r w:rsidRPr="00410EDF">
              <w:rPr>
                <w:rFonts w:ascii="Arial" w:hAnsi="Arial" w:cs="Arial"/>
                <w:sz w:val="24"/>
                <w:szCs w:val="24"/>
              </w:rPr>
              <w:t>Indicatorul RO 16 – Generarea deşeurilor municipale</w:t>
            </w:r>
          </w:p>
          <w:p w:rsidR="00F065B7" w:rsidRPr="00410EDF" w:rsidRDefault="00F065B7" w:rsidP="00C625DB">
            <w:pPr>
              <w:autoSpaceDE w:val="0"/>
              <w:autoSpaceDN w:val="0"/>
              <w:adjustRightInd w:val="0"/>
              <w:spacing w:after="0" w:line="240" w:lineRule="auto"/>
              <w:jc w:val="both"/>
              <w:rPr>
                <w:rFonts w:ascii="Arial" w:hAnsi="Arial" w:cs="Arial"/>
                <w:b/>
                <w:sz w:val="24"/>
                <w:szCs w:val="24"/>
              </w:rPr>
            </w:pPr>
            <w:r w:rsidRPr="00410EDF">
              <w:rPr>
                <w:rFonts w:ascii="Arial" w:hAnsi="Arial" w:cs="Arial"/>
                <w:sz w:val="24"/>
                <w:szCs w:val="24"/>
              </w:rPr>
              <w:t>Indicatorul prezintă generarea deşeurilor municipale, exprimată în kg/cap de locuitor. Deşeurile municipale reprezintă totalitatea deşeurilor generate în mediul urban şi rural din gospodării, instituţii, unităţi comerciale, unităţi economice (deşeuri menajere şi asimilabile), deşeuri stradale colectate din spaţii publice, străzi, parcuri, spaţii verzi, precum şi deşeuri din construcţii şi demolări colectate de operatorii de salu</w:t>
            </w:r>
            <w:r w:rsidR="007C1699">
              <w:rPr>
                <w:rFonts w:ascii="Arial" w:hAnsi="Arial" w:cs="Arial"/>
                <w:sz w:val="24"/>
                <w:szCs w:val="24"/>
              </w:rPr>
              <w:t>BR</w:t>
            </w:r>
            <w:r w:rsidRPr="00410EDF">
              <w:rPr>
                <w:rFonts w:ascii="Arial" w:hAnsi="Arial" w:cs="Arial"/>
                <w:sz w:val="24"/>
                <w:szCs w:val="24"/>
              </w:rPr>
              <w:t>izare.</w:t>
            </w:r>
          </w:p>
        </w:tc>
      </w:tr>
    </w:tbl>
    <w:p w:rsidR="00F065B7" w:rsidRPr="00410EDF" w:rsidRDefault="00F065B7" w:rsidP="00C625DB">
      <w:pPr>
        <w:autoSpaceDE w:val="0"/>
        <w:autoSpaceDN w:val="0"/>
        <w:adjustRightInd w:val="0"/>
        <w:spacing w:after="0" w:line="240" w:lineRule="auto"/>
        <w:jc w:val="both"/>
        <w:rPr>
          <w:rFonts w:ascii="Arial" w:hAnsi="Arial" w:cs="Arial"/>
          <w:b/>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Tabelul şi figura VII.1.1.3 reprezintă evoluţia indicatorului de generare a deşeurilor municipale la nivelul judeţului </w:t>
      </w:r>
      <w:r w:rsidR="00217620">
        <w:rPr>
          <w:rFonts w:ascii="Arial" w:hAnsi="Arial" w:cs="Arial"/>
          <w:sz w:val="24"/>
          <w:szCs w:val="24"/>
        </w:rPr>
        <w:t>Brăila</w:t>
      </w:r>
      <w:r w:rsidRPr="00410EDF">
        <w:rPr>
          <w:rFonts w:ascii="Arial" w:hAnsi="Arial" w:cs="Arial"/>
          <w:sz w:val="24"/>
          <w:szCs w:val="24"/>
        </w:rPr>
        <w:t>, comparativ cu situaţia la nivel naţional şi european.</w:t>
      </w:r>
    </w:p>
    <w:p w:rsidR="00F065B7" w:rsidRPr="00410EDF" w:rsidRDefault="00F065B7" w:rsidP="00C625DB">
      <w:pPr>
        <w:spacing w:after="0" w:line="240" w:lineRule="auto"/>
        <w:jc w:val="both"/>
        <w:rPr>
          <w:rFonts w:ascii="Arial" w:hAnsi="Arial" w:cs="Arial"/>
          <w:sz w:val="24"/>
          <w:szCs w:val="24"/>
        </w:rPr>
      </w:pPr>
    </w:p>
    <w:p w:rsidR="00F065B7" w:rsidRPr="00410EDF" w:rsidRDefault="00F065B7" w:rsidP="00C625DB">
      <w:pPr>
        <w:spacing w:after="0" w:line="240" w:lineRule="auto"/>
        <w:rPr>
          <w:rFonts w:ascii="Arial" w:hAnsi="Arial" w:cs="Arial"/>
          <w:sz w:val="24"/>
          <w:szCs w:val="24"/>
        </w:rPr>
      </w:pPr>
      <w:r w:rsidRPr="00410EDF">
        <w:rPr>
          <w:rFonts w:ascii="Arial" w:hAnsi="Arial" w:cs="Arial"/>
          <w:sz w:val="24"/>
          <w:szCs w:val="24"/>
        </w:rPr>
        <w:t xml:space="preserve"> Tabel VII.1.1.3 Indicatorul de generare a deșeurilor municipale</w:t>
      </w:r>
    </w:p>
    <w:tbl>
      <w:tblPr>
        <w:tblW w:w="0" w:type="auto"/>
        <w:jc w:val="center"/>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3899"/>
        <w:gridCol w:w="1134"/>
        <w:gridCol w:w="992"/>
        <w:gridCol w:w="951"/>
        <w:gridCol w:w="951"/>
        <w:gridCol w:w="988"/>
        <w:gridCol w:w="988"/>
      </w:tblGrid>
      <w:tr w:rsidR="00845DF8" w:rsidRPr="00410EDF" w:rsidTr="006157E7">
        <w:trPr>
          <w:jc w:val="center"/>
        </w:trPr>
        <w:tc>
          <w:tcPr>
            <w:tcW w:w="3899" w:type="dxa"/>
            <w:vMerge w:val="restart"/>
            <w:shd w:val="clear" w:color="auto" w:fill="auto"/>
            <w:vAlign w:val="center"/>
          </w:tcPr>
          <w:p w:rsidR="00845DF8" w:rsidRPr="00410EDF" w:rsidRDefault="00845DF8" w:rsidP="00C625DB">
            <w:pPr>
              <w:spacing w:after="0" w:line="240" w:lineRule="auto"/>
              <w:rPr>
                <w:rFonts w:ascii="Arial" w:hAnsi="Arial" w:cs="Arial"/>
                <w:sz w:val="24"/>
                <w:szCs w:val="24"/>
              </w:rPr>
            </w:pPr>
            <w:r w:rsidRPr="00410EDF">
              <w:rPr>
                <w:rFonts w:ascii="Arial" w:hAnsi="Arial" w:cs="Arial"/>
                <w:sz w:val="24"/>
                <w:szCs w:val="24"/>
              </w:rPr>
              <w:t>Indicatorul RO 16: Generarea deșeurilor municipale</w:t>
            </w:r>
          </w:p>
          <w:p w:rsidR="00845DF8" w:rsidRPr="00410EDF" w:rsidRDefault="00845DF8" w:rsidP="00C625DB">
            <w:pPr>
              <w:spacing w:after="0" w:line="240" w:lineRule="auto"/>
              <w:rPr>
                <w:rFonts w:ascii="Arial" w:hAnsi="Arial" w:cs="Arial"/>
                <w:sz w:val="24"/>
                <w:szCs w:val="24"/>
              </w:rPr>
            </w:pPr>
            <w:r w:rsidRPr="00410EDF">
              <w:rPr>
                <w:rFonts w:ascii="Arial" w:hAnsi="Arial" w:cs="Arial"/>
                <w:sz w:val="24"/>
                <w:szCs w:val="24"/>
              </w:rPr>
              <w:t>Kg/loc/an</w:t>
            </w:r>
          </w:p>
        </w:tc>
        <w:tc>
          <w:tcPr>
            <w:tcW w:w="1134" w:type="dxa"/>
            <w:shd w:val="clear" w:color="auto" w:fill="auto"/>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2010</w:t>
            </w:r>
          </w:p>
        </w:tc>
        <w:tc>
          <w:tcPr>
            <w:tcW w:w="992" w:type="dxa"/>
            <w:shd w:val="clear" w:color="auto" w:fill="auto"/>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2011</w:t>
            </w:r>
          </w:p>
        </w:tc>
        <w:tc>
          <w:tcPr>
            <w:tcW w:w="951" w:type="dxa"/>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2012</w:t>
            </w:r>
          </w:p>
        </w:tc>
        <w:tc>
          <w:tcPr>
            <w:tcW w:w="951" w:type="dxa"/>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2013</w:t>
            </w:r>
          </w:p>
        </w:tc>
        <w:tc>
          <w:tcPr>
            <w:tcW w:w="988" w:type="dxa"/>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2014</w:t>
            </w:r>
          </w:p>
        </w:tc>
        <w:tc>
          <w:tcPr>
            <w:tcW w:w="988" w:type="dxa"/>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2015</w:t>
            </w:r>
          </w:p>
        </w:tc>
      </w:tr>
      <w:tr w:rsidR="00845DF8" w:rsidRPr="00410EDF" w:rsidTr="006157E7">
        <w:trPr>
          <w:jc w:val="center"/>
        </w:trPr>
        <w:tc>
          <w:tcPr>
            <w:tcW w:w="3899" w:type="dxa"/>
            <w:vMerge/>
            <w:shd w:val="clear" w:color="auto" w:fill="auto"/>
            <w:vAlign w:val="center"/>
          </w:tcPr>
          <w:p w:rsidR="00845DF8" w:rsidRPr="00410EDF" w:rsidRDefault="00845DF8" w:rsidP="00C625DB">
            <w:pPr>
              <w:spacing w:after="0" w:line="240" w:lineRule="auto"/>
              <w:rPr>
                <w:rFonts w:ascii="Arial" w:hAnsi="Arial" w:cs="Arial"/>
                <w:sz w:val="24"/>
                <w:szCs w:val="24"/>
              </w:rPr>
            </w:pPr>
          </w:p>
        </w:tc>
        <w:tc>
          <w:tcPr>
            <w:tcW w:w="1134" w:type="dxa"/>
            <w:shd w:val="clear" w:color="auto" w:fill="auto"/>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164,35</w:t>
            </w:r>
          </w:p>
        </w:tc>
        <w:tc>
          <w:tcPr>
            <w:tcW w:w="992" w:type="dxa"/>
            <w:shd w:val="clear" w:color="auto" w:fill="auto"/>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142,46</w:t>
            </w:r>
          </w:p>
        </w:tc>
        <w:tc>
          <w:tcPr>
            <w:tcW w:w="951" w:type="dxa"/>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139,64</w:t>
            </w:r>
          </w:p>
        </w:tc>
        <w:tc>
          <w:tcPr>
            <w:tcW w:w="951" w:type="dxa"/>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153,13</w:t>
            </w:r>
          </w:p>
        </w:tc>
        <w:tc>
          <w:tcPr>
            <w:tcW w:w="988" w:type="dxa"/>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149,95</w:t>
            </w:r>
          </w:p>
        </w:tc>
        <w:tc>
          <w:tcPr>
            <w:tcW w:w="988" w:type="dxa"/>
            <w:vAlign w:val="center"/>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171,65</w:t>
            </w:r>
          </w:p>
        </w:tc>
      </w:tr>
    </w:tbl>
    <w:p w:rsidR="00845DF8" w:rsidRPr="00410EDF" w:rsidRDefault="00845DF8" w:rsidP="00C625DB">
      <w:pPr>
        <w:spacing w:after="0" w:line="240" w:lineRule="auto"/>
        <w:rPr>
          <w:rFonts w:ascii="Arial" w:hAnsi="Arial" w:cs="Arial"/>
          <w:sz w:val="24"/>
          <w:szCs w:val="24"/>
        </w:rPr>
      </w:pPr>
    </w:p>
    <w:p w:rsidR="00845DF8" w:rsidRPr="00410EDF" w:rsidRDefault="00845DF8" w:rsidP="00C625DB">
      <w:pPr>
        <w:spacing w:after="0" w:line="240" w:lineRule="auto"/>
        <w:rPr>
          <w:rFonts w:ascii="Arial" w:hAnsi="Arial" w:cs="Arial"/>
          <w:b/>
          <w:sz w:val="24"/>
          <w:szCs w:val="24"/>
        </w:rPr>
      </w:pPr>
      <w:r w:rsidRPr="00410EDF">
        <w:rPr>
          <w:rFonts w:ascii="Arial" w:hAnsi="Arial" w:cs="Arial"/>
          <w:noProof/>
          <w:sz w:val="24"/>
          <w:szCs w:val="24"/>
          <w:lang w:eastAsia="ro-RO"/>
        </w:rPr>
        <w:drawing>
          <wp:anchor distT="0" distB="0" distL="114300" distR="114300" simplePos="0" relativeHeight="251669504" behindDoc="0" locked="0" layoutInCell="1" allowOverlap="1">
            <wp:simplePos x="0" y="0"/>
            <wp:positionH relativeFrom="column">
              <wp:posOffset>432435</wp:posOffset>
            </wp:positionH>
            <wp:positionV relativeFrom="paragraph">
              <wp:posOffset>128270</wp:posOffset>
            </wp:positionV>
            <wp:extent cx="5324475" cy="2484120"/>
            <wp:effectExtent l="19050" t="0" r="9525" b="0"/>
            <wp:wrapSquare wrapText="right"/>
            <wp:docPr id="132"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p>
    <w:p w:rsidR="00845DF8" w:rsidRPr="00410EDF" w:rsidRDefault="00845DF8" w:rsidP="00C625DB">
      <w:pPr>
        <w:spacing w:after="0" w:line="240" w:lineRule="auto"/>
        <w:rPr>
          <w:rFonts w:ascii="Arial" w:hAnsi="Arial" w:cs="Arial"/>
          <w:b/>
          <w:sz w:val="24"/>
          <w:szCs w:val="24"/>
        </w:rPr>
      </w:pPr>
    </w:p>
    <w:p w:rsidR="00845DF8" w:rsidRPr="00410EDF" w:rsidRDefault="00845DF8" w:rsidP="00C625DB">
      <w:pPr>
        <w:spacing w:after="0" w:line="240" w:lineRule="auto"/>
        <w:rPr>
          <w:rFonts w:ascii="Arial" w:hAnsi="Arial" w:cs="Arial"/>
          <w:b/>
          <w:sz w:val="24"/>
          <w:szCs w:val="24"/>
        </w:rPr>
      </w:pPr>
    </w:p>
    <w:p w:rsidR="002A1D63" w:rsidRDefault="002A1D63" w:rsidP="00C625DB">
      <w:pPr>
        <w:spacing w:after="0" w:line="240" w:lineRule="auto"/>
        <w:rPr>
          <w:rFonts w:ascii="Arial" w:hAnsi="Arial" w:cs="Arial"/>
          <w:i/>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Default="002A1D63" w:rsidP="002A1D63">
      <w:pPr>
        <w:spacing w:after="0" w:line="240" w:lineRule="auto"/>
        <w:rPr>
          <w:rFonts w:ascii="Arial" w:hAnsi="Arial" w:cs="Arial"/>
          <w:sz w:val="24"/>
          <w:szCs w:val="24"/>
        </w:rPr>
      </w:pPr>
    </w:p>
    <w:p w:rsidR="002A1D63" w:rsidRPr="00410EDF" w:rsidRDefault="002A1D63" w:rsidP="002A1D63">
      <w:pPr>
        <w:spacing w:after="0" w:line="240" w:lineRule="auto"/>
        <w:rPr>
          <w:rFonts w:ascii="Arial" w:hAnsi="Arial" w:cs="Arial"/>
          <w:sz w:val="24"/>
          <w:szCs w:val="24"/>
        </w:rPr>
      </w:pPr>
      <w:r>
        <w:rPr>
          <w:rFonts w:ascii="Arial" w:hAnsi="Arial" w:cs="Arial"/>
          <w:sz w:val="24"/>
          <w:szCs w:val="24"/>
        </w:rPr>
        <w:t xml:space="preserve">       </w:t>
      </w:r>
      <w:r w:rsidRPr="00410EDF">
        <w:rPr>
          <w:rFonts w:ascii="Arial" w:hAnsi="Arial" w:cs="Arial"/>
          <w:sz w:val="24"/>
          <w:szCs w:val="24"/>
        </w:rPr>
        <w:t>Figura VII.1.1.3 Evoluția indicatorului de generare a deșeurilor municipale, 2010-2015</w:t>
      </w:r>
    </w:p>
    <w:p w:rsidR="002A1D63" w:rsidRDefault="002A1D63" w:rsidP="00C625DB">
      <w:pPr>
        <w:spacing w:after="0" w:line="240" w:lineRule="auto"/>
        <w:rPr>
          <w:rFonts w:ascii="Arial" w:hAnsi="Arial" w:cs="Arial"/>
          <w:i/>
          <w:sz w:val="24"/>
          <w:szCs w:val="24"/>
        </w:rPr>
      </w:pPr>
    </w:p>
    <w:p w:rsidR="00845DF8" w:rsidRPr="00410EDF" w:rsidRDefault="00845DF8" w:rsidP="00C625DB">
      <w:pPr>
        <w:spacing w:after="0" w:line="240" w:lineRule="auto"/>
        <w:rPr>
          <w:rFonts w:ascii="Arial" w:hAnsi="Arial" w:cs="Arial"/>
          <w:b/>
          <w:sz w:val="24"/>
          <w:szCs w:val="24"/>
        </w:rPr>
      </w:pPr>
      <w:r w:rsidRPr="00410EDF">
        <w:rPr>
          <w:rFonts w:ascii="Arial" w:hAnsi="Arial" w:cs="Arial"/>
          <w:i/>
          <w:sz w:val="24"/>
          <w:szCs w:val="24"/>
        </w:rPr>
        <w:t>Sursa</w:t>
      </w:r>
      <w:r w:rsidRPr="00410EDF">
        <w:rPr>
          <w:rFonts w:ascii="Arial" w:hAnsi="Arial" w:cs="Arial"/>
          <w:i/>
          <w:sz w:val="24"/>
          <w:szCs w:val="24"/>
        </w:rPr>
        <w:sym w:font="Symbol" w:char="F03A"/>
      </w:r>
      <w:r w:rsidRPr="00410EDF">
        <w:rPr>
          <w:rFonts w:ascii="Arial" w:hAnsi="Arial" w:cs="Arial"/>
          <w:i/>
          <w:sz w:val="24"/>
          <w:szCs w:val="24"/>
        </w:rPr>
        <w:t xml:space="preserve">  Baza de date Medius şi SIM-SD- Statistica deşeurilor 201</w:t>
      </w:r>
      <w:r w:rsidR="007E0DAD" w:rsidRPr="00410EDF">
        <w:rPr>
          <w:rFonts w:ascii="Arial" w:hAnsi="Arial" w:cs="Arial"/>
          <w:i/>
          <w:sz w:val="24"/>
          <w:szCs w:val="24"/>
        </w:rPr>
        <w:t>0</w:t>
      </w:r>
      <w:r w:rsidRPr="00410EDF">
        <w:rPr>
          <w:rFonts w:ascii="Arial" w:hAnsi="Arial" w:cs="Arial"/>
          <w:i/>
          <w:sz w:val="24"/>
          <w:szCs w:val="24"/>
        </w:rPr>
        <w:t>-201</w:t>
      </w:r>
      <w:r w:rsidR="007E0DAD" w:rsidRPr="00410EDF">
        <w:rPr>
          <w:rFonts w:ascii="Arial" w:hAnsi="Arial" w:cs="Arial"/>
          <w:i/>
          <w:sz w:val="24"/>
          <w:szCs w:val="24"/>
        </w:rPr>
        <w:t>5</w:t>
      </w:r>
    </w:p>
    <w:p w:rsidR="00845DF8" w:rsidRPr="00410EDF" w:rsidRDefault="00845DF8" w:rsidP="00C625DB">
      <w:pPr>
        <w:spacing w:after="0" w:line="240" w:lineRule="auto"/>
        <w:ind w:firstLine="708"/>
        <w:jc w:val="both"/>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Colectarea și transportul deșeurilor</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După provenienţa lor, deşeurile municipale includ:</w:t>
      </w:r>
    </w:p>
    <w:p w:rsidR="00F065B7" w:rsidRPr="00410EDF" w:rsidRDefault="00F065B7" w:rsidP="00252ED3">
      <w:pPr>
        <w:pStyle w:val="ListParagraph"/>
        <w:numPr>
          <w:ilvl w:val="0"/>
          <w:numId w:val="22"/>
        </w:numPr>
        <w:jc w:val="both"/>
        <w:rPr>
          <w:rFonts w:ascii="Arial" w:hAnsi="Arial" w:cs="Arial"/>
        </w:rPr>
      </w:pPr>
      <w:r w:rsidRPr="00410EDF">
        <w:rPr>
          <w:rFonts w:ascii="Arial" w:hAnsi="Arial" w:cs="Arial"/>
        </w:rPr>
        <w:t>deşeuri menajere de la populaţie şi agenţi economici</w:t>
      </w:r>
    </w:p>
    <w:p w:rsidR="00F065B7" w:rsidRPr="00410EDF" w:rsidRDefault="00F065B7" w:rsidP="00252ED3">
      <w:pPr>
        <w:pStyle w:val="ListParagraph"/>
        <w:numPr>
          <w:ilvl w:val="0"/>
          <w:numId w:val="22"/>
        </w:numPr>
        <w:jc w:val="both"/>
        <w:rPr>
          <w:rFonts w:ascii="Arial" w:hAnsi="Arial" w:cs="Arial"/>
        </w:rPr>
      </w:pPr>
      <w:r w:rsidRPr="00410EDF">
        <w:rPr>
          <w:rFonts w:ascii="Arial" w:hAnsi="Arial" w:cs="Arial"/>
        </w:rPr>
        <w:t>deşeuri din servicii publice (deşeuri stradale, din pieţe, grădini, parcuri şi spaţii verzi)</w:t>
      </w:r>
    </w:p>
    <w:p w:rsidR="00F065B7" w:rsidRPr="00410EDF" w:rsidRDefault="00F065B7" w:rsidP="00252ED3">
      <w:pPr>
        <w:pStyle w:val="ListParagraph"/>
        <w:numPr>
          <w:ilvl w:val="0"/>
          <w:numId w:val="22"/>
        </w:numPr>
        <w:jc w:val="both"/>
        <w:rPr>
          <w:rFonts w:ascii="Arial" w:hAnsi="Arial" w:cs="Arial"/>
        </w:rPr>
      </w:pPr>
      <w:r w:rsidRPr="00410EDF">
        <w:rPr>
          <w:rFonts w:ascii="Arial" w:hAnsi="Arial" w:cs="Arial"/>
        </w:rPr>
        <w:t>deşeuri din construcţii şi demolări (inclusiv alte categorii de deşeuri neclasificate)</w:t>
      </w:r>
    </w:p>
    <w:p w:rsidR="00F065B7" w:rsidRPr="00410EDF" w:rsidRDefault="00F065B7" w:rsidP="00C625DB">
      <w:pPr>
        <w:spacing w:after="0" w:line="240" w:lineRule="auto"/>
        <w:ind w:firstLine="708"/>
        <w:jc w:val="both"/>
        <w:rPr>
          <w:rFonts w:ascii="Arial" w:hAnsi="Arial" w:cs="Arial"/>
          <w:sz w:val="24"/>
          <w:szCs w:val="24"/>
        </w:rPr>
      </w:pPr>
    </w:p>
    <w:p w:rsidR="00845DF8" w:rsidRPr="00410EDF" w:rsidRDefault="00845DF8" w:rsidP="00C625DB">
      <w:pPr>
        <w:spacing w:after="0" w:line="240" w:lineRule="auto"/>
        <w:ind w:firstLine="708"/>
        <w:jc w:val="both"/>
        <w:rPr>
          <w:rFonts w:ascii="Arial" w:hAnsi="Arial" w:cs="Arial"/>
          <w:sz w:val="24"/>
          <w:szCs w:val="24"/>
        </w:rPr>
      </w:pPr>
      <w:r w:rsidRPr="00410EDF">
        <w:rPr>
          <w:rFonts w:ascii="Arial" w:hAnsi="Arial" w:cs="Arial"/>
          <w:sz w:val="24"/>
          <w:szCs w:val="24"/>
        </w:rPr>
        <w:lastRenderedPageBreak/>
        <w:t>În anul 2015 au fost colectate de către municipalităţi, prin intermediul operatorilor de salu</w:t>
      </w:r>
      <w:r w:rsidR="007C1699">
        <w:rPr>
          <w:rFonts w:ascii="Arial" w:hAnsi="Arial" w:cs="Arial"/>
          <w:sz w:val="24"/>
          <w:szCs w:val="24"/>
        </w:rPr>
        <w:t>BR</w:t>
      </w:r>
      <w:r w:rsidRPr="00410EDF">
        <w:rPr>
          <w:rFonts w:ascii="Arial" w:hAnsi="Arial" w:cs="Arial"/>
          <w:sz w:val="24"/>
          <w:szCs w:val="24"/>
        </w:rPr>
        <w:t>izare autorizaţi sau al serviciilor de gospodărire din cadrul unor primării, o cantitate de 106000 tone deşeuri, (tabel VII.1.1.4)</w:t>
      </w:r>
    </w:p>
    <w:p w:rsidR="007B25D9" w:rsidRPr="00410EDF" w:rsidRDefault="007B25D9"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sz w:val="24"/>
          <w:szCs w:val="24"/>
        </w:rPr>
      </w:pPr>
      <w:r w:rsidRPr="00410EDF">
        <w:rPr>
          <w:rFonts w:ascii="Arial" w:hAnsi="Arial" w:cs="Arial"/>
          <w:sz w:val="24"/>
          <w:szCs w:val="24"/>
        </w:rPr>
        <w:t>Tabel VII.1.1.4 Deşeuri totale colectate de municipalităţi în anul 201</w:t>
      </w:r>
      <w:r w:rsidR="00845DF8" w:rsidRPr="00410EDF">
        <w:rPr>
          <w:rFonts w:ascii="Arial" w:hAnsi="Arial" w:cs="Arial"/>
          <w:sz w:val="24"/>
          <w:szCs w:val="24"/>
        </w:rPr>
        <w:t>5</w:t>
      </w:r>
      <w:r w:rsidRPr="00410EDF">
        <w:rPr>
          <w:rFonts w:ascii="Arial" w:hAnsi="Arial" w:cs="Arial"/>
          <w:sz w:val="24"/>
          <w:szCs w:val="24"/>
        </w:rPr>
        <w:t xml:space="preserve"> (tone)</w:t>
      </w:r>
    </w:p>
    <w:tbl>
      <w:tblPr>
        <w:tblW w:w="0" w:type="auto"/>
        <w:jc w:val="center"/>
        <w:tblInd w:w="-240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4457"/>
        <w:gridCol w:w="3330"/>
        <w:gridCol w:w="1805"/>
      </w:tblGrid>
      <w:tr w:rsidR="00845DF8" w:rsidRPr="00410EDF" w:rsidTr="006157E7">
        <w:trPr>
          <w:jc w:val="center"/>
        </w:trPr>
        <w:tc>
          <w:tcPr>
            <w:tcW w:w="4457" w:type="dxa"/>
            <w:shd w:val="clear" w:color="auto" w:fill="auto"/>
          </w:tcPr>
          <w:p w:rsidR="00845DF8" w:rsidRPr="00410EDF" w:rsidRDefault="00845DF8" w:rsidP="00C625DB">
            <w:pPr>
              <w:spacing w:after="0" w:line="240" w:lineRule="auto"/>
              <w:rPr>
                <w:rFonts w:ascii="Arial" w:hAnsi="Arial" w:cs="Arial"/>
                <w:caps/>
                <w:sz w:val="24"/>
                <w:szCs w:val="24"/>
              </w:rPr>
            </w:pPr>
            <w:r w:rsidRPr="00410EDF">
              <w:rPr>
                <w:rFonts w:ascii="Arial" w:hAnsi="Arial" w:cs="Arial"/>
                <w:sz w:val="24"/>
                <w:szCs w:val="24"/>
              </w:rPr>
              <w:t>DEŞEURI  MUNICIPALE COLECTATE</w:t>
            </w:r>
          </w:p>
        </w:tc>
        <w:tc>
          <w:tcPr>
            <w:tcW w:w="3330"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cantitate colectata</w:t>
            </w:r>
          </w:p>
        </w:tc>
        <w:tc>
          <w:tcPr>
            <w:tcW w:w="1805"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Procent %</w:t>
            </w:r>
          </w:p>
        </w:tc>
      </w:tr>
      <w:tr w:rsidR="00845DF8" w:rsidRPr="00410EDF" w:rsidTr="006157E7">
        <w:trPr>
          <w:jc w:val="center"/>
        </w:trPr>
        <w:tc>
          <w:tcPr>
            <w:tcW w:w="4457" w:type="dxa"/>
            <w:shd w:val="clear" w:color="auto" w:fill="auto"/>
          </w:tcPr>
          <w:p w:rsidR="00845DF8" w:rsidRPr="00410EDF" w:rsidRDefault="00845DF8" w:rsidP="00C625DB">
            <w:pPr>
              <w:spacing w:after="0" w:line="240" w:lineRule="auto"/>
              <w:rPr>
                <w:rFonts w:ascii="Arial" w:hAnsi="Arial" w:cs="Arial"/>
                <w:caps/>
                <w:sz w:val="24"/>
                <w:szCs w:val="24"/>
              </w:rPr>
            </w:pPr>
            <w:r w:rsidRPr="00410EDF">
              <w:rPr>
                <w:rFonts w:ascii="Arial" w:hAnsi="Arial" w:cs="Arial"/>
                <w:sz w:val="24"/>
                <w:szCs w:val="24"/>
              </w:rPr>
              <w:t>Deşeuri menajere (1)</w:t>
            </w:r>
          </w:p>
        </w:tc>
        <w:tc>
          <w:tcPr>
            <w:tcW w:w="3330"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52900</w:t>
            </w:r>
          </w:p>
        </w:tc>
        <w:tc>
          <w:tcPr>
            <w:tcW w:w="1805"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52</w:t>
            </w:r>
          </w:p>
        </w:tc>
      </w:tr>
      <w:tr w:rsidR="00845DF8" w:rsidRPr="00410EDF" w:rsidTr="006157E7">
        <w:trPr>
          <w:jc w:val="center"/>
        </w:trPr>
        <w:tc>
          <w:tcPr>
            <w:tcW w:w="4457" w:type="dxa"/>
            <w:shd w:val="clear" w:color="auto" w:fill="auto"/>
          </w:tcPr>
          <w:p w:rsidR="00845DF8" w:rsidRPr="00410EDF" w:rsidRDefault="00845DF8" w:rsidP="00C625DB">
            <w:pPr>
              <w:spacing w:after="0" w:line="240" w:lineRule="auto"/>
              <w:rPr>
                <w:rFonts w:ascii="Arial" w:hAnsi="Arial" w:cs="Arial"/>
                <w:caps/>
                <w:sz w:val="24"/>
                <w:szCs w:val="24"/>
              </w:rPr>
            </w:pPr>
            <w:r w:rsidRPr="00410EDF">
              <w:rPr>
                <w:rFonts w:ascii="Arial" w:hAnsi="Arial" w:cs="Arial"/>
                <w:sz w:val="24"/>
                <w:szCs w:val="24"/>
              </w:rPr>
              <w:t>Deşeuri din servicii publice (2)</w:t>
            </w:r>
          </w:p>
        </w:tc>
        <w:tc>
          <w:tcPr>
            <w:tcW w:w="3330"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19600</w:t>
            </w:r>
          </w:p>
        </w:tc>
        <w:tc>
          <w:tcPr>
            <w:tcW w:w="1805"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19</w:t>
            </w:r>
          </w:p>
        </w:tc>
      </w:tr>
      <w:tr w:rsidR="00845DF8" w:rsidRPr="00410EDF" w:rsidTr="006157E7">
        <w:trPr>
          <w:jc w:val="center"/>
        </w:trPr>
        <w:tc>
          <w:tcPr>
            <w:tcW w:w="4457" w:type="dxa"/>
            <w:shd w:val="clear" w:color="auto" w:fill="auto"/>
          </w:tcPr>
          <w:p w:rsidR="00845DF8" w:rsidRPr="00410EDF" w:rsidRDefault="00845DF8" w:rsidP="00C625DB">
            <w:pPr>
              <w:spacing w:after="0" w:line="240" w:lineRule="auto"/>
              <w:rPr>
                <w:rFonts w:ascii="Arial" w:hAnsi="Arial" w:cs="Arial"/>
                <w:caps/>
                <w:sz w:val="24"/>
                <w:szCs w:val="24"/>
              </w:rPr>
            </w:pPr>
            <w:r w:rsidRPr="00410EDF">
              <w:rPr>
                <w:rFonts w:ascii="Arial" w:hAnsi="Arial" w:cs="Arial"/>
                <w:sz w:val="24"/>
                <w:szCs w:val="24"/>
              </w:rPr>
              <w:t>Deşeuri din construcţii şi demolări (3)</w:t>
            </w:r>
          </w:p>
        </w:tc>
        <w:tc>
          <w:tcPr>
            <w:tcW w:w="3330"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28700</w:t>
            </w:r>
          </w:p>
        </w:tc>
        <w:tc>
          <w:tcPr>
            <w:tcW w:w="1805"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29</w:t>
            </w:r>
          </w:p>
        </w:tc>
      </w:tr>
      <w:tr w:rsidR="00845DF8" w:rsidRPr="00410EDF" w:rsidTr="006157E7">
        <w:trPr>
          <w:jc w:val="center"/>
        </w:trPr>
        <w:tc>
          <w:tcPr>
            <w:tcW w:w="4457" w:type="dxa"/>
            <w:shd w:val="clear" w:color="auto" w:fill="auto"/>
          </w:tcPr>
          <w:p w:rsidR="00845DF8" w:rsidRPr="00410EDF" w:rsidRDefault="00845DF8" w:rsidP="00C625DB">
            <w:pPr>
              <w:spacing w:after="0" w:line="240" w:lineRule="auto"/>
              <w:rPr>
                <w:rFonts w:ascii="Arial" w:hAnsi="Arial" w:cs="Arial"/>
                <w:caps/>
                <w:sz w:val="24"/>
                <w:szCs w:val="24"/>
              </w:rPr>
            </w:pPr>
            <w:r w:rsidRPr="00410EDF">
              <w:rPr>
                <w:rFonts w:ascii="Arial" w:hAnsi="Arial" w:cs="Arial"/>
                <w:sz w:val="24"/>
                <w:szCs w:val="24"/>
              </w:rPr>
              <w:t>Total</w:t>
            </w:r>
          </w:p>
        </w:tc>
        <w:tc>
          <w:tcPr>
            <w:tcW w:w="3330"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101200</w:t>
            </w:r>
          </w:p>
        </w:tc>
        <w:tc>
          <w:tcPr>
            <w:tcW w:w="1805" w:type="dxa"/>
            <w:shd w:val="clear" w:color="auto" w:fill="auto"/>
          </w:tcPr>
          <w:p w:rsidR="00845DF8" w:rsidRPr="00410EDF" w:rsidRDefault="00845DF8" w:rsidP="00C625DB">
            <w:pPr>
              <w:spacing w:after="0" w:line="240" w:lineRule="auto"/>
              <w:jc w:val="center"/>
              <w:rPr>
                <w:rFonts w:ascii="Arial" w:hAnsi="Arial" w:cs="Arial"/>
                <w:caps/>
                <w:sz w:val="24"/>
                <w:szCs w:val="24"/>
              </w:rPr>
            </w:pPr>
            <w:r w:rsidRPr="00410EDF">
              <w:rPr>
                <w:rFonts w:ascii="Arial" w:hAnsi="Arial" w:cs="Arial"/>
                <w:caps/>
                <w:sz w:val="24"/>
                <w:szCs w:val="24"/>
              </w:rPr>
              <w:t>100</w:t>
            </w:r>
          </w:p>
        </w:tc>
      </w:tr>
    </w:tbl>
    <w:p w:rsidR="00F065B7" w:rsidRPr="00410EDF" w:rsidRDefault="00F065B7" w:rsidP="00C625DB">
      <w:pPr>
        <w:spacing w:after="0" w:line="240" w:lineRule="auto"/>
        <w:rPr>
          <w:rFonts w:ascii="Arial" w:hAnsi="Arial" w:cs="Arial"/>
          <w:b/>
          <w:sz w:val="24"/>
          <w:szCs w:val="24"/>
        </w:rPr>
      </w:pPr>
      <w:r w:rsidRPr="00410EDF">
        <w:rPr>
          <w:rFonts w:ascii="Arial" w:hAnsi="Arial" w:cs="Arial"/>
          <w:i/>
          <w:sz w:val="24"/>
          <w:szCs w:val="24"/>
        </w:rPr>
        <w:t>Sursa</w:t>
      </w:r>
      <w:r w:rsidRPr="00410EDF">
        <w:rPr>
          <w:rFonts w:ascii="Arial" w:hAnsi="Arial" w:cs="Arial"/>
          <w:i/>
          <w:sz w:val="24"/>
          <w:szCs w:val="24"/>
        </w:rPr>
        <w:sym w:font="Symbol" w:char="F03A"/>
      </w:r>
      <w:r w:rsidRPr="00410EDF">
        <w:rPr>
          <w:rFonts w:ascii="Arial" w:hAnsi="Arial" w:cs="Arial"/>
          <w:i/>
          <w:sz w:val="24"/>
          <w:szCs w:val="24"/>
        </w:rPr>
        <w:t xml:space="preserve">  Baza de date SIM- SD- Statistica deşeurilor 201</w:t>
      </w:r>
      <w:r w:rsidR="00845DF8" w:rsidRPr="00410EDF">
        <w:rPr>
          <w:rFonts w:ascii="Arial" w:hAnsi="Arial" w:cs="Arial"/>
          <w:i/>
          <w:sz w:val="24"/>
          <w:szCs w:val="24"/>
        </w:rPr>
        <w:t>5</w:t>
      </w:r>
    </w:p>
    <w:p w:rsidR="00845DF8" w:rsidRPr="00410EDF" w:rsidRDefault="00845DF8" w:rsidP="00C625DB">
      <w:pPr>
        <w:spacing w:after="0" w:line="240" w:lineRule="auto"/>
        <w:jc w:val="both"/>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Distribuţia cantităţilor de deşeuri menajere colectate în amestec de la populaţie şi agenţi economici este prezentată în tabelul VII.1.1.5.</w:t>
      </w:r>
    </w:p>
    <w:p w:rsidR="0029217B" w:rsidRDefault="0029217B"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Tabel VII.1.1.5 Deşeuri menajere colectate în amestec în anul 201</w:t>
      </w:r>
      <w:r w:rsidR="007E0DAD" w:rsidRPr="00410EDF">
        <w:rPr>
          <w:rFonts w:ascii="Arial" w:hAnsi="Arial" w:cs="Arial"/>
          <w:sz w:val="24"/>
          <w:szCs w:val="24"/>
        </w:rPr>
        <w:t>5</w:t>
      </w:r>
      <w:r w:rsidRPr="00410EDF">
        <w:rPr>
          <w:rFonts w:ascii="Arial" w:hAnsi="Arial" w:cs="Arial"/>
          <w:sz w:val="24"/>
          <w:szCs w:val="24"/>
        </w:rPr>
        <w:t xml:space="preserve"> (tone)</w:t>
      </w:r>
    </w:p>
    <w:tbl>
      <w:tblPr>
        <w:tblW w:w="0" w:type="auto"/>
        <w:jc w:val="center"/>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4820"/>
        <w:gridCol w:w="2560"/>
        <w:gridCol w:w="1940"/>
      </w:tblGrid>
      <w:tr w:rsidR="00F065B7" w:rsidRPr="00410EDF" w:rsidTr="006157E7">
        <w:trPr>
          <w:jc w:val="center"/>
        </w:trPr>
        <w:tc>
          <w:tcPr>
            <w:tcW w:w="4820" w:type="dxa"/>
            <w:shd w:val="clear" w:color="auto" w:fill="EEECE1" w:themeFill="background2"/>
          </w:tcPr>
          <w:p w:rsidR="00F065B7" w:rsidRPr="00410EDF" w:rsidRDefault="00F065B7" w:rsidP="00C625DB">
            <w:pPr>
              <w:spacing w:after="0" w:line="240" w:lineRule="auto"/>
              <w:rPr>
                <w:rFonts w:ascii="Arial" w:hAnsi="Arial" w:cs="Arial"/>
                <w:sz w:val="24"/>
                <w:szCs w:val="24"/>
              </w:rPr>
            </w:pPr>
            <w:r w:rsidRPr="00410EDF">
              <w:rPr>
                <w:rFonts w:ascii="Arial" w:hAnsi="Arial" w:cs="Arial"/>
                <w:sz w:val="24"/>
                <w:szCs w:val="24"/>
              </w:rPr>
              <w:t xml:space="preserve">Deşeuri menajere colectate în amestec </w:t>
            </w:r>
          </w:p>
        </w:tc>
        <w:tc>
          <w:tcPr>
            <w:tcW w:w="2560" w:type="dxa"/>
            <w:shd w:val="clear" w:color="auto" w:fill="EEECE1" w:themeFill="background2"/>
          </w:tcPr>
          <w:p w:rsidR="00F065B7" w:rsidRPr="00410EDF" w:rsidRDefault="00F065B7" w:rsidP="006157E7">
            <w:pPr>
              <w:spacing w:after="0" w:line="240" w:lineRule="auto"/>
              <w:jc w:val="center"/>
              <w:rPr>
                <w:rFonts w:ascii="Arial" w:hAnsi="Arial" w:cs="Arial"/>
                <w:sz w:val="24"/>
                <w:szCs w:val="24"/>
              </w:rPr>
            </w:pPr>
            <w:r w:rsidRPr="00410EDF">
              <w:rPr>
                <w:rFonts w:ascii="Arial" w:hAnsi="Arial" w:cs="Arial"/>
                <w:sz w:val="24"/>
                <w:szCs w:val="24"/>
              </w:rPr>
              <w:t>Cantitate colectată</w:t>
            </w:r>
          </w:p>
        </w:tc>
        <w:tc>
          <w:tcPr>
            <w:tcW w:w="1940" w:type="dxa"/>
            <w:shd w:val="clear" w:color="auto" w:fill="EEECE1" w:themeFill="background2"/>
          </w:tcPr>
          <w:p w:rsidR="00F065B7" w:rsidRPr="00410EDF" w:rsidRDefault="00F065B7" w:rsidP="006157E7">
            <w:pPr>
              <w:spacing w:after="0" w:line="240" w:lineRule="auto"/>
              <w:jc w:val="center"/>
              <w:rPr>
                <w:rFonts w:ascii="Arial" w:hAnsi="Arial" w:cs="Arial"/>
                <w:sz w:val="24"/>
                <w:szCs w:val="24"/>
              </w:rPr>
            </w:pPr>
            <w:r w:rsidRPr="00410EDF">
              <w:rPr>
                <w:rFonts w:ascii="Arial" w:hAnsi="Arial" w:cs="Arial"/>
                <w:sz w:val="24"/>
                <w:szCs w:val="24"/>
              </w:rPr>
              <w:t>Procent %</w:t>
            </w:r>
          </w:p>
        </w:tc>
      </w:tr>
      <w:tr w:rsidR="00845DF8" w:rsidRPr="00410EDF" w:rsidTr="006157E7">
        <w:trPr>
          <w:jc w:val="center"/>
        </w:trPr>
        <w:tc>
          <w:tcPr>
            <w:tcW w:w="4820" w:type="dxa"/>
            <w:shd w:val="clear" w:color="auto" w:fill="auto"/>
          </w:tcPr>
          <w:p w:rsidR="00845DF8" w:rsidRPr="00410EDF" w:rsidRDefault="00845DF8" w:rsidP="00C625DB">
            <w:pPr>
              <w:spacing w:after="0" w:line="240" w:lineRule="auto"/>
              <w:rPr>
                <w:rFonts w:ascii="Arial" w:hAnsi="Arial" w:cs="Arial"/>
                <w:sz w:val="24"/>
                <w:szCs w:val="24"/>
              </w:rPr>
            </w:pPr>
            <w:r w:rsidRPr="00410EDF">
              <w:rPr>
                <w:rFonts w:ascii="Arial" w:hAnsi="Arial" w:cs="Arial"/>
                <w:sz w:val="24"/>
                <w:szCs w:val="24"/>
              </w:rPr>
              <w:t xml:space="preserve">Deşeuri menajere de la populaţie </w:t>
            </w:r>
          </w:p>
        </w:tc>
        <w:tc>
          <w:tcPr>
            <w:tcW w:w="2560" w:type="dxa"/>
            <w:shd w:val="clear" w:color="auto" w:fill="auto"/>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47000</w:t>
            </w:r>
          </w:p>
        </w:tc>
        <w:tc>
          <w:tcPr>
            <w:tcW w:w="1940" w:type="dxa"/>
            <w:shd w:val="clear" w:color="auto" w:fill="auto"/>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88</w:t>
            </w:r>
          </w:p>
        </w:tc>
      </w:tr>
      <w:tr w:rsidR="00845DF8" w:rsidRPr="00410EDF" w:rsidTr="006157E7">
        <w:trPr>
          <w:jc w:val="center"/>
        </w:trPr>
        <w:tc>
          <w:tcPr>
            <w:tcW w:w="4820" w:type="dxa"/>
            <w:shd w:val="clear" w:color="auto" w:fill="auto"/>
          </w:tcPr>
          <w:p w:rsidR="00845DF8" w:rsidRPr="00410EDF" w:rsidRDefault="00845DF8" w:rsidP="00C625DB">
            <w:pPr>
              <w:spacing w:after="0" w:line="240" w:lineRule="auto"/>
              <w:rPr>
                <w:rFonts w:ascii="Arial" w:hAnsi="Arial" w:cs="Arial"/>
                <w:sz w:val="24"/>
                <w:szCs w:val="24"/>
              </w:rPr>
            </w:pPr>
            <w:r w:rsidRPr="00410EDF">
              <w:rPr>
                <w:rFonts w:ascii="Arial" w:hAnsi="Arial" w:cs="Arial"/>
                <w:sz w:val="24"/>
                <w:szCs w:val="24"/>
              </w:rPr>
              <w:t xml:space="preserve">Deşeuri menajere de la agenţii economici </w:t>
            </w:r>
          </w:p>
        </w:tc>
        <w:tc>
          <w:tcPr>
            <w:tcW w:w="2560" w:type="dxa"/>
            <w:shd w:val="clear" w:color="auto" w:fill="auto"/>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6000</w:t>
            </w:r>
          </w:p>
        </w:tc>
        <w:tc>
          <w:tcPr>
            <w:tcW w:w="1940" w:type="dxa"/>
            <w:shd w:val="clear" w:color="auto" w:fill="auto"/>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11</w:t>
            </w:r>
          </w:p>
        </w:tc>
      </w:tr>
      <w:tr w:rsidR="00845DF8" w:rsidRPr="00410EDF" w:rsidTr="006157E7">
        <w:trPr>
          <w:jc w:val="center"/>
        </w:trPr>
        <w:tc>
          <w:tcPr>
            <w:tcW w:w="4820" w:type="dxa"/>
            <w:shd w:val="clear" w:color="auto" w:fill="auto"/>
          </w:tcPr>
          <w:p w:rsidR="00845DF8" w:rsidRPr="00410EDF" w:rsidRDefault="00845DF8" w:rsidP="00C625DB">
            <w:pPr>
              <w:spacing w:after="0" w:line="240" w:lineRule="auto"/>
              <w:rPr>
                <w:rFonts w:ascii="Arial" w:hAnsi="Arial" w:cs="Arial"/>
                <w:sz w:val="24"/>
                <w:szCs w:val="24"/>
              </w:rPr>
            </w:pPr>
            <w:r w:rsidRPr="00410EDF">
              <w:rPr>
                <w:rFonts w:ascii="Arial" w:hAnsi="Arial" w:cs="Arial"/>
                <w:sz w:val="24"/>
                <w:szCs w:val="24"/>
              </w:rPr>
              <w:t>Total</w:t>
            </w:r>
          </w:p>
        </w:tc>
        <w:tc>
          <w:tcPr>
            <w:tcW w:w="2560" w:type="dxa"/>
            <w:shd w:val="clear" w:color="auto" w:fill="auto"/>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53000</w:t>
            </w:r>
          </w:p>
        </w:tc>
        <w:tc>
          <w:tcPr>
            <w:tcW w:w="1940" w:type="dxa"/>
            <w:shd w:val="clear" w:color="auto" w:fill="auto"/>
          </w:tcPr>
          <w:p w:rsidR="00845DF8" w:rsidRPr="00410EDF" w:rsidRDefault="00845DF8" w:rsidP="006157E7">
            <w:pPr>
              <w:spacing w:after="0" w:line="240" w:lineRule="auto"/>
              <w:jc w:val="center"/>
              <w:rPr>
                <w:rFonts w:ascii="Arial" w:hAnsi="Arial" w:cs="Arial"/>
                <w:sz w:val="24"/>
                <w:szCs w:val="24"/>
              </w:rPr>
            </w:pPr>
            <w:r w:rsidRPr="00410EDF">
              <w:rPr>
                <w:rFonts w:ascii="Arial" w:hAnsi="Arial" w:cs="Arial"/>
                <w:sz w:val="24"/>
                <w:szCs w:val="24"/>
              </w:rPr>
              <w:t>100</w:t>
            </w:r>
          </w:p>
        </w:tc>
      </w:tr>
    </w:tbl>
    <w:p w:rsidR="00F065B7" w:rsidRPr="00410EDF" w:rsidRDefault="00F065B7" w:rsidP="00C625DB">
      <w:pPr>
        <w:spacing w:after="0" w:line="240" w:lineRule="auto"/>
        <w:rPr>
          <w:rFonts w:ascii="Arial" w:hAnsi="Arial" w:cs="Arial"/>
          <w:b/>
          <w:sz w:val="24"/>
          <w:szCs w:val="24"/>
        </w:rPr>
      </w:pPr>
      <w:r w:rsidRPr="00410EDF">
        <w:rPr>
          <w:rFonts w:ascii="Arial" w:hAnsi="Arial" w:cs="Arial"/>
          <w:i/>
          <w:sz w:val="24"/>
          <w:szCs w:val="24"/>
        </w:rPr>
        <w:t>Sursa de date</w:t>
      </w:r>
      <w:r w:rsidRPr="00410EDF">
        <w:rPr>
          <w:rFonts w:ascii="Arial" w:hAnsi="Arial" w:cs="Arial"/>
          <w:i/>
          <w:sz w:val="24"/>
          <w:szCs w:val="24"/>
        </w:rPr>
        <w:sym w:font="Symbol" w:char="F03A"/>
      </w:r>
      <w:r w:rsidRPr="00410EDF">
        <w:rPr>
          <w:rFonts w:ascii="Arial" w:hAnsi="Arial" w:cs="Arial"/>
          <w:i/>
          <w:sz w:val="24"/>
          <w:szCs w:val="24"/>
        </w:rPr>
        <w:t xml:space="preserve">  Baza de date SIM- SD- Statistica deseurilor 201</w:t>
      </w:r>
      <w:r w:rsidR="00845DF8" w:rsidRPr="00410EDF">
        <w:rPr>
          <w:rFonts w:ascii="Arial" w:hAnsi="Arial" w:cs="Arial"/>
          <w:i/>
          <w:sz w:val="24"/>
          <w:szCs w:val="24"/>
        </w:rPr>
        <w:t>5</w:t>
      </w:r>
    </w:p>
    <w:p w:rsidR="00845DF8" w:rsidRPr="00410EDF" w:rsidRDefault="00845DF8" w:rsidP="00C625DB">
      <w:pPr>
        <w:spacing w:after="0" w:line="240" w:lineRule="auto"/>
        <w:jc w:val="both"/>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Cea mai mare parte a deşeurilor menajere colectate, aproximativ 88% provine de la populaţie.În municipiul </w:t>
      </w:r>
      <w:r w:rsidR="00217620">
        <w:rPr>
          <w:rFonts w:ascii="Arial" w:hAnsi="Arial" w:cs="Arial"/>
          <w:sz w:val="24"/>
          <w:szCs w:val="24"/>
        </w:rPr>
        <w:t>Brăila</w:t>
      </w:r>
      <w:r w:rsidRPr="00410EDF">
        <w:rPr>
          <w:rFonts w:ascii="Arial" w:hAnsi="Arial" w:cs="Arial"/>
          <w:sz w:val="24"/>
          <w:szCs w:val="24"/>
        </w:rPr>
        <w:t xml:space="preserve"> colectarea deşeurilor menajere se efectuează în mod organizat prin intermediul a trei operatori de salu</w:t>
      </w:r>
      <w:r w:rsidR="007C1699">
        <w:rPr>
          <w:rFonts w:ascii="Arial" w:hAnsi="Arial" w:cs="Arial"/>
          <w:sz w:val="24"/>
          <w:szCs w:val="24"/>
        </w:rPr>
        <w:t>BR</w:t>
      </w:r>
      <w:r w:rsidRPr="00410EDF">
        <w:rPr>
          <w:rFonts w:ascii="Arial" w:hAnsi="Arial" w:cs="Arial"/>
          <w:sz w:val="24"/>
          <w:szCs w:val="24"/>
        </w:rPr>
        <w:t xml:space="preserve">itate : S.C. ECO S.A., S.C. </w:t>
      </w:r>
      <w:r w:rsidR="007C1699">
        <w:rPr>
          <w:rFonts w:ascii="Arial" w:hAnsi="Arial" w:cs="Arial"/>
          <w:sz w:val="24"/>
          <w:szCs w:val="24"/>
        </w:rPr>
        <w:t>BR</w:t>
      </w:r>
      <w:r w:rsidRPr="00410EDF">
        <w:rPr>
          <w:rFonts w:ascii="Arial" w:hAnsi="Arial" w:cs="Arial"/>
          <w:sz w:val="24"/>
          <w:szCs w:val="24"/>
        </w:rPr>
        <w:t>AI-CATA S.R.L., S.C. R.E.R. ECOLOGIC SERVICE S.R.L. care au în dotare următoarele mijloace de colectare şi transport al deşeurilor:</w:t>
      </w:r>
    </w:p>
    <w:p w:rsidR="00F065B7" w:rsidRPr="00410EDF" w:rsidRDefault="00F065B7" w:rsidP="00252ED3">
      <w:pPr>
        <w:numPr>
          <w:ilvl w:val="0"/>
          <w:numId w:val="49"/>
        </w:numPr>
        <w:tabs>
          <w:tab w:val="clear" w:pos="720"/>
          <w:tab w:val="num" w:pos="567"/>
        </w:tabs>
        <w:spacing w:after="0" w:line="240" w:lineRule="auto"/>
        <w:ind w:left="567"/>
        <w:jc w:val="both"/>
        <w:rPr>
          <w:rFonts w:ascii="Arial" w:hAnsi="Arial" w:cs="Arial"/>
          <w:b/>
          <w:sz w:val="24"/>
          <w:szCs w:val="24"/>
        </w:rPr>
      </w:pPr>
      <w:r w:rsidRPr="00410EDF">
        <w:rPr>
          <w:rFonts w:ascii="Arial" w:hAnsi="Arial" w:cs="Arial"/>
          <w:sz w:val="24"/>
          <w:szCs w:val="24"/>
        </w:rPr>
        <w:t xml:space="preserve">SC ECO SA – europubele </w:t>
      </w:r>
      <w:smartTag w:uri="urn:schemas-microsoft-com:office:smarttags" w:element="metricconverter">
        <w:smartTagPr>
          <w:attr w:name="ProductID" w:val="240 l"/>
        </w:smartTagPr>
        <w:r w:rsidRPr="00410EDF">
          <w:rPr>
            <w:rFonts w:ascii="Arial" w:hAnsi="Arial" w:cs="Arial"/>
            <w:sz w:val="24"/>
            <w:szCs w:val="24"/>
          </w:rPr>
          <w:t>240 l</w:t>
        </w:r>
      </w:smartTag>
      <w:r w:rsidRPr="00410EDF">
        <w:rPr>
          <w:rFonts w:ascii="Arial" w:hAnsi="Arial" w:cs="Arial"/>
          <w:sz w:val="24"/>
          <w:szCs w:val="24"/>
        </w:rPr>
        <w:t xml:space="preserve"> - 400 buc; Eurocontainer </w:t>
      </w:r>
      <w:smartTag w:uri="urn:schemas-microsoft-com:office:smarttags" w:element="metricconverter">
        <w:smartTagPr>
          <w:attr w:name="ProductID" w:val="1100 l"/>
        </w:smartTagPr>
        <w:r w:rsidRPr="00410EDF">
          <w:rPr>
            <w:rFonts w:ascii="Arial" w:hAnsi="Arial" w:cs="Arial"/>
            <w:sz w:val="24"/>
            <w:szCs w:val="24"/>
          </w:rPr>
          <w:t>1100 l</w:t>
        </w:r>
      </w:smartTag>
      <w:r w:rsidRPr="00410EDF">
        <w:rPr>
          <w:rFonts w:ascii="Arial" w:hAnsi="Arial" w:cs="Arial"/>
          <w:sz w:val="24"/>
          <w:szCs w:val="24"/>
        </w:rPr>
        <w:t xml:space="preserve"> – 140 buc; eurocontainer </w:t>
      </w:r>
      <w:smartTag w:uri="urn:schemas-microsoft-com:office:smarttags" w:element="metricconverter">
        <w:smartTagPr>
          <w:attr w:name="ProductID" w:val="3800 l"/>
        </w:smartTagPr>
        <w:r w:rsidRPr="00410EDF">
          <w:rPr>
            <w:rFonts w:ascii="Arial" w:hAnsi="Arial" w:cs="Arial"/>
            <w:sz w:val="24"/>
            <w:szCs w:val="24"/>
          </w:rPr>
          <w:t>3800 l</w:t>
        </w:r>
      </w:smartTag>
      <w:r w:rsidRPr="00410EDF">
        <w:rPr>
          <w:rFonts w:ascii="Arial" w:hAnsi="Arial" w:cs="Arial"/>
          <w:sz w:val="24"/>
          <w:szCs w:val="24"/>
        </w:rPr>
        <w:t xml:space="preserve"> – 70 buc; europubelă </w:t>
      </w:r>
      <w:smartTag w:uri="urn:schemas-microsoft-com:office:smarttags" w:element="metricconverter">
        <w:smartTagPr>
          <w:attr w:name="ProductID" w:val="1200 l"/>
        </w:smartTagPr>
        <w:r w:rsidRPr="00410EDF">
          <w:rPr>
            <w:rFonts w:ascii="Arial" w:hAnsi="Arial" w:cs="Arial"/>
            <w:sz w:val="24"/>
            <w:szCs w:val="24"/>
          </w:rPr>
          <w:t>1200 l</w:t>
        </w:r>
      </w:smartTag>
      <w:r w:rsidRPr="00410EDF">
        <w:rPr>
          <w:rFonts w:ascii="Arial" w:hAnsi="Arial" w:cs="Arial"/>
          <w:sz w:val="24"/>
          <w:szCs w:val="24"/>
        </w:rPr>
        <w:t xml:space="preserve"> – 180 buc; 30 containere tip iglu cu un volum de 1500 l, pentru colectarea selectivă; autogunoiere compactoare 10 m</w:t>
      </w:r>
      <w:r w:rsidRPr="00410EDF">
        <w:rPr>
          <w:rFonts w:ascii="Arial" w:hAnsi="Arial" w:cs="Arial"/>
          <w:sz w:val="24"/>
          <w:szCs w:val="24"/>
          <w:vertAlign w:val="superscript"/>
        </w:rPr>
        <w:t>3</w:t>
      </w:r>
      <w:r w:rsidRPr="00410EDF">
        <w:rPr>
          <w:rFonts w:ascii="Arial" w:hAnsi="Arial" w:cs="Arial"/>
          <w:sz w:val="24"/>
          <w:szCs w:val="24"/>
        </w:rPr>
        <w:t xml:space="preserve"> – 1 buc.; autogunoiere compactoare 8 m</w:t>
      </w:r>
      <w:r w:rsidRPr="00410EDF">
        <w:rPr>
          <w:rFonts w:ascii="Arial" w:hAnsi="Arial" w:cs="Arial"/>
          <w:sz w:val="24"/>
          <w:szCs w:val="24"/>
          <w:vertAlign w:val="superscript"/>
        </w:rPr>
        <w:t>3</w:t>
      </w:r>
      <w:r w:rsidRPr="00410EDF">
        <w:rPr>
          <w:rFonts w:ascii="Arial" w:hAnsi="Arial" w:cs="Arial"/>
          <w:sz w:val="24"/>
          <w:szCs w:val="24"/>
        </w:rPr>
        <w:t xml:space="preserve"> – 2 buc.; autogunoiere compactoare 12 m</w:t>
      </w:r>
      <w:r w:rsidRPr="00410EDF">
        <w:rPr>
          <w:rFonts w:ascii="Arial" w:hAnsi="Arial" w:cs="Arial"/>
          <w:sz w:val="24"/>
          <w:szCs w:val="24"/>
          <w:vertAlign w:val="superscript"/>
        </w:rPr>
        <w:t>3</w:t>
      </w:r>
      <w:r w:rsidRPr="00410EDF">
        <w:rPr>
          <w:rFonts w:ascii="Arial" w:hAnsi="Arial" w:cs="Arial"/>
          <w:sz w:val="24"/>
          <w:szCs w:val="24"/>
        </w:rPr>
        <w:t xml:space="preserve"> – 2 buc.; autogunoiere compactoare 14 m</w:t>
      </w:r>
      <w:r w:rsidRPr="00410EDF">
        <w:rPr>
          <w:rFonts w:ascii="Arial" w:hAnsi="Arial" w:cs="Arial"/>
          <w:sz w:val="24"/>
          <w:szCs w:val="24"/>
          <w:vertAlign w:val="superscript"/>
        </w:rPr>
        <w:t>3</w:t>
      </w:r>
      <w:r w:rsidRPr="00410EDF">
        <w:rPr>
          <w:rFonts w:ascii="Arial" w:hAnsi="Arial" w:cs="Arial"/>
          <w:sz w:val="24"/>
          <w:szCs w:val="24"/>
        </w:rPr>
        <w:t xml:space="preserve"> – 2  buc.; autotransportoare cu container 3,8 m</w:t>
      </w:r>
      <w:r w:rsidRPr="00410EDF">
        <w:rPr>
          <w:rFonts w:ascii="Arial" w:hAnsi="Arial" w:cs="Arial"/>
          <w:sz w:val="24"/>
          <w:szCs w:val="24"/>
          <w:vertAlign w:val="superscript"/>
        </w:rPr>
        <w:t>3</w:t>
      </w:r>
      <w:r w:rsidRPr="00410EDF">
        <w:rPr>
          <w:rFonts w:ascii="Arial" w:hAnsi="Arial" w:cs="Arial"/>
          <w:sz w:val="24"/>
          <w:szCs w:val="24"/>
        </w:rPr>
        <w:t xml:space="preserve"> -  1 buc.</w:t>
      </w:r>
    </w:p>
    <w:p w:rsidR="00F065B7" w:rsidRPr="00410EDF" w:rsidRDefault="00F065B7" w:rsidP="00252ED3">
      <w:pPr>
        <w:numPr>
          <w:ilvl w:val="0"/>
          <w:numId w:val="49"/>
        </w:numPr>
        <w:tabs>
          <w:tab w:val="clear" w:pos="720"/>
          <w:tab w:val="num" w:pos="567"/>
        </w:tabs>
        <w:spacing w:after="0" w:line="240" w:lineRule="auto"/>
        <w:ind w:left="567"/>
        <w:jc w:val="both"/>
        <w:rPr>
          <w:rFonts w:ascii="Arial" w:hAnsi="Arial" w:cs="Arial"/>
          <w:b/>
          <w:sz w:val="24"/>
          <w:szCs w:val="24"/>
        </w:rPr>
      </w:pPr>
      <w:r w:rsidRPr="00410EDF">
        <w:rPr>
          <w:rFonts w:ascii="Arial" w:hAnsi="Arial" w:cs="Arial"/>
          <w:sz w:val="24"/>
          <w:szCs w:val="24"/>
        </w:rPr>
        <w:t xml:space="preserve">SC </w:t>
      </w:r>
      <w:r w:rsidR="007C1699">
        <w:rPr>
          <w:rFonts w:ascii="Arial" w:hAnsi="Arial" w:cs="Arial"/>
          <w:sz w:val="24"/>
          <w:szCs w:val="24"/>
        </w:rPr>
        <w:t>BR</w:t>
      </w:r>
      <w:r w:rsidRPr="00410EDF">
        <w:rPr>
          <w:rFonts w:ascii="Arial" w:hAnsi="Arial" w:cs="Arial"/>
          <w:sz w:val="24"/>
          <w:szCs w:val="24"/>
        </w:rPr>
        <w:t xml:space="preserve">AI -  CATA SRL – pubele </w:t>
      </w:r>
      <w:smartTag w:uri="urn:schemas-microsoft-com:office:smarttags" w:element="metricconverter">
        <w:smartTagPr>
          <w:attr w:name="ProductID" w:val="240 l"/>
        </w:smartTagPr>
        <w:r w:rsidRPr="00410EDF">
          <w:rPr>
            <w:rFonts w:ascii="Arial" w:hAnsi="Arial" w:cs="Arial"/>
            <w:sz w:val="24"/>
            <w:szCs w:val="24"/>
          </w:rPr>
          <w:t>240 l</w:t>
        </w:r>
      </w:smartTag>
      <w:r w:rsidRPr="00410EDF">
        <w:rPr>
          <w:rFonts w:ascii="Arial" w:hAnsi="Arial" w:cs="Arial"/>
          <w:sz w:val="24"/>
          <w:szCs w:val="24"/>
        </w:rPr>
        <w:t xml:space="preserve"> – 4850 buc; eurocontainere </w:t>
      </w:r>
      <w:smartTag w:uri="urn:schemas-microsoft-com:office:smarttags" w:element="metricconverter">
        <w:smartTagPr>
          <w:attr w:name="ProductID" w:val="1100 l"/>
        </w:smartTagPr>
        <w:r w:rsidRPr="00410EDF">
          <w:rPr>
            <w:rFonts w:ascii="Arial" w:hAnsi="Arial" w:cs="Arial"/>
            <w:sz w:val="24"/>
            <w:szCs w:val="24"/>
          </w:rPr>
          <w:t>1100 l</w:t>
        </w:r>
      </w:smartTag>
      <w:r w:rsidRPr="00410EDF">
        <w:rPr>
          <w:rFonts w:ascii="Arial" w:hAnsi="Arial" w:cs="Arial"/>
          <w:sz w:val="24"/>
          <w:szCs w:val="24"/>
        </w:rPr>
        <w:t xml:space="preserve"> – 21buc; container metalic de </w:t>
      </w:r>
      <w:smartTag w:uri="urn:schemas-microsoft-com:office:smarttags" w:element="metricconverter">
        <w:smartTagPr>
          <w:attr w:name="ProductID" w:val="1100 l"/>
        </w:smartTagPr>
        <w:r w:rsidRPr="00410EDF">
          <w:rPr>
            <w:rFonts w:ascii="Arial" w:hAnsi="Arial" w:cs="Arial"/>
            <w:sz w:val="24"/>
            <w:szCs w:val="24"/>
          </w:rPr>
          <w:t>1100 l</w:t>
        </w:r>
      </w:smartTag>
      <w:r w:rsidRPr="00410EDF">
        <w:rPr>
          <w:rFonts w:ascii="Arial" w:hAnsi="Arial" w:cs="Arial"/>
          <w:sz w:val="24"/>
          <w:szCs w:val="24"/>
        </w:rPr>
        <w:t xml:space="preserve"> – 275 buc; container metalic de </w:t>
      </w:r>
      <w:smartTag w:uri="urn:schemas-microsoft-com:office:smarttags" w:element="metricconverter">
        <w:smartTagPr>
          <w:attr w:name="ProductID" w:val="4000 l"/>
        </w:smartTagPr>
        <w:r w:rsidRPr="00410EDF">
          <w:rPr>
            <w:rFonts w:ascii="Arial" w:hAnsi="Arial" w:cs="Arial"/>
            <w:sz w:val="24"/>
            <w:szCs w:val="24"/>
          </w:rPr>
          <w:t>4000 l</w:t>
        </w:r>
      </w:smartTag>
      <w:r w:rsidRPr="00410EDF">
        <w:rPr>
          <w:rFonts w:ascii="Arial" w:hAnsi="Arial" w:cs="Arial"/>
          <w:sz w:val="24"/>
          <w:szCs w:val="24"/>
        </w:rPr>
        <w:t xml:space="preserve"> – 27 buc.; pentru colectarea selectivă 90 containere tip clopot, cu un volum de </w:t>
      </w:r>
      <w:smartTag w:uri="urn:schemas-microsoft-com:office:smarttags" w:element="metricconverter">
        <w:smartTagPr>
          <w:attr w:name="ProductID" w:val="2500 l"/>
        </w:smartTagPr>
        <w:r w:rsidRPr="00410EDF">
          <w:rPr>
            <w:rFonts w:ascii="Arial" w:hAnsi="Arial" w:cs="Arial"/>
            <w:sz w:val="24"/>
            <w:szCs w:val="24"/>
          </w:rPr>
          <w:t>2500 l</w:t>
        </w:r>
      </w:smartTag>
      <w:r w:rsidRPr="00410EDF">
        <w:rPr>
          <w:rFonts w:ascii="Arial" w:hAnsi="Arial" w:cs="Arial"/>
          <w:sz w:val="24"/>
          <w:szCs w:val="24"/>
        </w:rPr>
        <w:t xml:space="preserve"> pentru fiecare container;  autogunoiere - 12 buc cu o capacitate de 15 m</w:t>
      </w:r>
      <w:r w:rsidRPr="00410EDF">
        <w:rPr>
          <w:rFonts w:ascii="Arial" w:hAnsi="Arial" w:cs="Arial"/>
          <w:sz w:val="24"/>
          <w:szCs w:val="24"/>
          <w:vertAlign w:val="superscript"/>
        </w:rPr>
        <w:t>3</w:t>
      </w:r>
      <w:r w:rsidRPr="00410EDF">
        <w:rPr>
          <w:rFonts w:ascii="Arial" w:hAnsi="Arial" w:cs="Arial"/>
          <w:sz w:val="24"/>
          <w:szCs w:val="24"/>
        </w:rPr>
        <w:t>; autotransportoare 1 buc;</w:t>
      </w:r>
    </w:p>
    <w:p w:rsidR="00F065B7" w:rsidRPr="00410EDF" w:rsidRDefault="00F065B7" w:rsidP="00252ED3">
      <w:pPr>
        <w:numPr>
          <w:ilvl w:val="0"/>
          <w:numId w:val="49"/>
        </w:numPr>
        <w:tabs>
          <w:tab w:val="clear" w:pos="720"/>
          <w:tab w:val="num" w:pos="567"/>
        </w:tabs>
        <w:spacing w:after="0" w:line="240" w:lineRule="auto"/>
        <w:ind w:left="567"/>
        <w:jc w:val="both"/>
        <w:rPr>
          <w:rFonts w:ascii="Arial" w:hAnsi="Arial" w:cs="Arial"/>
          <w:b/>
          <w:sz w:val="24"/>
          <w:szCs w:val="24"/>
        </w:rPr>
      </w:pPr>
      <w:r w:rsidRPr="00410EDF">
        <w:rPr>
          <w:rFonts w:ascii="Arial" w:hAnsi="Arial" w:cs="Arial"/>
          <w:sz w:val="24"/>
          <w:szCs w:val="24"/>
        </w:rPr>
        <w:t xml:space="preserve">SC RER ECOLOGIC SERVICES SRL - europubele </w:t>
      </w:r>
      <w:smartTag w:uri="urn:schemas-microsoft-com:office:smarttags" w:element="metricconverter">
        <w:smartTagPr>
          <w:attr w:name="ProductID" w:val="240 l"/>
        </w:smartTagPr>
        <w:r w:rsidRPr="00410EDF">
          <w:rPr>
            <w:rFonts w:ascii="Arial" w:hAnsi="Arial" w:cs="Arial"/>
            <w:sz w:val="24"/>
            <w:szCs w:val="24"/>
          </w:rPr>
          <w:t>240 l</w:t>
        </w:r>
      </w:smartTag>
      <w:r w:rsidRPr="00410EDF">
        <w:rPr>
          <w:rFonts w:ascii="Arial" w:hAnsi="Arial" w:cs="Arial"/>
          <w:sz w:val="24"/>
          <w:szCs w:val="24"/>
        </w:rPr>
        <w:t xml:space="preserve"> – 216 buc; eurocontainere din metal </w:t>
      </w:r>
      <w:smartTag w:uri="urn:schemas-microsoft-com:office:smarttags" w:element="metricconverter">
        <w:smartTagPr>
          <w:attr w:name="ProductID" w:val="1100 l"/>
        </w:smartTagPr>
        <w:r w:rsidRPr="00410EDF">
          <w:rPr>
            <w:rFonts w:ascii="Arial" w:hAnsi="Arial" w:cs="Arial"/>
            <w:sz w:val="24"/>
            <w:szCs w:val="24"/>
          </w:rPr>
          <w:t>1100 l</w:t>
        </w:r>
      </w:smartTag>
      <w:r w:rsidRPr="00410EDF">
        <w:rPr>
          <w:rFonts w:ascii="Arial" w:hAnsi="Arial" w:cs="Arial"/>
          <w:sz w:val="24"/>
          <w:szCs w:val="24"/>
        </w:rPr>
        <w:t xml:space="preserve"> - 104 buc; eurocontainer din plastic </w:t>
      </w:r>
      <w:smartTag w:uri="urn:schemas-microsoft-com:office:smarttags" w:element="metricconverter">
        <w:smartTagPr>
          <w:attr w:name="ProductID" w:val="1100 l"/>
        </w:smartTagPr>
        <w:r w:rsidRPr="00410EDF">
          <w:rPr>
            <w:rFonts w:ascii="Arial" w:hAnsi="Arial" w:cs="Arial"/>
            <w:sz w:val="24"/>
            <w:szCs w:val="24"/>
          </w:rPr>
          <w:t>1100 l</w:t>
        </w:r>
      </w:smartTag>
      <w:r w:rsidRPr="00410EDF">
        <w:rPr>
          <w:rFonts w:ascii="Arial" w:hAnsi="Arial" w:cs="Arial"/>
          <w:sz w:val="24"/>
          <w:szCs w:val="24"/>
        </w:rPr>
        <w:t xml:space="preserve"> – 129 buc; container de </w:t>
      </w:r>
      <w:smartTag w:uri="urn:schemas-microsoft-com:office:smarttags" w:element="metricconverter">
        <w:smartTagPr>
          <w:attr w:name="ProductID" w:val="7000 l"/>
        </w:smartTagPr>
        <w:r w:rsidRPr="00410EDF">
          <w:rPr>
            <w:rFonts w:ascii="Arial" w:hAnsi="Arial" w:cs="Arial"/>
            <w:sz w:val="24"/>
            <w:szCs w:val="24"/>
          </w:rPr>
          <w:t>7000 l</w:t>
        </w:r>
      </w:smartTag>
      <w:r w:rsidRPr="00410EDF">
        <w:rPr>
          <w:rFonts w:ascii="Arial" w:hAnsi="Arial" w:cs="Arial"/>
          <w:sz w:val="24"/>
          <w:szCs w:val="24"/>
        </w:rPr>
        <w:t xml:space="preserve"> – 10 buc; container de 1800 l – 10 buc; container de 2400 l – 2 buc; autogunoiere 6 buc; autotransportoare cu container 7 mc -  1 buc.; îcărcător frontal – 2 buc.</w:t>
      </w:r>
    </w:p>
    <w:p w:rsidR="006908FA" w:rsidRPr="00410EDF" w:rsidRDefault="006908FA" w:rsidP="00C625DB">
      <w:pPr>
        <w:spacing w:after="0" w:line="240" w:lineRule="auto"/>
        <w:jc w:val="both"/>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În oraşele Ianca şi Însurăţei colectarea şi transportul deşeurilor de la populaţie se realizează prin Direcţia Serviciilor Publice Ianca şi respectiv Serviciul Public Local de Salu</w:t>
      </w:r>
      <w:r w:rsidR="007C1699">
        <w:rPr>
          <w:rFonts w:ascii="Arial" w:hAnsi="Arial" w:cs="Arial"/>
          <w:sz w:val="24"/>
          <w:szCs w:val="24"/>
        </w:rPr>
        <w:t>BR</w:t>
      </w:r>
      <w:r w:rsidRPr="00410EDF">
        <w:rPr>
          <w:rFonts w:ascii="Arial" w:hAnsi="Arial" w:cs="Arial"/>
          <w:sz w:val="24"/>
          <w:szCs w:val="24"/>
        </w:rPr>
        <w:t>itate Însurăţei. În oraşul Făurei, aceste servicii sunt prestate de SC Faursal Serv SRL Făurei (prin contract de delegare gestiune) .</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La nivelul anului 2015, 33 comune din judetul </w:t>
      </w:r>
      <w:r w:rsidR="00217620">
        <w:rPr>
          <w:rFonts w:ascii="Arial" w:hAnsi="Arial" w:cs="Arial"/>
          <w:sz w:val="24"/>
          <w:szCs w:val="24"/>
        </w:rPr>
        <w:t>Brăila</w:t>
      </w:r>
      <w:r w:rsidRPr="00410EDF">
        <w:rPr>
          <w:rFonts w:ascii="Arial" w:hAnsi="Arial" w:cs="Arial"/>
          <w:sz w:val="24"/>
          <w:szCs w:val="24"/>
        </w:rPr>
        <w:t xml:space="preserve"> au incheiate contracte de servicii de delegare a gestiunii serviciului de salu</w:t>
      </w:r>
      <w:r w:rsidR="007C1699">
        <w:rPr>
          <w:rFonts w:ascii="Arial" w:hAnsi="Arial" w:cs="Arial"/>
          <w:sz w:val="24"/>
          <w:szCs w:val="24"/>
        </w:rPr>
        <w:t>BR</w:t>
      </w:r>
      <w:r w:rsidRPr="00410EDF">
        <w:rPr>
          <w:rFonts w:ascii="Arial" w:hAnsi="Arial" w:cs="Arial"/>
          <w:sz w:val="24"/>
          <w:szCs w:val="24"/>
        </w:rPr>
        <w:t xml:space="preserve">izare. </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În celelalte localităţi din mediul rural, datorită faptului că în iulie 2009 au fost închise toate platformele neorganizate unde se depozita gunoiul menajer, a apărut necesitatea identificării unei soluţii pentru colectarea deşeurilor, până la punerea în funcţiune a sistemului judeţean de management integrat al deşeurilor (SMID).</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lastRenderedPageBreak/>
        <w:t xml:space="preserve">În acest sens, de la sfârşitul anului 2010 s-au amenajat 8 puncte de colectare zonale  (tabel VII.1.1.5 ) la care sunt arondate câte 2 până la 9 comune.  </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Colectarea deşeurilor menajere şi transportul până la punctul de colectare se organizează de către fiecare Unitate Administrativ Teritorială în parte. Astfel colectarea se realizează prin: 6 operatori de salu</w:t>
      </w:r>
      <w:r w:rsidR="007C1699">
        <w:rPr>
          <w:rFonts w:ascii="Arial" w:hAnsi="Arial" w:cs="Arial"/>
          <w:sz w:val="24"/>
          <w:szCs w:val="24"/>
        </w:rPr>
        <w:t>BR</w:t>
      </w:r>
      <w:r w:rsidRPr="00410EDF">
        <w:rPr>
          <w:rFonts w:ascii="Arial" w:hAnsi="Arial" w:cs="Arial"/>
          <w:sz w:val="24"/>
          <w:szCs w:val="24"/>
        </w:rPr>
        <w:t xml:space="preserve">itate care operează numai în zona rurală, 2 operatori care deservesc şi municipiul </w:t>
      </w:r>
      <w:r w:rsidR="00217620">
        <w:rPr>
          <w:rFonts w:ascii="Arial" w:hAnsi="Arial" w:cs="Arial"/>
          <w:sz w:val="24"/>
          <w:szCs w:val="24"/>
        </w:rPr>
        <w:t>Brăila</w:t>
      </w:r>
      <w:r w:rsidRPr="00410EDF">
        <w:rPr>
          <w:rFonts w:ascii="Arial" w:hAnsi="Arial" w:cs="Arial"/>
          <w:sz w:val="24"/>
          <w:szCs w:val="24"/>
        </w:rPr>
        <w:t xml:space="preserve"> sau prin servicii proprii de salu</w:t>
      </w:r>
      <w:r w:rsidR="007C1699">
        <w:rPr>
          <w:rFonts w:ascii="Arial" w:hAnsi="Arial" w:cs="Arial"/>
          <w:sz w:val="24"/>
          <w:szCs w:val="24"/>
        </w:rPr>
        <w:t>BR</w:t>
      </w:r>
      <w:r w:rsidRPr="00410EDF">
        <w:rPr>
          <w:rFonts w:ascii="Arial" w:hAnsi="Arial" w:cs="Arial"/>
          <w:sz w:val="24"/>
          <w:szCs w:val="24"/>
        </w:rPr>
        <w:t>izare organizate de administraţia publică locală, astfel încât toate localităţile beneficiază de servicii de salu</w:t>
      </w:r>
      <w:r w:rsidR="007C1699">
        <w:rPr>
          <w:rFonts w:ascii="Arial" w:hAnsi="Arial" w:cs="Arial"/>
          <w:sz w:val="24"/>
          <w:szCs w:val="24"/>
        </w:rPr>
        <w:t>BR</w:t>
      </w:r>
      <w:r w:rsidRPr="00410EDF">
        <w:rPr>
          <w:rFonts w:ascii="Arial" w:hAnsi="Arial" w:cs="Arial"/>
          <w:sz w:val="24"/>
          <w:szCs w:val="24"/>
        </w:rPr>
        <w:t>izare.</w:t>
      </w:r>
    </w:p>
    <w:p w:rsidR="004E4F65"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Deşeurile menajere colectate în saci de plastic de la gospodăriile din localităţile rurale sunt transportate la punctele de colectare, unde sunt stocate temporar în containere metalice de mare capacitate (32 mc / 11 t). Transportul este realizat cu ajutorul unui cap tractor cu sistem de încărcare – descărcare – basculare cu cârlig echipat cu containere metalice de capacitate mare.După umplere containerele sunt transportate de către S.C. RECORWOOD S.R.L. (prin contract de delegare a gestiunii prin concesiune a serviciului de transport încheiat cu ADI  ECO DUNĂREA" </w:t>
      </w:r>
      <w:r w:rsidR="00217620">
        <w:rPr>
          <w:rFonts w:ascii="Arial" w:hAnsi="Arial" w:cs="Arial"/>
          <w:sz w:val="24"/>
          <w:szCs w:val="24"/>
        </w:rPr>
        <w:t>Brăila</w:t>
      </w:r>
      <w:r w:rsidRPr="00410EDF">
        <w:rPr>
          <w:rFonts w:ascii="Arial" w:hAnsi="Arial" w:cs="Arial"/>
          <w:sz w:val="24"/>
          <w:szCs w:val="24"/>
        </w:rPr>
        <w:t xml:space="preserve">) la depozitul Muchea pentru eliminare. Containerele vor fi integrate ulterior în sistemul noilor investiţii şi vor deservi localităţile din Insula Mare a </w:t>
      </w:r>
      <w:r w:rsidR="007C1699">
        <w:rPr>
          <w:rFonts w:ascii="Arial" w:hAnsi="Arial" w:cs="Arial"/>
          <w:sz w:val="24"/>
          <w:szCs w:val="24"/>
        </w:rPr>
        <w:t>BR</w:t>
      </w:r>
      <w:r w:rsidRPr="00410EDF">
        <w:rPr>
          <w:rFonts w:ascii="Arial" w:hAnsi="Arial" w:cs="Arial"/>
          <w:sz w:val="24"/>
          <w:szCs w:val="24"/>
        </w:rPr>
        <w:t xml:space="preserve">ăilei precum şi municipiul </w:t>
      </w:r>
      <w:r w:rsidR="00217620">
        <w:rPr>
          <w:rFonts w:ascii="Arial" w:hAnsi="Arial" w:cs="Arial"/>
          <w:sz w:val="24"/>
          <w:szCs w:val="24"/>
        </w:rPr>
        <w:t>Brăila</w:t>
      </w:r>
      <w:r w:rsidRPr="00410EDF">
        <w:rPr>
          <w:rFonts w:ascii="Arial" w:hAnsi="Arial" w:cs="Arial"/>
          <w:sz w:val="24"/>
          <w:szCs w:val="24"/>
        </w:rPr>
        <w:t xml:space="preserve"> pentru deşeurile din parcuri şi grădini care vor fi compostate. </w:t>
      </w:r>
      <w:r w:rsidR="004E4F65" w:rsidRPr="00410EDF">
        <w:rPr>
          <w:rFonts w:ascii="Arial" w:hAnsi="Arial" w:cs="Arial"/>
          <w:sz w:val="24"/>
          <w:szCs w:val="24"/>
        </w:rPr>
        <w:t>SC RER ECOLOGIC SERVICES SRL deține contract de prestări servicii în ceea ce privește colectarea și transportul deșeurilor menaje cu 3 comune din județ - Vădeni, Ciscani și Cazasu.</w:t>
      </w:r>
    </w:p>
    <w:p w:rsidR="00F065B7" w:rsidRPr="00410EDF" w:rsidRDefault="00F065B7" w:rsidP="00C625DB">
      <w:pPr>
        <w:spacing w:after="0" w:line="240" w:lineRule="auto"/>
        <w:ind w:firstLine="708"/>
        <w:jc w:val="both"/>
        <w:rPr>
          <w:rFonts w:ascii="Arial" w:hAnsi="Arial" w:cs="Arial"/>
          <w:b/>
          <w:sz w:val="24"/>
          <w:szCs w:val="24"/>
        </w:rPr>
      </w:pPr>
      <w:r w:rsidRPr="00410EDF">
        <w:rPr>
          <w:rFonts w:ascii="Arial" w:hAnsi="Arial" w:cs="Arial"/>
          <w:sz w:val="24"/>
          <w:szCs w:val="24"/>
        </w:rPr>
        <w:t>Soluţia implementată a fost dimensionată astfel încât să asigure un grad de acoperire cu servicii de salu</w:t>
      </w:r>
      <w:r w:rsidR="007C1699">
        <w:rPr>
          <w:rFonts w:ascii="Arial" w:hAnsi="Arial" w:cs="Arial"/>
          <w:sz w:val="24"/>
          <w:szCs w:val="24"/>
        </w:rPr>
        <w:t>BR</w:t>
      </w:r>
      <w:r w:rsidRPr="00410EDF">
        <w:rPr>
          <w:rFonts w:ascii="Arial" w:hAnsi="Arial" w:cs="Arial"/>
          <w:sz w:val="24"/>
          <w:szCs w:val="24"/>
        </w:rPr>
        <w:t>itate de 100% în mediul rural, dar cu caracter temporar, reprezentand o soluţie de tranziţie până la darea în exploatare a investiţiilor SMID proiectate.</w:t>
      </w:r>
    </w:p>
    <w:p w:rsidR="00F065B7" w:rsidRPr="00410EDF" w:rsidRDefault="00F065B7" w:rsidP="00C625DB">
      <w:pPr>
        <w:spacing w:after="0" w:line="240" w:lineRule="auto"/>
        <w:jc w:val="both"/>
        <w:rPr>
          <w:rFonts w:ascii="Arial" w:hAnsi="Arial" w:cs="Arial"/>
          <w:b/>
          <w:sz w:val="24"/>
          <w:szCs w:val="24"/>
        </w:rPr>
      </w:pPr>
    </w:p>
    <w:p w:rsidR="00F065B7" w:rsidRPr="00410EDF" w:rsidRDefault="00F065B7" w:rsidP="00C625DB">
      <w:pPr>
        <w:spacing w:after="0" w:line="240" w:lineRule="auto"/>
        <w:rPr>
          <w:rFonts w:ascii="Arial" w:hAnsi="Arial" w:cs="Arial"/>
          <w:sz w:val="24"/>
          <w:szCs w:val="24"/>
        </w:rPr>
      </w:pPr>
      <w:r w:rsidRPr="00410EDF">
        <w:rPr>
          <w:rFonts w:ascii="Arial" w:hAnsi="Arial" w:cs="Arial"/>
          <w:sz w:val="24"/>
          <w:szCs w:val="24"/>
        </w:rPr>
        <w:t>Tabel VII.1.1.6 Rețeaua de puncte de colectare a deşeurilor menajere din mediul rural în anul 2014</w:t>
      </w:r>
    </w:p>
    <w:tbl>
      <w:tblPr>
        <w:tblW w:w="0" w:type="auto"/>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550"/>
        <w:gridCol w:w="1882"/>
        <w:gridCol w:w="4253"/>
        <w:gridCol w:w="1903"/>
        <w:gridCol w:w="1705"/>
      </w:tblGrid>
      <w:tr w:rsidR="004E4F65" w:rsidRPr="006157E7" w:rsidTr="0029217B">
        <w:tc>
          <w:tcPr>
            <w:tcW w:w="550" w:type="dxa"/>
            <w:shd w:val="clear" w:color="auto" w:fill="F2F2F2" w:themeFill="background1" w:themeFillShade="F2"/>
          </w:tcPr>
          <w:p w:rsidR="004E4F65" w:rsidRPr="006157E7" w:rsidRDefault="004E4F65" w:rsidP="00C625DB">
            <w:pPr>
              <w:spacing w:after="0" w:line="240" w:lineRule="auto"/>
              <w:rPr>
                <w:rFonts w:ascii="Arial" w:hAnsi="Arial" w:cs="Arial"/>
              </w:rPr>
            </w:pPr>
            <w:r w:rsidRPr="006157E7">
              <w:rPr>
                <w:rFonts w:ascii="Arial" w:hAnsi="Arial" w:cs="Arial"/>
              </w:rPr>
              <w:t>Nr.</w:t>
            </w:r>
          </w:p>
          <w:p w:rsidR="004E4F65" w:rsidRPr="006157E7" w:rsidRDefault="004E4F65" w:rsidP="00C625DB">
            <w:pPr>
              <w:spacing w:after="0" w:line="240" w:lineRule="auto"/>
              <w:rPr>
                <w:rFonts w:ascii="Arial" w:hAnsi="Arial" w:cs="Arial"/>
              </w:rPr>
            </w:pPr>
            <w:r w:rsidRPr="006157E7">
              <w:rPr>
                <w:rFonts w:ascii="Arial" w:hAnsi="Arial" w:cs="Arial"/>
              </w:rPr>
              <w:t>crt.</w:t>
            </w:r>
          </w:p>
        </w:tc>
        <w:tc>
          <w:tcPr>
            <w:tcW w:w="1882" w:type="dxa"/>
            <w:shd w:val="clear" w:color="auto" w:fill="F2F2F2" w:themeFill="background1" w:themeFillShade="F2"/>
          </w:tcPr>
          <w:p w:rsidR="004E4F65" w:rsidRPr="006157E7" w:rsidRDefault="004E4F65" w:rsidP="00C625DB">
            <w:pPr>
              <w:spacing w:after="0" w:line="240" w:lineRule="auto"/>
              <w:rPr>
                <w:rFonts w:ascii="Arial" w:hAnsi="Arial" w:cs="Arial"/>
              </w:rPr>
            </w:pPr>
            <w:r w:rsidRPr="006157E7">
              <w:rPr>
                <w:rFonts w:ascii="Arial" w:hAnsi="Arial" w:cs="Arial"/>
              </w:rPr>
              <w:t>Punctul de</w:t>
            </w:r>
          </w:p>
          <w:p w:rsidR="004E4F65" w:rsidRPr="006157E7" w:rsidRDefault="004E4F65" w:rsidP="00C625DB">
            <w:pPr>
              <w:spacing w:after="0" w:line="240" w:lineRule="auto"/>
              <w:rPr>
                <w:rFonts w:ascii="Arial" w:hAnsi="Arial" w:cs="Arial"/>
              </w:rPr>
            </w:pPr>
            <w:r w:rsidRPr="006157E7">
              <w:rPr>
                <w:rFonts w:ascii="Arial" w:hAnsi="Arial" w:cs="Arial"/>
              </w:rPr>
              <w:t>colectare</w:t>
            </w:r>
          </w:p>
        </w:tc>
        <w:tc>
          <w:tcPr>
            <w:tcW w:w="4253" w:type="dxa"/>
            <w:shd w:val="clear" w:color="auto" w:fill="F2F2F2" w:themeFill="background1" w:themeFillShade="F2"/>
          </w:tcPr>
          <w:p w:rsidR="004E4F65" w:rsidRPr="006157E7" w:rsidRDefault="004E4F65" w:rsidP="00C625DB">
            <w:pPr>
              <w:spacing w:after="0" w:line="240" w:lineRule="auto"/>
              <w:rPr>
                <w:rFonts w:ascii="Arial" w:hAnsi="Arial" w:cs="Arial"/>
              </w:rPr>
            </w:pPr>
            <w:r w:rsidRPr="006157E7">
              <w:rPr>
                <w:rFonts w:ascii="Arial" w:hAnsi="Arial" w:cs="Arial"/>
              </w:rPr>
              <w:t>Localități arondate</w:t>
            </w:r>
          </w:p>
        </w:tc>
        <w:tc>
          <w:tcPr>
            <w:tcW w:w="1903" w:type="dxa"/>
            <w:shd w:val="clear" w:color="auto" w:fill="F2F2F2" w:themeFill="background1" w:themeFillShade="F2"/>
          </w:tcPr>
          <w:p w:rsidR="004E4F65" w:rsidRPr="006157E7" w:rsidRDefault="004E4F65" w:rsidP="00C625DB">
            <w:pPr>
              <w:spacing w:after="0" w:line="240" w:lineRule="auto"/>
              <w:rPr>
                <w:rFonts w:ascii="Arial" w:hAnsi="Arial" w:cs="Arial"/>
              </w:rPr>
            </w:pPr>
            <w:r w:rsidRPr="006157E7">
              <w:rPr>
                <w:rFonts w:ascii="Arial" w:hAnsi="Arial" w:cs="Arial"/>
              </w:rPr>
              <w:t>Distanţa de la punctul de colectare la depozit Muchea(km)</w:t>
            </w:r>
          </w:p>
        </w:tc>
        <w:tc>
          <w:tcPr>
            <w:tcW w:w="1705" w:type="dxa"/>
            <w:shd w:val="clear" w:color="auto" w:fill="F2F2F2" w:themeFill="background1" w:themeFillShade="F2"/>
          </w:tcPr>
          <w:p w:rsidR="004E4F65" w:rsidRPr="006157E7" w:rsidRDefault="004E4F65" w:rsidP="00C625DB">
            <w:pPr>
              <w:spacing w:after="0" w:line="240" w:lineRule="auto"/>
              <w:rPr>
                <w:rFonts w:ascii="Arial" w:hAnsi="Arial" w:cs="Arial"/>
              </w:rPr>
            </w:pPr>
            <w:r w:rsidRPr="006157E7">
              <w:rPr>
                <w:rFonts w:ascii="Arial" w:hAnsi="Arial" w:cs="Arial"/>
              </w:rPr>
              <w:t>Numărul de</w:t>
            </w:r>
          </w:p>
          <w:p w:rsidR="004E4F65" w:rsidRPr="006157E7" w:rsidRDefault="004E4F65" w:rsidP="00C625DB">
            <w:pPr>
              <w:spacing w:after="0" w:line="240" w:lineRule="auto"/>
              <w:rPr>
                <w:rFonts w:ascii="Arial" w:hAnsi="Arial" w:cs="Arial"/>
              </w:rPr>
            </w:pPr>
            <w:r w:rsidRPr="006157E7">
              <w:rPr>
                <w:rFonts w:ascii="Arial" w:hAnsi="Arial" w:cs="Arial"/>
              </w:rPr>
              <w:t>locuitori</w:t>
            </w:r>
          </w:p>
          <w:p w:rsidR="004E4F65" w:rsidRPr="006157E7" w:rsidRDefault="004E4F65" w:rsidP="00C625DB">
            <w:pPr>
              <w:spacing w:after="0" w:line="240" w:lineRule="auto"/>
              <w:rPr>
                <w:rFonts w:ascii="Arial" w:hAnsi="Arial" w:cs="Arial"/>
              </w:rPr>
            </w:pPr>
            <w:r w:rsidRPr="006157E7">
              <w:rPr>
                <w:rFonts w:ascii="Arial" w:hAnsi="Arial" w:cs="Arial"/>
              </w:rPr>
              <w:t>deserviți</w:t>
            </w:r>
          </w:p>
        </w:tc>
      </w:tr>
      <w:tr w:rsidR="004E4F65" w:rsidRPr="006157E7" w:rsidTr="0029217B">
        <w:tc>
          <w:tcPr>
            <w:tcW w:w="550"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1.</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Vădeni</w:t>
            </w:r>
          </w:p>
        </w:tc>
        <w:tc>
          <w:tcPr>
            <w:tcW w:w="4253" w:type="dxa"/>
          </w:tcPr>
          <w:p w:rsidR="004E4F65" w:rsidRPr="006157E7" w:rsidRDefault="004E4F65" w:rsidP="00C625DB">
            <w:pPr>
              <w:spacing w:after="0" w:line="240" w:lineRule="auto"/>
              <w:rPr>
                <w:rFonts w:ascii="Arial" w:hAnsi="Arial" w:cs="Arial"/>
              </w:rPr>
            </w:pPr>
            <w:r w:rsidRPr="006157E7">
              <w:rPr>
                <w:rFonts w:ascii="Arial" w:hAnsi="Arial" w:cs="Arial"/>
              </w:rPr>
              <w:t>Vădeni</w:t>
            </w:r>
          </w:p>
        </w:tc>
        <w:tc>
          <w:tcPr>
            <w:tcW w:w="1903" w:type="dxa"/>
          </w:tcPr>
          <w:p w:rsidR="004E4F65" w:rsidRPr="006157E7" w:rsidRDefault="004E4F65" w:rsidP="00C625DB">
            <w:pPr>
              <w:spacing w:after="0" w:line="240" w:lineRule="auto"/>
              <w:rPr>
                <w:rFonts w:ascii="Arial" w:hAnsi="Arial" w:cs="Arial"/>
              </w:rPr>
            </w:pPr>
            <w:r w:rsidRPr="006157E7">
              <w:rPr>
                <w:rFonts w:ascii="Arial" w:hAnsi="Arial" w:cs="Arial"/>
              </w:rPr>
              <w:t>25</w:t>
            </w:r>
          </w:p>
        </w:tc>
        <w:tc>
          <w:tcPr>
            <w:tcW w:w="1705"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3884</w:t>
            </w:r>
          </w:p>
        </w:tc>
      </w:tr>
      <w:tr w:rsidR="004E4F65" w:rsidRPr="006157E7" w:rsidTr="0029217B">
        <w:tc>
          <w:tcPr>
            <w:tcW w:w="550"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2.</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Chiscani</w:t>
            </w:r>
          </w:p>
        </w:tc>
        <w:tc>
          <w:tcPr>
            <w:tcW w:w="4253" w:type="dxa"/>
          </w:tcPr>
          <w:p w:rsidR="004E4F65" w:rsidRPr="006157E7" w:rsidRDefault="004E4F65" w:rsidP="00C625DB">
            <w:pPr>
              <w:spacing w:after="0" w:line="240" w:lineRule="auto"/>
              <w:rPr>
                <w:rFonts w:ascii="Arial" w:hAnsi="Arial" w:cs="Arial"/>
              </w:rPr>
            </w:pPr>
            <w:r w:rsidRPr="006157E7">
              <w:rPr>
                <w:rFonts w:ascii="Arial" w:hAnsi="Arial" w:cs="Arial"/>
              </w:rPr>
              <w:t>Chiscani, Lacu Sărat, Vărsătura</w:t>
            </w:r>
          </w:p>
        </w:tc>
        <w:tc>
          <w:tcPr>
            <w:tcW w:w="1903" w:type="dxa"/>
          </w:tcPr>
          <w:p w:rsidR="004E4F65" w:rsidRPr="006157E7" w:rsidRDefault="004E4F65" w:rsidP="00C625DB">
            <w:pPr>
              <w:spacing w:after="0" w:line="240" w:lineRule="auto"/>
              <w:rPr>
                <w:rFonts w:ascii="Arial" w:hAnsi="Arial" w:cs="Arial"/>
              </w:rPr>
            </w:pPr>
            <w:r w:rsidRPr="006157E7">
              <w:rPr>
                <w:rFonts w:ascii="Arial" w:hAnsi="Arial" w:cs="Arial"/>
              </w:rPr>
              <w:t>20</w:t>
            </w:r>
          </w:p>
        </w:tc>
        <w:tc>
          <w:tcPr>
            <w:tcW w:w="1705"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5424</w:t>
            </w:r>
          </w:p>
        </w:tc>
      </w:tr>
      <w:tr w:rsidR="004E4F65" w:rsidRPr="006157E7" w:rsidTr="0029217B">
        <w:tc>
          <w:tcPr>
            <w:tcW w:w="550"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3.</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Cazasu</w:t>
            </w:r>
          </w:p>
        </w:tc>
        <w:tc>
          <w:tcPr>
            <w:tcW w:w="4253" w:type="dxa"/>
          </w:tcPr>
          <w:p w:rsidR="004E4F65" w:rsidRPr="006157E7" w:rsidRDefault="004E4F65" w:rsidP="00C625DB">
            <w:pPr>
              <w:spacing w:after="0" w:line="240" w:lineRule="auto"/>
              <w:rPr>
                <w:rFonts w:ascii="Arial" w:hAnsi="Arial" w:cs="Arial"/>
              </w:rPr>
            </w:pPr>
            <w:r w:rsidRPr="006157E7">
              <w:rPr>
                <w:rFonts w:ascii="Arial" w:hAnsi="Arial" w:cs="Arial"/>
              </w:rPr>
              <w:t>Cazasu</w:t>
            </w:r>
          </w:p>
        </w:tc>
        <w:tc>
          <w:tcPr>
            <w:tcW w:w="1903" w:type="dxa"/>
          </w:tcPr>
          <w:p w:rsidR="004E4F65" w:rsidRPr="006157E7" w:rsidRDefault="004E4F65" w:rsidP="00C625DB">
            <w:pPr>
              <w:spacing w:after="0" w:line="240" w:lineRule="auto"/>
              <w:rPr>
                <w:rFonts w:ascii="Arial" w:hAnsi="Arial" w:cs="Arial"/>
              </w:rPr>
            </w:pPr>
            <w:r w:rsidRPr="006157E7">
              <w:rPr>
                <w:rFonts w:ascii="Arial" w:hAnsi="Arial" w:cs="Arial"/>
              </w:rPr>
              <w:t>10</w:t>
            </w:r>
          </w:p>
        </w:tc>
        <w:tc>
          <w:tcPr>
            <w:tcW w:w="1705"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3143</w:t>
            </w:r>
          </w:p>
        </w:tc>
      </w:tr>
    </w:tbl>
    <w:p w:rsidR="004E4F65" w:rsidRPr="006157E7" w:rsidRDefault="004E4F65" w:rsidP="00C625DB">
      <w:pPr>
        <w:spacing w:after="0" w:line="240" w:lineRule="auto"/>
        <w:rPr>
          <w:rFonts w:ascii="Arial" w:hAnsi="Arial" w:cs="Arial"/>
        </w:rPr>
      </w:pPr>
    </w:p>
    <w:p w:rsidR="004E4F65" w:rsidRPr="006157E7" w:rsidRDefault="004E4F65" w:rsidP="00C625DB">
      <w:pPr>
        <w:spacing w:after="0" w:line="240" w:lineRule="auto"/>
        <w:rPr>
          <w:rFonts w:ascii="Arial" w:hAnsi="Arial" w:cs="Arial"/>
        </w:rPr>
      </w:pPr>
    </w:p>
    <w:tbl>
      <w:tblPr>
        <w:tblW w:w="0" w:type="auto"/>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528"/>
        <w:gridCol w:w="1882"/>
        <w:gridCol w:w="4253"/>
        <w:gridCol w:w="1903"/>
        <w:gridCol w:w="1705"/>
      </w:tblGrid>
      <w:tr w:rsidR="004E4F65" w:rsidRPr="006157E7" w:rsidTr="004E4F65">
        <w:tc>
          <w:tcPr>
            <w:tcW w:w="528" w:type="dxa"/>
            <w:shd w:val="clear" w:color="auto" w:fill="F2F2F2" w:themeFill="background1" w:themeFillShade="F2"/>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Nr.</w:t>
            </w:r>
          </w:p>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crt.</w:t>
            </w:r>
          </w:p>
        </w:tc>
        <w:tc>
          <w:tcPr>
            <w:tcW w:w="1882" w:type="dxa"/>
            <w:shd w:val="clear" w:color="auto" w:fill="F2F2F2" w:themeFill="background1" w:themeFillShade="F2"/>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Punctul de</w:t>
            </w:r>
          </w:p>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colectare</w:t>
            </w:r>
          </w:p>
        </w:tc>
        <w:tc>
          <w:tcPr>
            <w:tcW w:w="4253" w:type="dxa"/>
            <w:shd w:val="clear" w:color="auto" w:fill="F2F2F2" w:themeFill="background1" w:themeFillShade="F2"/>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Comune arondate</w:t>
            </w:r>
          </w:p>
        </w:tc>
        <w:tc>
          <w:tcPr>
            <w:tcW w:w="1903" w:type="dxa"/>
            <w:shd w:val="clear" w:color="auto" w:fill="F2F2F2" w:themeFill="background1" w:themeFillShade="F2"/>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Distanţa de la punctul de colectare la depozit Muchea(km)</w:t>
            </w:r>
          </w:p>
        </w:tc>
        <w:tc>
          <w:tcPr>
            <w:tcW w:w="1705" w:type="dxa"/>
            <w:shd w:val="clear" w:color="auto" w:fill="F2F2F2" w:themeFill="background1" w:themeFillShade="F2"/>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Numărul de</w:t>
            </w:r>
          </w:p>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locuitori</w:t>
            </w:r>
          </w:p>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deserviți</w:t>
            </w:r>
          </w:p>
        </w:tc>
      </w:tr>
      <w:tr w:rsidR="004E4F65" w:rsidRPr="006157E7" w:rsidTr="004E4F65">
        <w:tc>
          <w:tcPr>
            <w:tcW w:w="528"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1.</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Bărăganu</w:t>
            </w:r>
          </w:p>
        </w:tc>
        <w:tc>
          <w:tcPr>
            <w:tcW w:w="4253" w:type="dxa"/>
          </w:tcPr>
          <w:p w:rsidR="004E4F65" w:rsidRPr="006157E7" w:rsidRDefault="004E4F65" w:rsidP="00C625DB">
            <w:pPr>
              <w:spacing w:after="0" w:line="240" w:lineRule="auto"/>
              <w:jc w:val="both"/>
              <w:rPr>
                <w:rFonts w:ascii="Arial" w:hAnsi="Arial" w:cs="Arial"/>
              </w:rPr>
            </w:pPr>
            <w:r w:rsidRPr="006157E7">
              <w:rPr>
                <w:rFonts w:ascii="Arial" w:hAnsi="Arial" w:cs="Arial"/>
              </w:rPr>
              <w:t>Bărăganu, Victoria, Roșiori, Dudești, Ciocile</w:t>
            </w:r>
          </w:p>
        </w:tc>
        <w:tc>
          <w:tcPr>
            <w:tcW w:w="1903" w:type="dxa"/>
          </w:tcPr>
          <w:p w:rsidR="004E4F65" w:rsidRPr="006157E7" w:rsidRDefault="004E4F65" w:rsidP="00C625DB">
            <w:pPr>
              <w:spacing w:after="0" w:line="240" w:lineRule="auto"/>
              <w:jc w:val="center"/>
              <w:rPr>
                <w:rFonts w:ascii="Arial" w:hAnsi="Arial" w:cs="Arial"/>
              </w:rPr>
            </w:pPr>
            <w:r w:rsidRPr="006157E7">
              <w:rPr>
                <w:rFonts w:ascii="Arial" w:hAnsi="Arial" w:cs="Arial"/>
              </w:rPr>
              <w:t>80</w:t>
            </w:r>
          </w:p>
        </w:tc>
        <w:tc>
          <w:tcPr>
            <w:tcW w:w="1705" w:type="dxa"/>
            <w:shd w:val="clear" w:color="auto" w:fill="auto"/>
          </w:tcPr>
          <w:p w:rsidR="004E4F65" w:rsidRPr="006157E7" w:rsidRDefault="004E4F65" w:rsidP="00C625DB">
            <w:pPr>
              <w:spacing w:after="0" w:line="240" w:lineRule="auto"/>
              <w:jc w:val="center"/>
              <w:rPr>
                <w:rFonts w:ascii="Arial" w:hAnsi="Arial" w:cs="Arial"/>
              </w:rPr>
            </w:pPr>
            <w:r w:rsidRPr="006157E7">
              <w:rPr>
                <w:rFonts w:ascii="Arial" w:hAnsi="Arial" w:cs="Arial"/>
              </w:rPr>
              <w:t>15396</w:t>
            </w:r>
          </w:p>
        </w:tc>
      </w:tr>
      <w:tr w:rsidR="004E4F65" w:rsidRPr="006157E7" w:rsidTr="004E4F65">
        <w:tc>
          <w:tcPr>
            <w:tcW w:w="528"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2.</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Cireșu</w:t>
            </w:r>
          </w:p>
        </w:tc>
        <w:tc>
          <w:tcPr>
            <w:tcW w:w="4253" w:type="dxa"/>
          </w:tcPr>
          <w:p w:rsidR="004E4F65" w:rsidRPr="006157E7" w:rsidRDefault="004E4F65" w:rsidP="00C625DB">
            <w:pPr>
              <w:spacing w:after="0" w:line="240" w:lineRule="auto"/>
              <w:jc w:val="both"/>
              <w:rPr>
                <w:rFonts w:ascii="Arial" w:hAnsi="Arial" w:cs="Arial"/>
              </w:rPr>
            </w:pPr>
            <w:r w:rsidRPr="006157E7">
              <w:rPr>
                <w:rFonts w:ascii="Arial" w:hAnsi="Arial" w:cs="Arial"/>
              </w:rPr>
              <w:t>Cireșu, Ulmu. Zăvoaia</w:t>
            </w:r>
          </w:p>
        </w:tc>
        <w:tc>
          <w:tcPr>
            <w:tcW w:w="1903" w:type="dxa"/>
          </w:tcPr>
          <w:p w:rsidR="004E4F65" w:rsidRPr="006157E7" w:rsidRDefault="004E4F65" w:rsidP="00C625DB">
            <w:pPr>
              <w:spacing w:after="0" w:line="240" w:lineRule="auto"/>
              <w:jc w:val="center"/>
              <w:rPr>
                <w:rFonts w:ascii="Arial" w:hAnsi="Arial" w:cs="Arial"/>
              </w:rPr>
            </w:pPr>
            <w:r w:rsidRPr="006157E7">
              <w:rPr>
                <w:rFonts w:ascii="Arial" w:hAnsi="Arial" w:cs="Arial"/>
              </w:rPr>
              <w:t>107</w:t>
            </w:r>
          </w:p>
        </w:tc>
        <w:tc>
          <w:tcPr>
            <w:tcW w:w="1705" w:type="dxa"/>
            <w:shd w:val="clear" w:color="auto" w:fill="auto"/>
          </w:tcPr>
          <w:p w:rsidR="004E4F65" w:rsidRPr="006157E7" w:rsidRDefault="004E4F65" w:rsidP="00C625DB">
            <w:pPr>
              <w:spacing w:after="0" w:line="240" w:lineRule="auto"/>
              <w:jc w:val="center"/>
              <w:rPr>
                <w:rFonts w:ascii="Arial" w:hAnsi="Arial" w:cs="Arial"/>
              </w:rPr>
            </w:pPr>
            <w:r w:rsidRPr="006157E7">
              <w:rPr>
                <w:rFonts w:ascii="Arial" w:hAnsi="Arial" w:cs="Arial"/>
              </w:rPr>
              <w:t>9626</w:t>
            </w:r>
          </w:p>
        </w:tc>
      </w:tr>
      <w:tr w:rsidR="004E4F65" w:rsidRPr="006157E7" w:rsidTr="004E4F65">
        <w:tc>
          <w:tcPr>
            <w:tcW w:w="528"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3.</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Jirlău</w:t>
            </w:r>
          </w:p>
        </w:tc>
        <w:tc>
          <w:tcPr>
            <w:tcW w:w="4253" w:type="dxa"/>
          </w:tcPr>
          <w:p w:rsidR="004E4F65" w:rsidRPr="006157E7" w:rsidRDefault="004E4F65" w:rsidP="00C625DB">
            <w:pPr>
              <w:spacing w:after="0" w:line="240" w:lineRule="auto"/>
              <w:jc w:val="both"/>
              <w:rPr>
                <w:rFonts w:ascii="Arial" w:hAnsi="Arial" w:cs="Arial"/>
              </w:rPr>
            </w:pPr>
            <w:r w:rsidRPr="006157E7">
              <w:rPr>
                <w:rFonts w:ascii="Arial" w:hAnsi="Arial" w:cs="Arial"/>
              </w:rPr>
              <w:t>Jirlău, Galbenu, Vișani</w:t>
            </w:r>
          </w:p>
        </w:tc>
        <w:tc>
          <w:tcPr>
            <w:tcW w:w="1903" w:type="dxa"/>
          </w:tcPr>
          <w:p w:rsidR="004E4F65" w:rsidRPr="006157E7" w:rsidRDefault="004E4F65" w:rsidP="00C625DB">
            <w:pPr>
              <w:spacing w:after="0" w:line="240" w:lineRule="auto"/>
              <w:jc w:val="center"/>
              <w:rPr>
                <w:rFonts w:ascii="Arial" w:hAnsi="Arial" w:cs="Arial"/>
              </w:rPr>
            </w:pPr>
            <w:r w:rsidRPr="006157E7">
              <w:rPr>
                <w:rFonts w:ascii="Arial" w:hAnsi="Arial" w:cs="Arial"/>
              </w:rPr>
              <w:t>97</w:t>
            </w:r>
          </w:p>
        </w:tc>
        <w:tc>
          <w:tcPr>
            <w:tcW w:w="1705" w:type="dxa"/>
            <w:shd w:val="clear" w:color="auto" w:fill="auto"/>
          </w:tcPr>
          <w:p w:rsidR="004E4F65" w:rsidRPr="006157E7" w:rsidRDefault="004E4F65" w:rsidP="00C625DB">
            <w:pPr>
              <w:spacing w:after="0" w:line="240" w:lineRule="auto"/>
              <w:jc w:val="center"/>
              <w:rPr>
                <w:rFonts w:ascii="Arial" w:hAnsi="Arial" w:cs="Arial"/>
              </w:rPr>
            </w:pPr>
            <w:r w:rsidRPr="006157E7">
              <w:rPr>
                <w:rFonts w:ascii="Arial" w:hAnsi="Arial" w:cs="Arial"/>
              </w:rPr>
              <w:t>8391</w:t>
            </w:r>
          </w:p>
        </w:tc>
      </w:tr>
      <w:tr w:rsidR="004E4F65" w:rsidRPr="006157E7" w:rsidTr="004E4F65">
        <w:tc>
          <w:tcPr>
            <w:tcW w:w="528"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4.</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Măxineni</w:t>
            </w:r>
          </w:p>
        </w:tc>
        <w:tc>
          <w:tcPr>
            <w:tcW w:w="4253" w:type="dxa"/>
          </w:tcPr>
          <w:p w:rsidR="004E4F65" w:rsidRPr="006157E7" w:rsidRDefault="004E4F65" w:rsidP="00C625DB">
            <w:pPr>
              <w:spacing w:after="0" w:line="240" w:lineRule="auto"/>
              <w:jc w:val="both"/>
              <w:rPr>
                <w:rFonts w:ascii="Arial" w:hAnsi="Arial" w:cs="Arial"/>
              </w:rPr>
            </w:pPr>
            <w:r w:rsidRPr="006157E7">
              <w:rPr>
                <w:rFonts w:ascii="Arial" w:hAnsi="Arial" w:cs="Arial"/>
              </w:rPr>
              <w:t>Măxineni, Salcia Tudor, Scorțaru Nou, Frecăței, Mărașu, Grădiștea, Racovița, Romanu, Gemenele</w:t>
            </w:r>
          </w:p>
        </w:tc>
        <w:tc>
          <w:tcPr>
            <w:tcW w:w="1903" w:type="dxa"/>
          </w:tcPr>
          <w:p w:rsidR="004E4F65" w:rsidRPr="006157E7" w:rsidRDefault="004E4F65" w:rsidP="00C625DB">
            <w:pPr>
              <w:spacing w:after="0" w:line="240" w:lineRule="auto"/>
              <w:jc w:val="center"/>
              <w:rPr>
                <w:rFonts w:ascii="Arial" w:hAnsi="Arial" w:cs="Arial"/>
              </w:rPr>
            </w:pPr>
          </w:p>
          <w:p w:rsidR="004E4F65" w:rsidRPr="006157E7" w:rsidRDefault="004E4F65" w:rsidP="00C625DB">
            <w:pPr>
              <w:spacing w:after="0" w:line="240" w:lineRule="auto"/>
              <w:jc w:val="center"/>
              <w:rPr>
                <w:rFonts w:ascii="Arial" w:hAnsi="Arial" w:cs="Arial"/>
              </w:rPr>
            </w:pPr>
            <w:r w:rsidRPr="006157E7">
              <w:rPr>
                <w:rFonts w:ascii="Arial" w:hAnsi="Arial" w:cs="Arial"/>
              </w:rPr>
              <w:t>18</w:t>
            </w:r>
          </w:p>
        </w:tc>
        <w:tc>
          <w:tcPr>
            <w:tcW w:w="1705" w:type="dxa"/>
            <w:shd w:val="clear" w:color="auto" w:fill="auto"/>
          </w:tcPr>
          <w:p w:rsidR="004E4F65" w:rsidRPr="006157E7" w:rsidRDefault="004E4F65" w:rsidP="00C625DB">
            <w:pPr>
              <w:spacing w:after="0" w:line="240" w:lineRule="auto"/>
              <w:jc w:val="center"/>
              <w:rPr>
                <w:rFonts w:ascii="Arial" w:hAnsi="Arial" w:cs="Arial"/>
              </w:rPr>
            </w:pPr>
          </w:p>
          <w:p w:rsidR="004E4F65" w:rsidRPr="006157E7" w:rsidRDefault="004E4F65" w:rsidP="00C625DB">
            <w:pPr>
              <w:spacing w:after="0" w:line="240" w:lineRule="auto"/>
              <w:jc w:val="center"/>
              <w:rPr>
                <w:rFonts w:ascii="Arial" w:hAnsi="Arial" w:cs="Arial"/>
              </w:rPr>
            </w:pPr>
            <w:r w:rsidRPr="006157E7">
              <w:rPr>
                <w:rFonts w:ascii="Arial" w:hAnsi="Arial" w:cs="Arial"/>
              </w:rPr>
              <w:t>17867</w:t>
            </w:r>
          </w:p>
        </w:tc>
      </w:tr>
      <w:tr w:rsidR="004E4F65" w:rsidRPr="006157E7" w:rsidTr="004E4F65">
        <w:tc>
          <w:tcPr>
            <w:tcW w:w="528"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5.</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Movila Miresii</w:t>
            </w:r>
          </w:p>
        </w:tc>
        <w:tc>
          <w:tcPr>
            <w:tcW w:w="4253" w:type="dxa"/>
          </w:tcPr>
          <w:p w:rsidR="004E4F65" w:rsidRPr="006157E7" w:rsidRDefault="004E4F65" w:rsidP="00C625DB">
            <w:pPr>
              <w:spacing w:after="0" w:line="240" w:lineRule="auto"/>
              <w:jc w:val="both"/>
              <w:rPr>
                <w:rFonts w:ascii="Arial" w:hAnsi="Arial" w:cs="Arial"/>
              </w:rPr>
            </w:pPr>
            <w:r w:rsidRPr="006157E7">
              <w:rPr>
                <w:rFonts w:ascii="Arial" w:hAnsi="Arial" w:cs="Arial"/>
              </w:rPr>
              <w:t>Movila Miresii, Râmnicelu, Tudor Vladimirescu, Șuțești</w:t>
            </w:r>
          </w:p>
        </w:tc>
        <w:tc>
          <w:tcPr>
            <w:tcW w:w="1903" w:type="dxa"/>
          </w:tcPr>
          <w:p w:rsidR="004E4F65" w:rsidRPr="006157E7" w:rsidRDefault="004E4F65" w:rsidP="00C625DB">
            <w:pPr>
              <w:spacing w:after="0" w:line="240" w:lineRule="auto"/>
              <w:jc w:val="center"/>
              <w:rPr>
                <w:rFonts w:ascii="Arial" w:hAnsi="Arial" w:cs="Arial"/>
              </w:rPr>
            </w:pPr>
            <w:r w:rsidRPr="006157E7">
              <w:rPr>
                <w:rFonts w:ascii="Arial" w:hAnsi="Arial" w:cs="Arial"/>
              </w:rPr>
              <w:t>38</w:t>
            </w:r>
          </w:p>
        </w:tc>
        <w:tc>
          <w:tcPr>
            <w:tcW w:w="1705" w:type="dxa"/>
            <w:shd w:val="clear" w:color="auto" w:fill="auto"/>
          </w:tcPr>
          <w:p w:rsidR="004E4F65" w:rsidRPr="006157E7" w:rsidRDefault="004E4F65" w:rsidP="00C625DB">
            <w:pPr>
              <w:spacing w:after="0" w:line="240" w:lineRule="auto"/>
              <w:jc w:val="center"/>
              <w:rPr>
                <w:rFonts w:ascii="Arial" w:hAnsi="Arial" w:cs="Arial"/>
              </w:rPr>
            </w:pPr>
            <w:r w:rsidRPr="006157E7">
              <w:rPr>
                <w:rFonts w:ascii="Arial" w:hAnsi="Arial" w:cs="Arial"/>
              </w:rPr>
              <w:t>12369</w:t>
            </w:r>
          </w:p>
        </w:tc>
      </w:tr>
      <w:tr w:rsidR="004E4F65" w:rsidRPr="006157E7" w:rsidTr="004E4F65">
        <w:tc>
          <w:tcPr>
            <w:tcW w:w="528"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6.</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Surdila Găiseanca</w:t>
            </w:r>
          </w:p>
        </w:tc>
        <w:tc>
          <w:tcPr>
            <w:tcW w:w="4253" w:type="dxa"/>
          </w:tcPr>
          <w:p w:rsidR="004E4F65" w:rsidRPr="006157E7" w:rsidRDefault="004E4F65" w:rsidP="00C625DB">
            <w:pPr>
              <w:spacing w:after="0" w:line="240" w:lineRule="auto"/>
              <w:jc w:val="both"/>
              <w:rPr>
                <w:rFonts w:ascii="Arial" w:hAnsi="Arial" w:cs="Arial"/>
              </w:rPr>
            </w:pPr>
            <w:r w:rsidRPr="006157E7">
              <w:rPr>
                <w:rFonts w:ascii="Arial" w:hAnsi="Arial" w:cs="Arial"/>
              </w:rPr>
              <w:t>Surdila Găiseanca. Mircea Vodă</w:t>
            </w:r>
          </w:p>
        </w:tc>
        <w:tc>
          <w:tcPr>
            <w:tcW w:w="1903" w:type="dxa"/>
          </w:tcPr>
          <w:p w:rsidR="004E4F65" w:rsidRPr="006157E7" w:rsidRDefault="004E4F65" w:rsidP="00C625DB">
            <w:pPr>
              <w:spacing w:after="0" w:line="240" w:lineRule="auto"/>
              <w:jc w:val="center"/>
              <w:rPr>
                <w:rFonts w:ascii="Arial" w:hAnsi="Arial" w:cs="Arial"/>
              </w:rPr>
            </w:pPr>
            <w:r w:rsidRPr="006157E7">
              <w:rPr>
                <w:rFonts w:ascii="Arial" w:hAnsi="Arial" w:cs="Arial"/>
              </w:rPr>
              <w:t>60</w:t>
            </w:r>
          </w:p>
        </w:tc>
        <w:tc>
          <w:tcPr>
            <w:tcW w:w="1705" w:type="dxa"/>
            <w:shd w:val="clear" w:color="auto" w:fill="auto"/>
          </w:tcPr>
          <w:p w:rsidR="004E4F65" w:rsidRPr="006157E7" w:rsidRDefault="004E4F65" w:rsidP="00C625DB">
            <w:pPr>
              <w:spacing w:after="0" w:line="240" w:lineRule="auto"/>
              <w:jc w:val="center"/>
              <w:rPr>
                <w:rFonts w:ascii="Arial" w:hAnsi="Arial" w:cs="Arial"/>
              </w:rPr>
            </w:pPr>
            <w:r w:rsidRPr="006157E7">
              <w:rPr>
                <w:rFonts w:ascii="Arial" w:hAnsi="Arial" w:cs="Arial"/>
              </w:rPr>
              <w:t>5457</w:t>
            </w:r>
          </w:p>
        </w:tc>
      </w:tr>
      <w:tr w:rsidR="004E4F65" w:rsidRPr="006157E7" w:rsidTr="004E4F65">
        <w:tc>
          <w:tcPr>
            <w:tcW w:w="528"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7.</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Traian</w:t>
            </w:r>
          </w:p>
        </w:tc>
        <w:tc>
          <w:tcPr>
            <w:tcW w:w="4253" w:type="dxa"/>
          </w:tcPr>
          <w:p w:rsidR="004E4F65" w:rsidRPr="006157E7" w:rsidRDefault="004E4F65" w:rsidP="00C625DB">
            <w:pPr>
              <w:spacing w:after="0" w:line="240" w:lineRule="auto"/>
              <w:jc w:val="both"/>
              <w:rPr>
                <w:rFonts w:ascii="Arial" w:hAnsi="Arial" w:cs="Arial"/>
              </w:rPr>
            </w:pPr>
            <w:r w:rsidRPr="006157E7">
              <w:rPr>
                <w:rFonts w:ascii="Arial" w:hAnsi="Arial" w:cs="Arial"/>
              </w:rPr>
              <w:t>Traian, Unirea, Bordei Verde</w:t>
            </w:r>
          </w:p>
        </w:tc>
        <w:tc>
          <w:tcPr>
            <w:tcW w:w="1903" w:type="dxa"/>
          </w:tcPr>
          <w:p w:rsidR="004E4F65" w:rsidRPr="006157E7" w:rsidRDefault="004E4F65" w:rsidP="00C625DB">
            <w:pPr>
              <w:spacing w:after="0" w:line="240" w:lineRule="auto"/>
              <w:jc w:val="center"/>
              <w:rPr>
                <w:rFonts w:ascii="Arial" w:hAnsi="Arial" w:cs="Arial"/>
              </w:rPr>
            </w:pPr>
            <w:r w:rsidRPr="006157E7">
              <w:rPr>
                <w:rFonts w:ascii="Arial" w:hAnsi="Arial" w:cs="Arial"/>
              </w:rPr>
              <w:t>35</w:t>
            </w:r>
          </w:p>
        </w:tc>
        <w:tc>
          <w:tcPr>
            <w:tcW w:w="1705" w:type="dxa"/>
            <w:shd w:val="clear" w:color="auto" w:fill="auto"/>
          </w:tcPr>
          <w:p w:rsidR="004E4F65" w:rsidRPr="006157E7" w:rsidRDefault="004E4F65" w:rsidP="00C625DB">
            <w:pPr>
              <w:spacing w:after="0" w:line="240" w:lineRule="auto"/>
              <w:jc w:val="center"/>
              <w:rPr>
                <w:rFonts w:ascii="Arial" w:hAnsi="Arial" w:cs="Arial"/>
              </w:rPr>
            </w:pPr>
            <w:r w:rsidRPr="006157E7">
              <w:rPr>
                <w:rFonts w:ascii="Arial" w:hAnsi="Arial" w:cs="Arial"/>
              </w:rPr>
              <w:t>8099</w:t>
            </w:r>
          </w:p>
        </w:tc>
      </w:tr>
      <w:tr w:rsidR="004E4F65" w:rsidRPr="006157E7" w:rsidTr="004E4F65">
        <w:tc>
          <w:tcPr>
            <w:tcW w:w="528"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8.</w:t>
            </w:r>
          </w:p>
        </w:tc>
        <w:tc>
          <w:tcPr>
            <w:tcW w:w="1882" w:type="dxa"/>
            <w:shd w:val="clear" w:color="auto" w:fill="auto"/>
          </w:tcPr>
          <w:p w:rsidR="004E4F65" w:rsidRPr="006157E7" w:rsidRDefault="004E4F65" w:rsidP="00C625DB">
            <w:pPr>
              <w:spacing w:after="0" w:line="240" w:lineRule="auto"/>
              <w:rPr>
                <w:rFonts w:ascii="Arial" w:hAnsi="Arial" w:cs="Arial"/>
              </w:rPr>
            </w:pPr>
            <w:r w:rsidRPr="006157E7">
              <w:rPr>
                <w:rFonts w:ascii="Arial" w:hAnsi="Arial" w:cs="Arial"/>
              </w:rPr>
              <w:t>Tufești</w:t>
            </w:r>
          </w:p>
        </w:tc>
        <w:tc>
          <w:tcPr>
            <w:tcW w:w="4253" w:type="dxa"/>
          </w:tcPr>
          <w:p w:rsidR="004E4F65" w:rsidRPr="006157E7" w:rsidRDefault="004E4F65" w:rsidP="00C625DB">
            <w:pPr>
              <w:spacing w:after="0" w:line="240" w:lineRule="auto"/>
              <w:jc w:val="both"/>
              <w:rPr>
                <w:rFonts w:ascii="Arial" w:hAnsi="Arial" w:cs="Arial"/>
              </w:rPr>
            </w:pPr>
            <w:r w:rsidRPr="006157E7">
              <w:rPr>
                <w:rFonts w:ascii="Arial" w:hAnsi="Arial" w:cs="Arial"/>
              </w:rPr>
              <w:t>Tufești, Viziru, Stăncuța, Berteștii de Jos, Tichilești, Gropeni</w:t>
            </w:r>
          </w:p>
        </w:tc>
        <w:tc>
          <w:tcPr>
            <w:tcW w:w="1903" w:type="dxa"/>
          </w:tcPr>
          <w:p w:rsidR="004E4F65" w:rsidRPr="006157E7" w:rsidRDefault="004E4F65" w:rsidP="00C625DB">
            <w:pPr>
              <w:spacing w:after="0" w:line="240" w:lineRule="auto"/>
              <w:jc w:val="center"/>
              <w:rPr>
                <w:rFonts w:ascii="Arial" w:hAnsi="Arial" w:cs="Arial"/>
              </w:rPr>
            </w:pPr>
            <w:r w:rsidRPr="006157E7">
              <w:rPr>
                <w:rFonts w:ascii="Arial" w:hAnsi="Arial" w:cs="Arial"/>
              </w:rPr>
              <w:t>50</w:t>
            </w:r>
          </w:p>
        </w:tc>
        <w:tc>
          <w:tcPr>
            <w:tcW w:w="1705" w:type="dxa"/>
            <w:shd w:val="clear" w:color="auto" w:fill="auto"/>
          </w:tcPr>
          <w:p w:rsidR="004E4F65" w:rsidRPr="006157E7" w:rsidRDefault="004E4F65" w:rsidP="00C625DB">
            <w:pPr>
              <w:spacing w:after="0" w:line="240" w:lineRule="auto"/>
              <w:jc w:val="center"/>
              <w:rPr>
                <w:rFonts w:ascii="Arial" w:hAnsi="Arial" w:cs="Arial"/>
              </w:rPr>
            </w:pPr>
            <w:r w:rsidRPr="006157E7">
              <w:rPr>
                <w:rFonts w:ascii="Arial" w:hAnsi="Arial" w:cs="Arial"/>
              </w:rPr>
              <w:t>24096</w:t>
            </w:r>
          </w:p>
        </w:tc>
      </w:tr>
    </w:tbl>
    <w:p w:rsidR="00F065B7" w:rsidRPr="006157E7" w:rsidRDefault="00F065B7" w:rsidP="00C625DB">
      <w:pPr>
        <w:spacing w:after="0" w:line="240" w:lineRule="auto"/>
        <w:rPr>
          <w:rFonts w:ascii="Arial" w:hAnsi="Arial" w:cs="Arial"/>
          <w:b/>
        </w:rPr>
      </w:pPr>
    </w:p>
    <w:p w:rsidR="004E4F65" w:rsidRPr="006157E7" w:rsidRDefault="00F065B7" w:rsidP="00C625DB">
      <w:pPr>
        <w:spacing w:after="0" w:line="240" w:lineRule="auto"/>
        <w:rPr>
          <w:rFonts w:ascii="Arial" w:hAnsi="Arial" w:cs="Arial"/>
        </w:rPr>
      </w:pPr>
      <w:r w:rsidRPr="006157E7">
        <w:rPr>
          <w:rFonts w:ascii="Arial" w:hAnsi="Arial" w:cs="Arial"/>
        </w:rPr>
        <w:t xml:space="preserve">Tabel VII.1.1.7 Evoluția cantităților de deșeuri menajere și asimilabile colectate în județul </w:t>
      </w:r>
      <w:r w:rsidR="00217620" w:rsidRPr="006157E7">
        <w:rPr>
          <w:rFonts w:ascii="Arial" w:hAnsi="Arial" w:cs="Arial"/>
        </w:rPr>
        <w:t>Brăila</w:t>
      </w:r>
      <w:r w:rsidRPr="006157E7">
        <w:rPr>
          <w:rFonts w:ascii="Arial" w:hAnsi="Arial" w:cs="Arial"/>
        </w:rPr>
        <w:t xml:space="preserve"> în perioada 20</w:t>
      </w:r>
      <w:r w:rsidR="004E4F65" w:rsidRPr="006157E7">
        <w:rPr>
          <w:rFonts w:ascii="Arial" w:hAnsi="Arial" w:cs="Arial"/>
        </w:rPr>
        <w:t>10</w:t>
      </w:r>
      <w:r w:rsidRPr="006157E7">
        <w:rPr>
          <w:rFonts w:ascii="Arial" w:hAnsi="Arial" w:cs="Arial"/>
        </w:rPr>
        <w:t>-201</w:t>
      </w:r>
      <w:r w:rsidR="004E4F65" w:rsidRPr="006157E7">
        <w:rPr>
          <w:rFonts w:ascii="Arial" w:hAnsi="Arial" w:cs="Arial"/>
        </w:rPr>
        <w:t>5</w:t>
      </w:r>
    </w:p>
    <w:tbl>
      <w:tblPr>
        <w:tblW w:w="0" w:type="auto"/>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882"/>
        <w:gridCol w:w="4253"/>
        <w:gridCol w:w="1903"/>
        <w:gridCol w:w="1705"/>
      </w:tblGrid>
      <w:tr w:rsidR="004E4F65" w:rsidRPr="006157E7" w:rsidTr="004E4F65">
        <w:tc>
          <w:tcPr>
            <w:tcW w:w="1882" w:type="dxa"/>
            <w:shd w:val="clear" w:color="auto" w:fill="D9D9D9" w:themeFill="background1" w:themeFillShade="D9"/>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anul</w:t>
            </w:r>
          </w:p>
        </w:tc>
        <w:tc>
          <w:tcPr>
            <w:tcW w:w="4253" w:type="dxa"/>
            <w:shd w:val="clear" w:color="auto" w:fill="D9D9D9" w:themeFill="background1" w:themeFillShade="D9"/>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T O T A L</w:t>
            </w:r>
          </w:p>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[tone]</w:t>
            </w:r>
          </w:p>
        </w:tc>
        <w:tc>
          <w:tcPr>
            <w:tcW w:w="1903" w:type="dxa"/>
            <w:shd w:val="clear" w:color="auto" w:fill="D9D9D9" w:themeFill="background1" w:themeFillShade="D9"/>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URBAN</w:t>
            </w:r>
          </w:p>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[tone]</w:t>
            </w:r>
          </w:p>
        </w:tc>
        <w:tc>
          <w:tcPr>
            <w:tcW w:w="1705" w:type="dxa"/>
            <w:shd w:val="clear" w:color="auto" w:fill="D9D9D9" w:themeFill="background1" w:themeFillShade="D9"/>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RURAL</w:t>
            </w:r>
          </w:p>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[tone]</w:t>
            </w:r>
          </w:p>
        </w:tc>
      </w:tr>
      <w:tr w:rsidR="004E4F65" w:rsidRPr="006157E7" w:rsidTr="004E4F65">
        <w:tc>
          <w:tcPr>
            <w:tcW w:w="1882"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2009</w:t>
            </w:r>
          </w:p>
        </w:tc>
        <w:tc>
          <w:tcPr>
            <w:tcW w:w="425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48570,00</w:t>
            </w:r>
          </w:p>
        </w:tc>
        <w:tc>
          <w:tcPr>
            <w:tcW w:w="190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48570,00</w:t>
            </w:r>
          </w:p>
        </w:tc>
        <w:tc>
          <w:tcPr>
            <w:tcW w:w="1705"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0,00</w:t>
            </w:r>
          </w:p>
        </w:tc>
      </w:tr>
      <w:tr w:rsidR="004E4F65" w:rsidRPr="006157E7" w:rsidTr="004E4F65">
        <w:tc>
          <w:tcPr>
            <w:tcW w:w="1882"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2010</w:t>
            </w:r>
          </w:p>
        </w:tc>
        <w:tc>
          <w:tcPr>
            <w:tcW w:w="425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59488,30</w:t>
            </w:r>
          </w:p>
        </w:tc>
        <w:tc>
          <w:tcPr>
            <w:tcW w:w="190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55789,30</w:t>
            </w:r>
          </w:p>
        </w:tc>
        <w:tc>
          <w:tcPr>
            <w:tcW w:w="1705"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3699,00</w:t>
            </w:r>
          </w:p>
        </w:tc>
      </w:tr>
      <w:tr w:rsidR="004E4F65" w:rsidRPr="006157E7" w:rsidTr="004E4F65">
        <w:tc>
          <w:tcPr>
            <w:tcW w:w="1882"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2011</w:t>
            </w:r>
          </w:p>
        </w:tc>
        <w:tc>
          <w:tcPr>
            <w:tcW w:w="425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50712,50</w:t>
            </w:r>
          </w:p>
        </w:tc>
        <w:tc>
          <w:tcPr>
            <w:tcW w:w="190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46294,50</w:t>
            </w:r>
          </w:p>
        </w:tc>
        <w:tc>
          <w:tcPr>
            <w:tcW w:w="1705"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4418,00</w:t>
            </w:r>
          </w:p>
        </w:tc>
      </w:tr>
      <w:tr w:rsidR="004E4F65" w:rsidRPr="006157E7" w:rsidTr="004E4F65">
        <w:tc>
          <w:tcPr>
            <w:tcW w:w="1882"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2012</w:t>
            </w:r>
          </w:p>
        </w:tc>
        <w:tc>
          <w:tcPr>
            <w:tcW w:w="425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49271,00</w:t>
            </w:r>
          </w:p>
        </w:tc>
        <w:tc>
          <w:tcPr>
            <w:tcW w:w="190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46846,00</w:t>
            </w:r>
          </w:p>
        </w:tc>
        <w:tc>
          <w:tcPr>
            <w:tcW w:w="1705"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2425,00</w:t>
            </w:r>
          </w:p>
        </w:tc>
      </w:tr>
      <w:tr w:rsidR="004E4F65" w:rsidRPr="006157E7" w:rsidTr="004E4F65">
        <w:tc>
          <w:tcPr>
            <w:tcW w:w="1882"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2013</w:t>
            </w:r>
          </w:p>
        </w:tc>
        <w:tc>
          <w:tcPr>
            <w:tcW w:w="425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53807,00</w:t>
            </w:r>
          </w:p>
        </w:tc>
        <w:tc>
          <w:tcPr>
            <w:tcW w:w="190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49656,21</w:t>
            </w:r>
          </w:p>
        </w:tc>
        <w:tc>
          <w:tcPr>
            <w:tcW w:w="1705"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4150,82</w:t>
            </w:r>
          </w:p>
        </w:tc>
      </w:tr>
      <w:tr w:rsidR="004E4F65" w:rsidRPr="006157E7" w:rsidTr="004E4F65">
        <w:tc>
          <w:tcPr>
            <w:tcW w:w="1882"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2014</w:t>
            </w:r>
          </w:p>
        </w:tc>
        <w:tc>
          <w:tcPr>
            <w:tcW w:w="425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49504,33</w:t>
            </w:r>
          </w:p>
        </w:tc>
        <w:tc>
          <w:tcPr>
            <w:tcW w:w="190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44322,25</w:t>
            </w:r>
          </w:p>
        </w:tc>
        <w:tc>
          <w:tcPr>
            <w:tcW w:w="1705"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5182.08</w:t>
            </w:r>
          </w:p>
        </w:tc>
      </w:tr>
      <w:tr w:rsidR="004E4F65" w:rsidRPr="006157E7" w:rsidTr="004E4F65">
        <w:tc>
          <w:tcPr>
            <w:tcW w:w="1882"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2015</w:t>
            </w:r>
          </w:p>
        </w:tc>
        <w:tc>
          <w:tcPr>
            <w:tcW w:w="425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55960,54</w:t>
            </w:r>
          </w:p>
        </w:tc>
        <w:tc>
          <w:tcPr>
            <w:tcW w:w="1903" w:type="dxa"/>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50135,42</w:t>
            </w:r>
          </w:p>
        </w:tc>
        <w:tc>
          <w:tcPr>
            <w:tcW w:w="1705" w:type="dxa"/>
            <w:shd w:val="clear" w:color="auto" w:fill="auto"/>
          </w:tcPr>
          <w:p w:rsidR="004E4F65" w:rsidRPr="006157E7" w:rsidRDefault="004E4F65" w:rsidP="00C625DB">
            <w:pPr>
              <w:pStyle w:val="Default"/>
              <w:jc w:val="center"/>
              <w:rPr>
                <w:rFonts w:ascii="Arial" w:hAnsi="Arial" w:cs="Arial"/>
                <w:bCs/>
                <w:color w:val="auto"/>
                <w:sz w:val="22"/>
                <w:szCs w:val="22"/>
              </w:rPr>
            </w:pPr>
            <w:r w:rsidRPr="006157E7">
              <w:rPr>
                <w:rFonts w:ascii="Arial" w:hAnsi="Arial" w:cs="Arial"/>
                <w:bCs/>
                <w:color w:val="auto"/>
                <w:sz w:val="22"/>
                <w:szCs w:val="22"/>
              </w:rPr>
              <w:t>5825,12</w:t>
            </w:r>
          </w:p>
        </w:tc>
      </w:tr>
    </w:tbl>
    <w:p w:rsidR="004E4F65" w:rsidRPr="00410EDF" w:rsidRDefault="004E4F65" w:rsidP="00C625DB">
      <w:pPr>
        <w:spacing w:after="0" w:line="240" w:lineRule="auto"/>
        <w:rPr>
          <w:rFonts w:ascii="Arial" w:hAnsi="Arial" w:cs="Arial"/>
          <w:sz w:val="24"/>
          <w:szCs w:val="24"/>
        </w:rPr>
      </w:pPr>
    </w:p>
    <w:p w:rsidR="006908FA" w:rsidRPr="00410EDF" w:rsidRDefault="006908FA" w:rsidP="00C625DB">
      <w:pPr>
        <w:spacing w:after="0" w:line="240" w:lineRule="auto"/>
        <w:rPr>
          <w:rFonts w:ascii="Arial" w:hAnsi="Arial" w:cs="Arial"/>
          <w:sz w:val="24"/>
          <w:szCs w:val="24"/>
        </w:rPr>
      </w:pPr>
    </w:p>
    <w:p w:rsidR="004E4F65" w:rsidRPr="00410EDF" w:rsidRDefault="004E4F65" w:rsidP="00C625DB">
      <w:pPr>
        <w:spacing w:after="0" w:line="240" w:lineRule="auto"/>
        <w:rPr>
          <w:rFonts w:ascii="Arial" w:hAnsi="Arial" w:cs="Arial"/>
          <w:sz w:val="24"/>
          <w:szCs w:val="24"/>
        </w:rPr>
      </w:pPr>
    </w:p>
    <w:p w:rsidR="004E4F65" w:rsidRPr="00410EDF" w:rsidRDefault="004E4F65" w:rsidP="0029217B">
      <w:pPr>
        <w:spacing w:after="0" w:line="240" w:lineRule="auto"/>
        <w:jc w:val="center"/>
        <w:rPr>
          <w:rFonts w:ascii="Arial" w:hAnsi="Arial" w:cs="Arial"/>
          <w:sz w:val="24"/>
          <w:szCs w:val="24"/>
        </w:rPr>
      </w:pPr>
      <w:r w:rsidRPr="00410EDF">
        <w:rPr>
          <w:rFonts w:ascii="Arial" w:hAnsi="Arial" w:cs="Arial"/>
          <w:noProof/>
          <w:lang w:eastAsia="ro-RO"/>
        </w:rPr>
        <w:drawing>
          <wp:inline distT="0" distB="0" distL="0" distR="0">
            <wp:extent cx="4362450" cy="2896939"/>
            <wp:effectExtent l="0" t="0" r="0" b="0"/>
            <wp:docPr id="133"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E4F65" w:rsidRPr="00410EDF" w:rsidRDefault="004E4F65" w:rsidP="00C625DB">
      <w:pPr>
        <w:spacing w:after="0" w:line="240" w:lineRule="auto"/>
        <w:rPr>
          <w:rFonts w:ascii="Arial" w:hAnsi="Arial" w:cs="Arial"/>
          <w:sz w:val="24"/>
          <w:szCs w:val="24"/>
        </w:rPr>
      </w:pPr>
    </w:p>
    <w:p w:rsidR="0029217B" w:rsidRPr="00410EDF" w:rsidRDefault="0029217B" w:rsidP="0029217B">
      <w:pPr>
        <w:spacing w:after="0" w:line="240" w:lineRule="auto"/>
        <w:jc w:val="center"/>
        <w:rPr>
          <w:rFonts w:ascii="Arial" w:hAnsi="Arial" w:cs="Arial"/>
          <w:sz w:val="24"/>
          <w:szCs w:val="24"/>
        </w:rPr>
      </w:pPr>
      <w:r w:rsidRPr="00410EDF">
        <w:rPr>
          <w:rFonts w:ascii="Arial" w:hAnsi="Arial" w:cs="Arial"/>
          <w:sz w:val="24"/>
          <w:szCs w:val="24"/>
        </w:rPr>
        <w:t xml:space="preserve">Fig VII.1.1.7 Evoluția cantităților de deșeuri menajere și asimilabile colectate în județul </w:t>
      </w:r>
      <w:r>
        <w:rPr>
          <w:rFonts w:ascii="Arial" w:hAnsi="Arial" w:cs="Arial"/>
          <w:sz w:val="24"/>
          <w:szCs w:val="24"/>
        </w:rPr>
        <w:t>Brăila</w:t>
      </w:r>
      <w:r w:rsidRPr="00410EDF">
        <w:rPr>
          <w:rFonts w:ascii="Arial" w:hAnsi="Arial" w:cs="Arial"/>
          <w:sz w:val="24"/>
          <w:szCs w:val="24"/>
        </w:rPr>
        <w:t xml:space="preserve"> în perioada 2009-2015</w:t>
      </w:r>
    </w:p>
    <w:p w:rsidR="004E4F65" w:rsidRPr="00410EDF" w:rsidRDefault="004E4F65"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Tabel VII.1.1.8 Evoluția cantităților de deșeuri provenite din servicii municipale în perioada 2009-2014</w:t>
      </w:r>
    </w:p>
    <w:tbl>
      <w:tblPr>
        <w:tblW w:w="0" w:type="auto"/>
        <w:jc w:val="center"/>
        <w:tblInd w:w="223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416"/>
        <w:gridCol w:w="2058"/>
      </w:tblGrid>
      <w:tr w:rsidR="00F065B7" w:rsidRPr="00410EDF" w:rsidTr="006157E7">
        <w:trPr>
          <w:jc w:val="center"/>
        </w:trPr>
        <w:tc>
          <w:tcPr>
            <w:tcW w:w="1416" w:type="dxa"/>
            <w:shd w:val="clear" w:color="auto" w:fill="EEECE1" w:themeFill="background2"/>
          </w:tcPr>
          <w:p w:rsidR="00F065B7" w:rsidRPr="00410EDF" w:rsidRDefault="00F065B7" w:rsidP="00C625DB">
            <w:pPr>
              <w:spacing w:after="0" w:line="240" w:lineRule="auto"/>
              <w:jc w:val="center"/>
              <w:rPr>
                <w:rFonts w:ascii="Arial" w:hAnsi="Arial" w:cs="Arial"/>
                <w:b/>
                <w:caps/>
                <w:sz w:val="24"/>
                <w:szCs w:val="24"/>
              </w:rPr>
            </w:pPr>
            <w:r w:rsidRPr="00410EDF">
              <w:rPr>
                <w:rFonts w:ascii="Arial" w:hAnsi="Arial" w:cs="Arial"/>
                <w:caps/>
                <w:sz w:val="24"/>
                <w:szCs w:val="24"/>
              </w:rPr>
              <w:t>anul</w:t>
            </w:r>
          </w:p>
        </w:tc>
        <w:tc>
          <w:tcPr>
            <w:tcW w:w="2058" w:type="dxa"/>
            <w:shd w:val="clear" w:color="auto" w:fill="EEECE1" w:themeFill="background2"/>
          </w:tcPr>
          <w:p w:rsidR="00F065B7" w:rsidRPr="00410EDF" w:rsidRDefault="00F065B7" w:rsidP="00C625DB">
            <w:pPr>
              <w:spacing w:after="0" w:line="240" w:lineRule="auto"/>
              <w:jc w:val="center"/>
              <w:rPr>
                <w:rFonts w:ascii="Arial" w:hAnsi="Arial" w:cs="Arial"/>
                <w:b/>
                <w:bCs/>
                <w:sz w:val="24"/>
                <w:szCs w:val="24"/>
              </w:rPr>
            </w:pPr>
            <w:r w:rsidRPr="00410EDF">
              <w:rPr>
                <w:rFonts w:ascii="Arial" w:hAnsi="Arial" w:cs="Arial"/>
                <w:bCs/>
                <w:sz w:val="24"/>
                <w:szCs w:val="24"/>
              </w:rPr>
              <w:t>T O T A L</w:t>
            </w:r>
          </w:p>
          <w:p w:rsidR="00F065B7" w:rsidRPr="00410EDF" w:rsidRDefault="00F065B7" w:rsidP="00C625DB">
            <w:pPr>
              <w:spacing w:after="0" w:line="240" w:lineRule="auto"/>
              <w:jc w:val="center"/>
              <w:rPr>
                <w:rFonts w:ascii="Arial" w:hAnsi="Arial" w:cs="Arial"/>
                <w:b/>
                <w:caps/>
                <w:sz w:val="24"/>
                <w:szCs w:val="24"/>
              </w:rPr>
            </w:pPr>
            <w:r w:rsidRPr="00410EDF">
              <w:rPr>
                <w:rFonts w:ascii="Arial" w:hAnsi="Arial" w:cs="Arial"/>
                <w:sz w:val="24"/>
                <w:szCs w:val="24"/>
              </w:rPr>
              <w:t>[tone]</w:t>
            </w:r>
          </w:p>
        </w:tc>
      </w:tr>
      <w:tr w:rsidR="00F065B7" w:rsidRPr="00410EDF" w:rsidTr="006157E7">
        <w:trPr>
          <w:jc w:val="center"/>
        </w:trPr>
        <w:tc>
          <w:tcPr>
            <w:tcW w:w="1416"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2009</w:t>
            </w:r>
          </w:p>
        </w:tc>
        <w:tc>
          <w:tcPr>
            <w:tcW w:w="2058"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18089</w:t>
            </w:r>
          </w:p>
        </w:tc>
      </w:tr>
      <w:tr w:rsidR="00F065B7" w:rsidRPr="00410EDF" w:rsidTr="006157E7">
        <w:trPr>
          <w:jc w:val="center"/>
        </w:trPr>
        <w:tc>
          <w:tcPr>
            <w:tcW w:w="1416"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2010</w:t>
            </w:r>
          </w:p>
        </w:tc>
        <w:tc>
          <w:tcPr>
            <w:tcW w:w="2058"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14279</w:t>
            </w:r>
          </w:p>
        </w:tc>
      </w:tr>
      <w:tr w:rsidR="00F065B7" w:rsidRPr="00410EDF" w:rsidTr="006157E7">
        <w:trPr>
          <w:jc w:val="center"/>
        </w:trPr>
        <w:tc>
          <w:tcPr>
            <w:tcW w:w="1416"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2011</w:t>
            </w:r>
          </w:p>
        </w:tc>
        <w:tc>
          <w:tcPr>
            <w:tcW w:w="2058"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14072</w:t>
            </w:r>
          </w:p>
        </w:tc>
      </w:tr>
      <w:tr w:rsidR="00F065B7" w:rsidRPr="00410EDF" w:rsidTr="006157E7">
        <w:trPr>
          <w:jc w:val="center"/>
        </w:trPr>
        <w:tc>
          <w:tcPr>
            <w:tcW w:w="1416"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2012</w:t>
            </w:r>
          </w:p>
        </w:tc>
        <w:tc>
          <w:tcPr>
            <w:tcW w:w="2058"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16711</w:t>
            </w:r>
          </w:p>
        </w:tc>
      </w:tr>
      <w:tr w:rsidR="00F065B7" w:rsidRPr="00410EDF" w:rsidTr="006157E7">
        <w:trPr>
          <w:jc w:val="center"/>
        </w:trPr>
        <w:tc>
          <w:tcPr>
            <w:tcW w:w="1416"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2013</w:t>
            </w:r>
          </w:p>
        </w:tc>
        <w:tc>
          <w:tcPr>
            <w:tcW w:w="2058" w:type="dxa"/>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18827</w:t>
            </w:r>
          </w:p>
        </w:tc>
      </w:tr>
      <w:tr w:rsidR="00F065B7" w:rsidRPr="00410EDF" w:rsidTr="006157E7">
        <w:trPr>
          <w:jc w:val="center"/>
        </w:trPr>
        <w:tc>
          <w:tcPr>
            <w:tcW w:w="1416"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2014</w:t>
            </w:r>
          </w:p>
        </w:tc>
        <w:tc>
          <w:tcPr>
            <w:tcW w:w="2058" w:type="dxa"/>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18595</w:t>
            </w:r>
          </w:p>
        </w:tc>
      </w:tr>
      <w:tr w:rsidR="001852B0" w:rsidRPr="00410EDF" w:rsidTr="006157E7">
        <w:trPr>
          <w:jc w:val="center"/>
        </w:trPr>
        <w:tc>
          <w:tcPr>
            <w:tcW w:w="1416" w:type="dxa"/>
            <w:shd w:val="clear" w:color="auto" w:fill="auto"/>
          </w:tcPr>
          <w:p w:rsidR="001852B0" w:rsidRPr="00410EDF" w:rsidRDefault="001852B0" w:rsidP="00C625DB">
            <w:pPr>
              <w:spacing w:after="0" w:line="240" w:lineRule="auto"/>
              <w:jc w:val="center"/>
              <w:rPr>
                <w:rFonts w:ascii="Arial" w:hAnsi="Arial" w:cs="Arial"/>
                <w:sz w:val="24"/>
                <w:szCs w:val="24"/>
              </w:rPr>
            </w:pPr>
            <w:r w:rsidRPr="00410EDF">
              <w:rPr>
                <w:rFonts w:ascii="Arial" w:hAnsi="Arial" w:cs="Arial"/>
                <w:sz w:val="24"/>
                <w:szCs w:val="24"/>
              </w:rPr>
              <w:t>2015</w:t>
            </w:r>
          </w:p>
        </w:tc>
        <w:tc>
          <w:tcPr>
            <w:tcW w:w="2058" w:type="dxa"/>
          </w:tcPr>
          <w:p w:rsidR="001852B0" w:rsidRPr="00410EDF" w:rsidRDefault="001852B0" w:rsidP="00C625DB">
            <w:pPr>
              <w:spacing w:after="0" w:line="240" w:lineRule="auto"/>
              <w:jc w:val="center"/>
              <w:rPr>
                <w:rFonts w:ascii="Arial" w:hAnsi="Arial" w:cs="Arial"/>
                <w:sz w:val="24"/>
                <w:szCs w:val="24"/>
              </w:rPr>
            </w:pPr>
            <w:r w:rsidRPr="00410EDF">
              <w:rPr>
                <w:rFonts w:ascii="Arial" w:hAnsi="Arial" w:cs="Arial"/>
                <w:sz w:val="24"/>
                <w:szCs w:val="24"/>
              </w:rPr>
              <w:t>19590</w:t>
            </w:r>
          </w:p>
        </w:tc>
      </w:tr>
    </w:tbl>
    <w:p w:rsidR="00F065B7" w:rsidRPr="00410EDF" w:rsidRDefault="00F065B7" w:rsidP="00C625DB">
      <w:pPr>
        <w:autoSpaceDE w:val="0"/>
        <w:autoSpaceDN w:val="0"/>
        <w:adjustRightInd w:val="0"/>
        <w:spacing w:after="0" w:line="240" w:lineRule="auto"/>
        <w:ind w:firstLine="737"/>
        <w:jc w:val="both"/>
        <w:rPr>
          <w:rFonts w:ascii="Arial" w:hAnsi="Arial" w:cs="Arial"/>
          <w:sz w:val="24"/>
          <w:szCs w:val="24"/>
        </w:rPr>
      </w:pPr>
    </w:p>
    <w:p w:rsidR="001852B0" w:rsidRPr="00410EDF" w:rsidRDefault="001852B0" w:rsidP="0029217B">
      <w:pPr>
        <w:spacing w:after="0" w:line="240" w:lineRule="auto"/>
        <w:jc w:val="center"/>
        <w:rPr>
          <w:rFonts w:ascii="Arial" w:hAnsi="Arial" w:cs="Arial"/>
          <w:b/>
          <w:sz w:val="20"/>
        </w:rPr>
      </w:pPr>
      <w:r w:rsidRPr="00410EDF">
        <w:rPr>
          <w:rFonts w:ascii="Arial" w:hAnsi="Arial" w:cs="Arial"/>
          <w:b/>
          <w:noProof/>
          <w:sz w:val="20"/>
          <w:lang w:eastAsia="ro-RO"/>
        </w:rPr>
        <w:lastRenderedPageBreak/>
        <w:drawing>
          <wp:inline distT="0" distB="0" distL="0" distR="0">
            <wp:extent cx="5086350" cy="2872103"/>
            <wp:effectExtent l="0" t="0" r="0" b="0"/>
            <wp:docPr id="134"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29217B" w:rsidRPr="00410EDF" w:rsidRDefault="0029217B" w:rsidP="0029217B">
      <w:pPr>
        <w:spacing w:after="0" w:line="240" w:lineRule="auto"/>
        <w:jc w:val="center"/>
        <w:rPr>
          <w:rFonts w:ascii="Arial" w:hAnsi="Arial" w:cs="Arial"/>
          <w:b/>
          <w:sz w:val="24"/>
          <w:szCs w:val="24"/>
        </w:rPr>
      </w:pPr>
      <w:r w:rsidRPr="00410EDF">
        <w:rPr>
          <w:rFonts w:ascii="Arial" w:hAnsi="Arial" w:cs="Arial"/>
          <w:sz w:val="24"/>
          <w:szCs w:val="24"/>
        </w:rPr>
        <w:t>Fig. VII.1.1.8 Evoluția cantităților de deșeuri provenite din servicii municipale</w:t>
      </w:r>
    </w:p>
    <w:p w:rsidR="00F065B7" w:rsidRPr="00410EDF" w:rsidRDefault="00F065B7" w:rsidP="00C625DB">
      <w:pPr>
        <w:spacing w:after="0" w:line="240" w:lineRule="auto"/>
        <w:jc w:val="center"/>
        <w:rPr>
          <w:rFonts w:ascii="Arial" w:hAnsi="Arial" w:cs="Arial"/>
          <w:b/>
          <w:sz w:val="24"/>
          <w:szCs w:val="24"/>
        </w:rPr>
      </w:pPr>
    </w:p>
    <w:p w:rsidR="00F065B7" w:rsidRPr="00410EDF" w:rsidRDefault="00F065B7" w:rsidP="00C625DB">
      <w:pPr>
        <w:suppressAutoHyphens/>
        <w:spacing w:after="0" w:line="240" w:lineRule="auto"/>
        <w:jc w:val="both"/>
        <w:rPr>
          <w:rFonts w:ascii="Arial" w:hAnsi="Arial" w:cs="Arial"/>
          <w:sz w:val="24"/>
          <w:szCs w:val="24"/>
          <w:lang w:val="it-IT"/>
        </w:rPr>
      </w:pPr>
    </w:p>
    <w:p w:rsidR="00F065B7" w:rsidRPr="00410EDF" w:rsidRDefault="00F065B7" w:rsidP="00C625DB">
      <w:pPr>
        <w:suppressAutoHyphens/>
        <w:spacing w:after="0" w:line="240" w:lineRule="auto"/>
        <w:jc w:val="both"/>
        <w:rPr>
          <w:rFonts w:ascii="Arial" w:hAnsi="Arial" w:cs="Arial"/>
          <w:b/>
          <w:sz w:val="24"/>
          <w:szCs w:val="24"/>
          <w:lang w:val="it-IT"/>
        </w:rPr>
      </w:pPr>
      <w:r w:rsidRPr="00410EDF">
        <w:rPr>
          <w:rFonts w:ascii="Arial" w:hAnsi="Arial" w:cs="Arial"/>
          <w:b/>
          <w:sz w:val="24"/>
          <w:szCs w:val="24"/>
          <w:lang w:val="it-IT"/>
        </w:rPr>
        <w:t xml:space="preserve">Deşeuri din constructii şi demolări </w:t>
      </w:r>
    </w:p>
    <w:p w:rsidR="0029217B" w:rsidRDefault="0029217B" w:rsidP="00C625DB">
      <w:pPr>
        <w:spacing w:after="0" w:line="240" w:lineRule="auto"/>
        <w:ind w:firstLine="708"/>
        <w:jc w:val="both"/>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Legea 211/2011 privind regimul deşeurilori impune ca obligaţie producătorilor de deșeuri și autorităţilor administraţiei publice locale valorificarea deşeurilor nepericuloase provenite din activităţi de construcţie şi demolări. Mai mult, ținta stabilită pentru anul 2020 este atingerea unui nivel de pregătire pentru reutilizare, reciclare şi alte operaţiuni de valorificare materială, inclusiv operaţiuni de umplere rambleiere care utilizează deşeuri pentru a înlocui alte materiale, de minimum 70% din masa cantităţilor de deșeuri generate. Pentru lucrări de umplere/terasare se pot folosi numai deşeurile nepericuloase sortate. </w:t>
      </w:r>
    </w:p>
    <w:p w:rsidR="0054708F"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În municipiul </w:t>
      </w:r>
      <w:r w:rsidR="00217620">
        <w:rPr>
          <w:rFonts w:ascii="Arial" w:hAnsi="Arial" w:cs="Arial"/>
          <w:sz w:val="24"/>
          <w:szCs w:val="24"/>
        </w:rPr>
        <w:t>Brăila</w:t>
      </w:r>
      <w:r w:rsidRPr="00410EDF">
        <w:rPr>
          <w:rFonts w:ascii="Arial" w:hAnsi="Arial" w:cs="Arial"/>
          <w:sz w:val="24"/>
          <w:szCs w:val="24"/>
        </w:rPr>
        <w:t xml:space="preserve">, aceste deşeuri au fost valorificate ca material de umplutură pe diferite terenuri stabilite de către Primăria </w:t>
      </w:r>
      <w:r w:rsidR="00217620">
        <w:rPr>
          <w:rFonts w:ascii="Arial" w:hAnsi="Arial" w:cs="Arial"/>
          <w:sz w:val="24"/>
          <w:szCs w:val="24"/>
        </w:rPr>
        <w:t>Brăila</w:t>
      </w:r>
      <w:r w:rsidRPr="00410EDF">
        <w:rPr>
          <w:rFonts w:ascii="Arial" w:hAnsi="Arial" w:cs="Arial"/>
          <w:sz w:val="24"/>
          <w:szCs w:val="24"/>
        </w:rPr>
        <w:t xml:space="preserve"> iar în oraşele Ianca şi Făurei se utilizează spaţii de stocare temporară până la valorificare</w:t>
      </w:r>
      <w:r w:rsidR="0054708F" w:rsidRPr="00410EDF">
        <w:rPr>
          <w:rFonts w:ascii="Arial" w:hAnsi="Arial" w:cs="Arial"/>
          <w:sz w:val="24"/>
          <w:szCs w:val="24"/>
        </w:rPr>
        <w:t>. Din 2016 au fost autorizați doi operatori pentru concasarea deșeurilor din beton și comercializarea acestora.</w:t>
      </w:r>
    </w:p>
    <w:p w:rsidR="0029217B" w:rsidRDefault="0029217B" w:rsidP="00C625DB">
      <w:pPr>
        <w:spacing w:after="0" w:line="240" w:lineRule="auto"/>
        <w:rPr>
          <w:rFonts w:ascii="Arial" w:hAnsi="Arial" w:cs="Arial"/>
          <w:sz w:val="24"/>
          <w:szCs w:val="24"/>
        </w:rPr>
      </w:pPr>
    </w:p>
    <w:p w:rsidR="00F065B7" w:rsidRDefault="00F065B7" w:rsidP="00C625DB">
      <w:pPr>
        <w:spacing w:after="0" w:line="240" w:lineRule="auto"/>
        <w:rPr>
          <w:rFonts w:ascii="Arial" w:hAnsi="Arial" w:cs="Arial"/>
          <w:sz w:val="24"/>
          <w:szCs w:val="24"/>
        </w:rPr>
      </w:pPr>
      <w:r w:rsidRPr="00410EDF">
        <w:rPr>
          <w:rFonts w:ascii="Arial" w:hAnsi="Arial" w:cs="Arial"/>
          <w:sz w:val="24"/>
          <w:szCs w:val="24"/>
        </w:rPr>
        <w:t xml:space="preserve">Tabel VII.1.1.9 Evoluția cantităților de deșeuri </w:t>
      </w:r>
      <w:r w:rsidR="0054708F" w:rsidRPr="00410EDF">
        <w:rPr>
          <w:rFonts w:ascii="Arial" w:hAnsi="Arial" w:cs="Arial"/>
          <w:sz w:val="24"/>
          <w:szCs w:val="24"/>
        </w:rPr>
        <w:t xml:space="preserve">generate din </w:t>
      </w:r>
      <w:r w:rsidRPr="00410EDF">
        <w:rPr>
          <w:rFonts w:ascii="Arial" w:hAnsi="Arial" w:cs="Arial"/>
          <w:sz w:val="24"/>
          <w:szCs w:val="24"/>
        </w:rPr>
        <w:t>construcții și demolări</w:t>
      </w:r>
    </w:p>
    <w:p w:rsidR="006157E7" w:rsidRPr="00410EDF" w:rsidRDefault="006157E7" w:rsidP="00C625DB">
      <w:pPr>
        <w:spacing w:after="0" w:line="240" w:lineRule="auto"/>
        <w:rPr>
          <w:rFonts w:ascii="Arial" w:hAnsi="Arial" w:cs="Arial"/>
          <w:b/>
          <w:sz w:val="24"/>
          <w:szCs w:val="24"/>
        </w:rPr>
      </w:pPr>
    </w:p>
    <w:tbl>
      <w:tblPr>
        <w:tblW w:w="0" w:type="auto"/>
        <w:jc w:val="center"/>
        <w:tblInd w:w="593"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397"/>
        <w:gridCol w:w="2205"/>
      </w:tblGrid>
      <w:tr w:rsidR="00F065B7" w:rsidRPr="00410EDF" w:rsidTr="006157E7">
        <w:trPr>
          <w:jc w:val="center"/>
        </w:trPr>
        <w:tc>
          <w:tcPr>
            <w:tcW w:w="1397" w:type="dxa"/>
            <w:shd w:val="clear" w:color="auto" w:fill="EEECE1" w:themeFill="background2"/>
          </w:tcPr>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caps/>
                <w:sz w:val="24"/>
                <w:szCs w:val="24"/>
              </w:rPr>
              <w:t>anul</w:t>
            </w:r>
          </w:p>
        </w:tc>
        <w:tc>
          <w:tcPr>
            <w:tcW w:w="2205" w:type="dxa"/>
            <w:shd w:val="clear" w:color="auto" w:fill="EEECE1" w:themeFill="background2"/>
          </w:tcPr>
          <w:p w:rsidR="00F065B7" w:rsidRPr="00410EDF" w:rsidRDefault="00F065B7" w:rsidP="00C625DB">
            <w:pPr>
              <w:spacing w:after="0" w:line="240" w:lineRule="auto"/>
              <w:jc w:val="center"/>
              <w:rPr>
                <w:rFonts w:ascii="Arial" w:hAnsi="Arial" w:cs="Arial"/>
                <w:bCs/>
                <w:sz w:val="24"/>
                <w:szCs w:val="24"/>
              </w:rPr>
            </w:pPr>
            <w:r w:rsidRPr="00410EDF">
              <w:rPr>
                <w:rFonts w:ascii="Arial" w:hAnsi="Arial" w:cs="Arial"/>
                <w:bCs/>
                <w:sz w:val="24"/>
                <w:szCs w:val="24"/>
              </w:rPr>
              <w:t>T O T A L</w:t>
            </w:r>
          </w:p>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sz w:val="24"/>
                <w:szCs w:val="24"/>
              </w:rPr>
              <w:t>[tone]</w:t>
            </w:r>
          </w:p>
        </w:tc>
      </w:tr>
      <w:tr w:rsidR="00F065B7" w:rsidRPr="00410EDF" w:rsidTr="006157E7">
        <w:trPr>
          <w:jc w:val="center"/>
        </w:trPr>
        <w:tc>
          <w:tcPr>
            <w:tcW w:w="1397"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2009</w:t>
            </w:r>
          </w:p>
        </w:tc>
        <w:tc>
          <w:tcPr>
            <w:tcW w:w="2205"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12790</w:t>
            </w:r>
          </w:p>
        </w:tc>
      </w:tr>
      <w:tr w:rsidR="00F065B7" w:rsidRPr="00410EDF" w:rsidTr="006157E7">
        <w:trPr>
          <w:jc w:val="center"/>
        </w:trPr>
        <w:tc>
          <w:tcPr>
            <w:tcW w:w="1397"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2010</w:t>
            </w:r>
          </w:p>
        </w:tc>
        <w:tc>
          <w:tcPr>
            <w:tcW w:w="2205"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10853</w:t>
            </w:r>
          </w:p>
        </w:tc>
      </w:tr>
      <w:tr w:rsidR="00F065B7" w:rsidRPr="00410EDF" w:rsidTr="006157E7">
        <w:trPr>
          <w:jc w:val="center"/>
        </w:trPr>
        <w:tc>
          <w:tcPr>
            <w:tcW w:w="1397"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2011</w:t>
            </w:r>
          </w:p>
        </w:tc>
        <w:tc>
          <w:tcPr>
            <w:tcW w:w="2205"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10051</w:t>
            </w:r>
          </w:p>
        </w:tc>
      </w:tr>
      <w:tr w:rsidR="00F065B7" w:rsidRPr="00410EDF" w:rsidTr="006157E7">
        <w:trPr>
          <w:jc w:val="center"/>
        </w:trPr>
        <w:tc>
          <w:tcPr>
            <w:tcW w:w="1397"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2012</w:t>
            </w:r>
          </w:p>
        </w:tc>
        <w:tc>
          <w:tcPr>
            <w:tcW w:w="2205"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4990</w:t>
            </w:r>
          </w:p>
        </w:tc>
      </w:tr>
      <w:tr w:rsidR="00F065B7" w:rsidRPr="00410EDF" w:rsidTr="006157E7">
        <w:trPr>
          <w:jc w:val="center"/>
        </w:trPr>
        <w:tc>
          <w:tcPr>
            <w:tcW w:w="1397"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2013</w:t>
            </w:r>
          </w:p>
        </w:tc>
        <w:tc>
          <w:tcPr>
            <w:tcW w:w="2205" w:type="dxa"/>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4467</w:t>
            </w:r>
          </w:p>
        </w:tc>
      </w:tr>
      <w:tr w:rsidR="00F065B7" w:rsidRPr="00410EDF" w:rsidTr="006157E7">
        <w:trPr>
          <w:jc w:val="center"/>
        </w:trPr>
        <w:tc>
          <w:tcPr>
            <w:tcW w:w="1397"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2014</w:t>
            </w:r>
          </w:p>
        </w:tc>
        <w:tc>
          <w:tcPr>
            <w:tcW w:w="2205" w:type="dxa"/>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30515</w:t>
            </w:r>
          </w:p>
        </w:tc>
      </w:tr>
      <w:tr w:rsidR="0054708F" w:rsidRPr="00410EDF" w:rsidTr="006157E7">
        <w:trPr>
          <w:jc w:val="center"/>
        </w:trPr>
        <w:tc>
          <w:tcPr>
            <w:tcW w:w="1397" w:type="dxa"/>
            <w:shd w:val="clear" w:color="auto" w:fill="auto"/>
          </w:tcPr>
          <w:p w:rsidR="0054708F" w:rsidRPr="00410EDF" w:rsidRDefault="0054708F" w:rsidP="00C625DB">
            <w:pPr>
              <w:spacing w:after="0" w:line="240" w:lineRule="auto"/>
              <w:jc w:val="center"/>
              <w:rPr>
                <w:rFonts w:ascii="Arial" w:hAnsi="Arial" w:cs="Arial"/>
                <w:sz w:val="24"/>
                <w:szCs w:val="24"/>
              </w:rPr>
            </w:pPr>
            <w:r w:rsidRPr="00410EDF">
              <w:rPr>
                <w:rFonts w:ascii="Arial" w:hAnsi="Arial" w:cs="Arial"/>
                <w:sz w:val="24"/>
                <w:szCs w:val="24"/>
              </w:rPr>
              <w:t>2015</w:t>
            </w:r>
          </w:p>
        </w:tc>
        <w:tc>
          <w:tcPr>
            <w:tcW w:w="2205" w:type="dxa"/>
          </w:tcPr>
          <w:p w:rsidR="0054708F" w:rsidRPr="00410EDF" w:rsidRDefault="0054708F" w:rsidP="00C625DB">
            <w:pPr>
              <w:spacing w:after="0" w:line="240" w:lineRule="auto"/>
              <w:jc w:val="center"/>
              <w:rPr>
                <w:rFonts w:ascii="Arial" w:hAnsi="Arial" w:cs="Arial"/>
                <w:sz w:val="24"/>
                <w:szCs w:val="24"/>
              </w:rPr>
            </w:pPr>
            <w:r w:rsidRPr="00410EDF">
              <w:rPr>
                <w:rFonts w:ascii="Arial" w:hAnsi="Arial" w:cs="Arial"/>
                <w:sz w:val="24"/>
                <w:szCs w:val="24"/>
              </w:rPr>
              <w:t>28670</w:t>
            </w:r>
          </w:p>
        </w:tc>
      </w:tr>
    </w:tbl>
    <w:p w:rsidR="00F065B7" w:rsidRPr="00410EDF" w:rsidRDefault="00F065B7" w:rsidP="00C625DB">
      <w:pPr>
        <w:spacing w:after="0" w:line="240" w:lineRule="auto"/>
        <w:rPr>
          <w:rFonts w:ascii="Arial" w:hAnsi="Arial" w:cs="Arial"/>
          <w:b/>
          <w:sz w:val="24"/>
          <w:szCs w:val="24"/>
        </w:rPr>
      </w:pPr>
    </w:p>
    <w:p w:rsidR="0054708F" w:rsidRPr="00410EDF" w:rsidRDefault="0054708F" w:rsidP="0029217B">
      <w:pPr>
        <w:spacing w:after="0" w:line="240" w:lineRule="auto"/>
        <w:jc w:val="center"/>
        <w:rPr>
          <w:rFonts w:ascii="Arial" w:hAnsi="Arial" w:cs="Arial"/>
          <w:sz w:val="24"/>
          <w:szCs w:val="24"/>
        </w:rPr>
      </w:pPr>
      <w:r w:rsidRPr="00410EDF">
        <w:rPr>
          <w:rFonts w:ascii="Arial" w:hAnsi="Arial" w:cs="Arial"/>
          <w:b/>
          <w:noProof/>
          <w:sz w:val="20"/>
          <w:lang w:eastAsia="ro-RO"/>
        </w:rPr>
        <w:lastRenderedPageBreak/>
        <w:drawing>
          <wp:inline distT="0" distB="0" distL="0" distR="0">
            <wp:extent cx="5429250" cy="2282850"/>
            <wp:effectExtent l="0" t="0" r="0" b="0"/>
            <wp:docPr id="135"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9217B" w:rsidRPr="00410EDF" w:rsidRDefault="0029217B" w:rsidP="0029217B">
      <w:pPr>
        <w:spacing w:after="0" w:line="240" w:lineRule="auto"/>
        <w:jc w:val="center"/>
        <w:rPr>
          <w:rFonts w:ascii="Arial" w:hAnsi="Arial" w:cs="Arial"/>
          <w:sz w:val="24"/>
          <w:szCs w:val="24"/>
        </w:rPr>
      </w:pPr>
      <w:r w:rsidRPr="00410EDF">
        <w:rPr>
          <w:rFonts w:ascii="Arial" w:hAnsi="Arial" w:cs="Arial"/>
          <w:sz w:val="24"/>
          <w:szCs w:val="24"/>
        </w:rPr>
        <w:t>Fig. VII.1.1.9 Evoluția cantităților de deșeuri provenite din construcții și demolări</w:t>
      </w:r>
    </w:p>
    <w:p w:rsidR="0054708F" w:rsidRPr="00410EDF" w:rsidRDefault="0054708F"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Tabel VII.1.1.10 Evoluția cantităților de deșeuri municipale generate și necolectate</w:t>
      </w:r>
    </w:p>
    <w:p w:rsidR="00F065B7" w:rsidRPr="00410EDF" w:rsidRDefault="00F065B7" w:rsidP="00C625DB">
      <w:pPr>
        <w:spacing w:after="0" w:line="240" w:lineRule="auto"/>
        <w:rPr>
          <w:rFonts w:ascii="Arial" w:hAnsi="Arial" w:cs="Arial"/>
          <w:b/>
          <w:sz w:val="24"/>
          <w:szCs w:val="24"/>
        </w:rPr>
      </w:pPr>
    </w:p>
    <w:tbl>
      <w:tblPr>
        <w:tblW w:w="0" w:type="auto"/>
        <w:jc w:val="center"/>
        <w:tblInd w:w="238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754"/>
        <w:gridCol w:w="2103"/>
        <w:gridCol w:w="1903"/>
        <w:gridCol w:w="1705"/>
      </w:tblGrid>
      <w:tr w:rsidR="00F065B7" w:rsidRPr="00410EDF" w:rsidTr="008914B8">
        <w:trPr>
          <w:jc w:val="center"/>
        </w:trPr>
        <w:tc>
          <w:tcPr>
            <w:tcW w:w="1754" w:type="dxa"/>
            <w:shd w:val="clear" w:color="auto" w:fill="EEECE1" w:themeFill="background2"/>
          </w:tcPr>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caps/>
                <w:sz w:val="24"/>
                <w:szCs w:val="24"/>
              </w:rPr>
              <w:t>anul</w:t>
            </w:r>
          </w:p>
        </w:tc>
        <w:tc>
          <w:tcPr>
            <w:tcW w:w="2103" w:type="dxa"/>
            <w:shd w:val="clear" w:color="auto" w:fill="EEECE1" w:themeFill="background2"/>
          </w:tcPr>
          <w:p w:rsidR="00F065B7" w:rsidRPr="00410EDF" w:rsidRDefault="00F065B7" w:rsidP="00C625DB">
            <w:pPr>
              <w:spacing w:after="0" w:line="240" w:lineRule="auto"/>
              <w:jc w:val="center"/>
              <w:rPr>
                <w:rFonts w:ascii="Arial" w:hAnsi="Arial" w:cs="Arial"/>
                <w:bCs/>
                <w:sz w:val="24"/>
                <w:szCs w:val="24"/>
              </w:rPr>
            </w:pPr>
            <w:r w:rsidRPr="00410EDF">
              <w:rPr>
                <w:rFonts w:ascii="Arial" w:hAnsi="Arial" w:cs="Arial"/>
                <w:bCs/>
                <w:sz w:val="24"/>
                <w:szCs w:val="24"/>
              </w:rPr>
              <w:t>T O T A L</w:t>
            </w:r>
          </w:p>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sz w:val="24"/>
                <w:szCs w:val="24"/>
              </w:rPr>
              <w:t>[tone]</w:t>
            </w:r>
          </w:p>
        </w:tc>
        <w:tc>
          <w:tcPr>
            <w:tcW w:w="1903" w:type="dxa"/>
            <w:shd w:val="clear" w:color="auto" w:fill="EEECE1" w:themeFill="background2"/>
          </w:tcPr>
          <w:p w:rsidR="00F065B7" w:rsidRPr="00410EDF" w:rsidRDefault="00F065B7" w:rsidP="00C625DB">
            <w:pPr>
              <w:autoSpaceDE w:val="0"/>
              <w:autoSpaceDN w:val="0"/>
              <w:adjustRightInd w:val="0"/>
              <w:spacing w:after="0" w:line="240" w:lineRule="auto"/>
              <w:jc w:val="center"/>
              <w:rPr>
                <w:rFonts w:ascii="Arial" w:hAnsi="Arial" w:cs="Arial"/>
                <w:sz w:val="24"/>
                <w:szCs w:val="24"/>
              </w:rPr>
            </w:pPr>
            <w:r w:rsidRPr="00410EDF">
              <w:rPr>
                <w:rFonts w:ascii="Arial" w:hAnsi="Arial" w:cs="Arial"/>
                <w:sz w:val="24"/>
                <w:szCs w:val="24"/>
              </w:rPr>
              <w:t>URBAN</w:t>
            </w:r>
          </w:p>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sz w:val="24"/>
                <w:szCs w:val="24"/>
              </w:rPr>
              <w:t>[tone]</w:t>
            </w:r>
          </w:p>
        </w:tc>
        <w:tc>
          <w:tcPr>
            <w:tcW w:w="1705" w:type="dxa"/>
            <w:shd w:val="clear" w:color="auto" w:fill="EEECE1" w:themeFill="background2"/>
          </w:tcPr>
          <w:p w:rsidR="00F065B7" w:rsidRPr="00410EDF" w:rsidRDefault="00F065B7" w:rsidP="00C625DB">
            <w:pPr>
              <w:autoSpaceDE w:val="0"/>
              <w:autoSpaceDN w:val="0"/>
              <w:adjustRightInd w:val="0"/>
              <w:spacing w:after="0" w:line="240" w:lineRule="auto"/>
              <w:jc w:val="center"/>
              <w:rPr>
                <w:rFonts w:ascii="Arial" w:hAnsi="Arial" w:cs="Arial"/>
                <w:sz w:val="24"/>
                <w:szCs w:val="24"/>
              </w:rPr>
            </w:pPr>
            <w:r w:rsidRPr="00410EDF">
              <w:rPr>
                <w:rFonts w:ascii="Arial" w:hAnsi="Arial" w:cs="Arial"/>
                <w:sz w:val="24"/>
                <w:szCs w:val="24"/>
              </w:rPr>
              <w:t>RURAL</w:t>
            </w:r>
          </w:p>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sz w:val="24"/>
                <w:szCs w:val="24"/>
              </w:rPr>
              <w:t>[tone]</w:t>
            </w:r>
          </w:p>
        </w:tc>
      </w:tr>
      <w:tr w:rsidR="00F065B7" w:rsidRPr="00410EDF" w:rsidTr="008914B8">
        <w:trPr>
          <w:jc w:val="center"/>
        </w:trPr>
        <w:tc>
          <w:tcPr>
            <w:tcW w:w="175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2009</w:t>
            </w:r>
          </w:p>
        </w:tc>
        <w:tc>
          <w:tcPr>
            <w:tcW w:w="21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39925.53</w:t>
            </w:r>
          </w:p>
        </w:tc>
        <w:tc>
          <w:tcPr>
            <w:tcW w:w="19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23715.83</w:t>
            </w:r>
          </w:p>
        </w:tc>
        <w:tc>
          <w:tcPr>
            <w:tcW w:w="1705" w:type="dxa"/>
            <w:shd w:val="clear" w:color="auto" w:fill="auto"/>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16209.71</w:t>
            </w:r>
          </w:p>
        </w:tc>
      </w:tr>
      <w:tr w:rsidR="00F065B7" w:rsidRPr="00410EDF" w:rsidTr="008914B8">
        <w:trPr>
          <w:jc w:val="center"/>
        </w:trPr>
        <w:tc>
          <w:tcPr>
            <w:tcW w:w="175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2010</w:t>
            </w:r>
          </w:p>
        </w:tc>
        <w:tc>
          <w:tcPr>
            <w:tcW w:w="21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33424.13</w:t>
            </w:r>
          </w:p>
        </w:tc>
        <w:tc>
          <w:tcPr>
            <w:tcW w:w="19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22509.87</w:t>
            </w:r>
          </w:p>
        </w:tc>
        <w:tc>
          <w:tcPr>
            <w:tcW w:w="1705" w:type="dxa"/>
            <w:shd w:val="clear" w:color="auto" w:fill="auto"/>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10914.26</w:t>
            </w:r>
          </w:p>
        </w:tc>
      </w:tr>
      <w:tr w:rsidR="00F065B7" w:rsidRPr="00410EDF" w:rsidTr="008914B8">
        <w:trPr>
          <w:jc w:val="center"/>
        </w:trPr>
        <w:tc>
          <w:tcPr>
            <w:tcW w:w="175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2011</w:t>
            </w:r>
          </w:p>
        </w:tc>
        <w:tc>
          <w:tcPr>
            <w:tcW w:w="21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12100.81</w:t>
            </w:r>
          </w:p>
        </w:tc>
        <w:tc>
          <w:tcPr>
            <w:tcW w:w="19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12032.53</w:t>
            </w:r>
          </w:p>
        </w:tc>
        <w:tc>
          <w:tcPr>
            <w:tcW w:w="1705" w:type="dxa"/>
            <w:shd w:val="clear" w:color="auto" w:fill="auto"/>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68.28</w:t>
            </w:r>
          </w:p>
        </w:tc>
      </w:tr>
      <w:tr w:rsidR="00F065B7" w:rsidRPr="00410EDF" w:rsidTr="008914B8">
        <w:trPr>
          <w:jc w:val="center"/>
        </w:trPr>
        <w:tc>
          <w:tcPr>
            <w:tcW w:w="175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2012</w:t>
            </w:r>
          </w:p>
        </w:tc>
        <w:tc>
          <w:tcPr>
            <w:tcW w:w="21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6644.11</w:t>
            </w:r>
          </w:p>
        </w:tc>
        <w:tc>
          <w:tcPr>
            <w:tcW w:w="19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6094.47</w:t>
            </w:r>
          </w:p>
        </w:tc>
        <w:tc>
          <w:tcPr>
            <w:tcW w:w="1705" w:type="dxa"/>
            <w:shd w:val="clear" w:color="auto" w:fill="auto"/>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549.64</w:t>
            </w:r>
          </w:p>
        </w:tc>
      </w:tr>
      <w:tr w:rsidR="00F065B7" w:rsidRPr="00410EDF" w:rsidTr="008914B8">
        <w:trPr>
          <w:jc w:val="center"/>
        </w:trPr>
        <w:tc>
          <w:tcPr>
            <w:tcW w:w="175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2013</w:t>
            </w:r>
          </w:p>
        </w:tc>
        <w:tc>
          <w:tcPr>
            <w:tcW w:w="21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7487.94</w:t>
            </w:r>
          </w:p>
        </w:tc>
        <w:tc>
          <w:tcPr>
            <w:tcW w:w="19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7262.81</w:t>
            </w:r>
          </w:p>
        </w:tc>
        <w:tc>
          <w:tcPr>
            <w:tcW w:w="1705" w:type="dxa"/>
            <w:shd w:val="clear" w:color="auto" w:fill="auto"/>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225.13</w:t>
            </w:r>
          </w:p>
        </w:tc>
      </w:tr>
      <w:tr w:rsidR="00F065B7" w:rsidRPr="00410EDF" w:rsidTr="008914B8">
        <w:trPr>
          <w:jc w:val="center"/>
        </w:trPr>
        <w:tc>
          <w:tcPr>
            <w:tcW w:w="175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2014</w:t>
            </w:r>
          </w:p>
        </w:tc>
        <w:tc>
          <w:tcPr>
            <w:tcW w:w="21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10113.46</w:t>
            </w:r>
          </w:p>
        </w:tc>
        <w:tc>
          <w:tcPr>
            <w:tcW w:w="19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7695.11</w:t>
            </w:r>
          </w:p>
        </w:tc>
        <w:tc>
          <w:tcPr>
            <w:tcW w:w="1705" w:type="dxa"/>
            <w:shd w:val="clear" w:color="auto" w:fill="auto"/>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2418.34</w:t>
            </w:r>
          </w:p>
        </w:tc>
      </w:tr>
      <w:tr w:rsidR="00BD22FA" w:rsidRPr="00410EDF" w:rsidTr="008914B8">
        <w:trPr>
          <w:jc w:val="center"/>
        </w:trPr>
        <w:tc>
          <w:tcPr>
            <w:tcW w:w="1754" w:type="dxa"/>
            <w:shd w:val="clear" w:color="auto" w:fill="auto"/>
          </w:tcPr>
          <w:p w:rsidR="00BD22FA" w:rsidRPr="00410EDF" w:rsidRDefault="00BD22FA" w:rsidP="00C625DB">
            <w:pPr>
              <w:spacing w:after="0" w:line="240" w:lineRule="auto"/>
              <w:jc w:val="center"/>
              <w:rPr>
                <w:rFonts w:ascii="Arial" w:hAnsi="Arial" w:cs="Arial"/>
                <w:sz w:val="24"/>
                <w:szCs w:val="24"/>
              </w:rPr>
            </w:pPr>
            <w:r w:rsidRPr="00410EDF">
              <w:rPr>
                <w:rFonts w:ascii="Arial" w:hAnsi="Arial" w:cs="Arial"/>
                <w:sz w:val="24"/>
                <w:szCs w:val="24"/>
              </w:rPr>
              <w:t>2015</w:t>
            </w:r>
          </w:p>
        </w:tc>
        <w:tc>
          <w:tcPr>
            <w:tcW w:w="2103" w:type="dxa"/>
            <w:vAlign w:val="bottom"/>
          </w:tcPr>
          <w:p w:rsidR="00BD22FA" w:rsidRPr="00410EDF" w:rsidRDefault="00BD22FA" w:rsidP="00C625DB">
            <w:pPr>
              <w:spacing w:after="0" w:line="240" w:lineRule="auto"/>
              <w:jc w:val="center"/>
              <w:rPr>
                <w:rFonts w:ascii="Arial" w:hAnsi="Arial" w:cs="Arial"/>
                <w:sz w:val="24"/>
                <w:szCs w:val="24"/>
              </w:rPr>
            </w:pPr>
            <w:r w:rsidRPr="00410EDF">
              <w:rPr>
                <w:rFonts w:ascii="Arial" w:hAnsi="Arial" w:cs="Arial"/>
                <w:sz w:val="24"/>
                <w:szCs w:val="24"/>
              </w:rPr>
              <w:t>12438.73</w:t>
            </w:r>
          </w:p>
        </w:tc>
        <w:tc>
          <w:tcPr>
            <w:tcW w:w="1903" w:type="dxa"/>
            <w:vAlign w:val="bottom"/>
          </w:tcPr>
          <w:p w:rsidR="00BD22FA" w:rsidRPr="00410EDF" w:rsidRDefault="00BD22FA" w:rsidP="00C625DB">
            <w:pPr>
              <w:spacing w:after="0" w:line="240" w:lineRule="auto"/>
              <w:jc w:val="center"/>
              <w:rPr>
                <w:rFonts w:ascii="Arial" w:hAnsi="Arial" w:cs="Arial"/>
                <w:sz w:val="24"/>
                <w:szCs w:val="24"/>
              </w:rPr>
            </w:pPr>
            <w:r w:rsidRPr="00410EDF">
              <w:rPr>
                <w:rFonts w:ascii="Arial" w:hAnsi="Arial" w:cs="Arial"/>
                <w:sz w:val="24"/>
                <w:szCs w:val="24"/>
              </w:rPr>
              <w:t>12230.13</w:t>
            </w:r>
          </w:p>
        </w:tc>
        <w:tc>
          <w:tcPr>
            <w:tcW w:w="1705" w:type="dxa"/>
            <w:shd w:val="clear" w:color="auto" w:fill="auto"/>
            <w:vAlign w:val="bottom"/>
          </w:tcPr>
          <w:p w:rsidR="00BD22FA" w:rsidRPr="00410EDF" w:rsidRDefault="00BD22FA" w:rsidP="00C625DB">
            <w:pPr>
              <w:spacing w:after="0" w:line="240" w:lineRule="auto"/>
              <w:jc w:val="center"/>
              <w:rPr>
                <w:rFonts w:ascii="Arial" w:hAnsi="Arial" w:cs="Arial"/>
                <w:sz w:val="24"/>
                <w:szCs w:val="24"/>
              </w:rPr>
            </w:pPr>
            <w:r w:rsidRPr="00410EDF">
              <w:rPr>
                <w:rFonts w:ascii="Arial" w:hAnsi="Arial" w:cs="Arial"/>
                <w:sz w:val="24"/>
                <w:szCs w:val="24"/>
              </w:rPr>
              <w:t>208.60</w:t>
            </w:r>
          </w:p>
        </w:tc>
      </w:tr>
    </w:tbl>
    <w:p w:rsidR="00F065B7" w:rsidRPr="00410EDF" w:rsidRDefault="00F065B7" w:rsidP="00C625DB">
      <w:pPr>
        <w:spacing w:after="0" w:line="240" w:lineRule="auto"/>
        <w:rPr>
          <w:rFonts w:ascii="Arial" w:hAnsi="Arial" w:cs="Arial"/>
          <w:b/>
          <w:sz w:val="24"/>
          <w:szCs w:val="24"/>
        </w:rPr>
      </w:pPr>
    </w:p>
    <w:p w:rsidR="00F065B7" w:rsidRPr="00410EDF" w:rsidRDefault="00F065B7" w:rsidP="00C625DB">
      <w:pPr>
        <w:spacing w:after="0" w:line="240" w:lineRule="auto"/>
        <w:rPr>
          <w:rFonts w:ascii="Arial" w:hAnsi="Arial" w:cs="Arial"/>
          <w:b/>
          <w:sz w:val="24"/>
          <w:szCs w:val="24"/>
        </w:rPr>
      </w:pPr>
    </w:p>
    <w:p w:rsidR="00BD22FA" w:rsidRPr="00410EDF" w:rsidRDefault="00BD22FA" w:rsidP="0029217B">
      <w:pPr>
        <w:spacing w:after="0" w:line="240" w:lineRule="auto"/>
        <w:jc w:val="center"/>
        <w:rPr>
          <w:rFonts w:ascii="Arial" w:hAnsi="Arial" w:cs="Arial"/>
          <w:b/>
          <w:sz w:val="24"/>
          <w:szCs w:val="24"/>
        </w:rPr>
      </w:pPr>
      <w:r w:rsidRPr="00410EDF">
        <w:rPr>
          <w:rFonts w:ascii="Arial" w:hAnsi="Arial" w:cs="Arial"/>
          <w:noProof/>
          <w:lang w:eastAsia="ro-RO"/>
        </w:rPr>
        <w:drawing>
          <wp:inline distT="0" distB="0" distL="0" distR="0">
            <wp:extent cx="4810125" cy="3206750"/>
            <wp:effectExtent l="0" t="0" r="0" b="0"/>
            <wp:docPr id="137"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D22FA" w:rsidRPr="00410EDF" w:rsidRDefault="00BD22FA" w:rsidP="00C625DB">
      <w:pPr>
        <w:spacing w:after="0" w:line="240" w:lineRule="auto"/>
        <w:rPr>
          <w:rFonts w:ascii="Arial" w:hAnsi="Arial" w:cs="Arial"/>
          <w:b/>
          <w:sz w:val="24"/>
          <w:szCs w:val="24"/>
        </w:rPr>
      </w:pPr>
    </w:p>
    <w:p w:rsidR="00F065B7" w:rsidRPr="00410EDF" w:rsidRDefault="00F065B7" w:rsidP="00C625DB">
      <w:pPr>
        <w:spacing w:after="0" w:line="240" w:lineRule="auto"/>
        <w:rPr>
          <w:rFonts w:ascii="Arial" w:hAnsi="Arial" w:cs="Arial"/>
          <w:sz w:val="24"/>
          <w:szCs w:val="24"/>
        </w:rPr>
      </w:pPr>
    </w:p>
    <w:p w:rsidR="0029217B" w:rsidRPr="00410EDF" w:rsidRDefault="0029217B" w:rsidP="0029217B">
      <w:pPr>
        <w:spacing w:after="0" w:line="240" w:lineRule="auto"/>
        <w:rPr>
          <w:rFonts w:ascii="Arial" w:hAnsi="Arial" w:cs="Arial"/>
          <w:b/>
          <w:sz w:val="24"/>
          <w:szCs w:val="24"/>
        </w:rPr>
      </w:pPr>
      <w:r>
        <w:rPr>
          <w:rFonts w:ascii="Arial" w:hAnsi="Arial" w:cs="Arial"/>
          <w:sz w:val="24"/>
          <w:szCs w:val="24"/>
        </w:rPr>
        <w:t xml:space="preserve">               </w:t>
      </w:r>
      <w:r w:rsidRPr="00410EDF">
        <w:rPr>
          <w:rFonts w:ascii="Arial" w:hAnsi="Arial" w:cs="Arial"/>
          <w:sz w:val="24"/>
          <w:szCs w:val="24"/>
        </w:rPr>
        <w:t>Fig VII.1.1.10 Evoluția cantităților de deșeuri municipale generate și necolectate</w:t>
      </w:r>
    </w:p>
    <w:p w:rsidR="00BD22FA" w:rsidRPr="00410EDF" w:rsidRDefault="00BD22FA" w:rsidP="00C625DB">
      <w:pPr>
        <w:spacing w:after="0" w:line="240" w:lineRule="auto"/>
        <w:rPr>
          <w:rFonts w:ascii="Arial" w:hAnsi="Arial" w:cs="Arial"/>
          <w:sz w:val="24"/>
          <w:szCs w:val="24"/>
        </w:rPr>
      </w:pPr>
    </w:p>
    <w:p w:rsidR="00BD22FA" w:rsidRPr="00410EDF" w:rsidRDefault="00BD22FA"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lastRenderedPageBreak/>
        <w:t xml:space="preserve">Tabel VII.1.1.11 Evoluția </w:t>
      </w:r>
      <w:r w:rsidRPr="00410EDF">
        <w:rPr>
          <w:rFonts w:ascii="Arial" w:eastAsia="Calibri" w:hAnsi="Arial" w:cs="Arial"/>
          <w:sz w:val="24"/>
          <w:szCs w:val="24"/>
        </w:rPr>
        <w:t>gradului de acoperire cu servicii de salu</w:t>
      </w:r>
      <w:r w:rsidR="007C1699">
        <w:rPr>
          <w:rFonts w:ascii="Arial" w:eastAsia="Calibri" w:hAnsi="Arial" w:cs="Arial"/>
          <w:sz w:val="24"/>
          <w:szCs w:val="24"/>
        </w:rPr>
        <w:t>BR</w:t>
      </w:r>
      <w:r w:rsidRPr="00410EDF">
        <w:rPr>
          <w:rFonts w:ascii="Arial" w:eastAsia="Calibri" w:hAnsi="Arial" w:cs="Arial"/>
          <w:sz w:val="24"/>
          <w:szCs w:val="24"/>
        </w:rPr>
        <w:t>itate pentru deservirea populaţiei</w:t>
      </w:r>
    </w:p>
    <w:p w:rsidR="00F065B7" w:rsidRPr="00410EDF" w:rsidRDefault="00F065B7" w:rsidP="00C625DB">
      <w:pPr>
        <w:spacing w:after="0" w:line="240" w:lineRule="auto"/>
        <w:rPr>
          <w:rFonts w:ascii="Arial" w:hAnsi="Arial" w:cs="Arial"/>
          <w:b/>
          <w:sz w:val="24"/>
          <w:szCs w:val="24"/>
        </w:rPr>
      </w:pPr>
    </w:p>
    <w:tbl>
      <w:tblPr>
        <w:tblW w:w="0" w:type="auto"/>
        <w:jc w:val="center"/>
        <w:tblInd w:w="2217"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1E0"/>
      </w:tblPr>
      <w:tblGrid>
        <w:gridCol w:w="1984"/>
        <w:gridCol w:w="2042"/>
        <w:gridCol w:w="1903"/>
        <w:gridCol w:w="1705"/>
      </w:tblGrid>
      <w:tr w:rsidR="00F065B7" w:rsidRPr="00410EDF" w:rsidTr="008914B8">
        <w:trPr>
          <w:jc w:val="center"/>
        </w:trPr>
        <w:tc>
          <w:tcPr>
            <w:tcW w:w="1984" w:type="dxa"/>
            <w:shd w:val="clear" w:color="auto" w:fill="EEECE1" w:themeFill="background2"/>
          </w:tcPr>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caps/>
                <w:sz w:val="24"/>
                <w:szCs w:val="24"/>
              </w:rPr>
              <w:t>anul</w:t>
            </w:r>
          </w:p>
        </w:tc>
        <w:tc>
          <w:tcPr>
            <w:tcW w:w="2042" w:type="dxa"/>
            <w:shd w:val="clear" w:color="auto" w:fill="EEECE1" w:themeFill="background2"/>
          </w:tcPr>
          <w:p w:rsidR="00F065B7" w:rsidRPr="00410EDF" w:rsidRDefault="00F065B7" w:rsidP="00C625DB">
            <w:pPr>
              <w:spacing w:after="0" w:line="240" w:lineRule="auto"/>
              <w:jc w:val="center"/>
              <w:rPr>
                <w:rFonts w:ascii="Arial" w:hAnsi="Arial" w:cs="Arial"/>
                <w:bCs/>
                <w:sz w:val="24"/>
                <w:szCs w:val="24"/>
              </w:rPr>
            </w:pPr>
            <w:r w:rsidRPr="00410EDF">
              <w:rPr>
                <w:rFonts w:ascii="Arial" w:hAnsi="Arial" w:cs="Arial"/>
                <w:bCs/>
                <w:sz w:val="24"/>
                <w:szCs w:val="24"/>
              </w:rPr>
              <w:t>T O T A L</w:t>
            </w:r>
          </w:p>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sz w:val="24"/>
                <w:szCs w:val="24"/>
              </w:rPr>
              <w:t>[ % ]</w:t>
            </w:r>
          </w:p>
        </w:tc>
        <w:tc>
          <w:tcPr>
            <w:tcW w:w="1903" w:type="dxa"/>
            <w:shd w:val="clear" w:color="auto" w:fill="EEECE1" w:themeFill="background2"/>
          </w:tcPr>
          <w:p w:rsidR="00F065B7" w:rsidRPr="00410EDF" w:rsidRDefault="00F065B7" w:rsidP="00C625DB">
            <w:pPr>
              <w:autoSpaceDE w:val="0"/>
              <w:autoSpaceDN w:val="0"/>
              <w:adjustRightInd w:val="0"/>
              <w:spacing w:after="0" w:line="240" w:lineRule="auto"/>
              <w:jc w:val="center"/>
              <w:rPr>
                <w:rFonts w:ascii="Arial" w:hAnsi="Arial" w:cs="Arial"/>
                <w:sz w:val="24"/>
                <w:szCs w:val="24"/>
              </w:rPr>
            </w:pPr>
            <w:r w:rsidRPr="00410EDF">
              <w:rPr>
                <w:rFonts w:ascii="Arial" w:hAnsi="Arial" w:cs="Arial"/>
                <w:sz w:val="24"/>
                <w:szCs w:val="24"/>
              </w:rPr>
              <w:t>URBAN</w:t>
            </w:r>
          </w:p>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sz w:val="24"/>
                <w:szCs w:val="24"/>
              </w:rPr>
              <w:t>[ % ]</w:t>
            </w:r>
          </w:p>
        </w:tc>
        <w:tc>
          <w:tcPr>
            <w:tcW w:w="1705" w:type="dxa"/>
            <w:shd w:val="clear" w:color="auto" w:fill="EEECE1" w:themeFill="background2"/>
          </w:tcPr>
          <w:p w:rsidR="00F065B7" w:rsidRPr="00410EDF" w:rsidRDefault="00F065B7" w:rsidP="00C625DB">
            <w:pPr>
              <w:autoSpaceDE w:val="0"/>
              <w:autoSpaceDN w:val="0"/>
              <w:adjustRightInd w:val="0"/>
              <w:spacing w:after="0" w:line="240" w:lineRule="auto"/>
              <w:jc w:val="center"/>
              <w:rPr>
                <w:rFonts w:ascii="Arial" w:hAnsi="Arial" w:cs="Arial"/>
                <w:sz w:val="24"/>
                <w:szCs w:val="24"/>
              </w:rPr>
            </w:pPr>
            <w:r w:rsidRPr="00410EDF">
              <w:rPr>
                <w:rFonts w:ascii="Arial" w:hAnsi="Arial" w:cs="Arial"/>
                <w:sz w:val="24"/>
                <w:szCs w:val="24"/>
              </w:rPr>
              <w:t>RURAL</w:t>
            </w:r>
          </w:p>
          <w:p w:rsidR="00F065B7" w:rsidRPr="00410EDF" w:rsidRDefault="00F065B7" w:rsidP="00C625DB">
            <w:pPr>
              <w:spacing w:after="0" w:line="240" w:lineRule="auto"/>
              <w:jc w:val="center"/>
              <w:rPr>
                <w:rFonts w:ascii="Arial" w:hAnsi="Arial" w:cs="Arial"/>
                <w:caps/>
                <w:sz w:val="24"/>
                <w:szCs w:val="24"/>
              </w:rPr>
            </w:pPr>
            <w:r w:rsidRPr="00410EDF">
              <w:rPr>
                <w:rFonts w:ascii="Arial" w:hAnsi="Arial" w:cs="Arial"/>
                <w:sz w:val="24"/>
                <w:szCs w:val="24"/>
              </w:rPr>
              <w:t>[ % ]</w:t>
            </w:r>
          </w:p>
        </w:tc>
      </w:tr>
      <w:tr w:rsidR="00F065B7" w:rsidRPr="00410EDF" w:rsidTr="008914B8">
        <w:trPr>
          <w:jc w:val="center"/>
        </w:trPr>
        <w:tc>
          <w:tcPr>
            <w:tcW w:w="198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2009</w:t>
            </w:r>
          </w:p>
        </w:tc>
        <w:tc>
          <w:tcPr>
            <w:tcW w:w="2042"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49,13</w:t>
            </w:r>
          </w:p>
        </w:tc>
        <w:tc>
          <w:tcPr>
            <w:tcW w:w="1903"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69,17</w:t>
            </w:r>
          </w:p>
        </w:tc>
        <w:tc>
          <w:tcPr>
            <w:tcW w:w="1705" w:type="dxa"/>
            <w:shd w:val="clear" w:color="auto" w:fill="auto"/>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11,90</w:t>
            </w:r>
          </w:p>
        </w:tc>
      </w:tr>
      <w:tr w:rsidR="00F065B7" w:rsidRPr="00410EDF" w:rsidTr="008914B8">
        <w:trPr>
          <w:jc w:val="center"/>
        </w:trPr>
        <w:tc>
          <w:tcPr>
            <w:tcW w:w="198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2010</w:t>
            </w:r>
          </w:p>
        </w:tc>
        <w:tc>
          <w:tcPr>
            <w:tcW w:w="2042"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58,26</w:t>
            </w:r>
          </w:p>
        </w:tc>
        <w:tc>
          <w:tcPr>
            <w:tcW w:w="1903"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67,63</w:t>
            </w:r>
          </w:p>
        </w:tc>
        <w:tc>
          <w:tcPr>
            <w:tcW w:w="1705" w:type="dxa"/>
            <w:shd w:val="clear" w:color="auto" w:fill="auto"/>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40,85</w:t>
            </w:r>
          </w:p>
        </w:tc>
      </w:tr>
      <w:tr w:rsidR="00F065B7" w:rsidRPr="00410EDF" w:rsidTr="008914B8">
        <w:trPr>
          <w:jc w:val="center"/>
        </w:trPr>
        <w:tc>
          <w:tcPr>
            <w:tcW w:w="198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2011</w:t>
            </w:r>
          </w:p>
        </w:tc>
        <w:tc>
          <w:tcPr>
            <w:tcW w:w="2042"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80,24</w:t>
            </w:r>
          </w:p>
        </w:tc>
        <w:tc>
          <w:tcPr>
            <w:tcW w:w="1903"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70,36</w:t>
            </w:r>
          </w:p>
        </w:tc>
        <w:tc>
          <w:tcPr>
            <w:tcW w:w="1705" w:type="dxa"/>
            <w:shd w:val="clear" w:color="auto" w:fill="auto"/>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96,60</w:t>
            </w:r>
          </w:p>
        </w:tc>
      </w:tr>
      <w:tr w:rsidR="00F065B7" w:rsidRPr="00410EDF" w:rsidTr="008914B8">
        <w:trPr>
          <w:jc w:val="center"/>
        </w:trPr>
        <w:tc>
          <w:tcPr>
            <w:tcW w:w="198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2012</w:t>
            </w:r>
          </w:p>
        </w:tc>
        <w:tc>
          <w:tcPr>
            <w:tcW w:w="2042"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93,67</w:t>
            </w:r>
          </w:p>
        </w:tc>
        <w:tc>
          <w:tcPr>
            <w:tcW w:w="1903" w:type="dxa"/>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91,88</w:t>
            </w:r>
          </w:p>
        </w:tc>
        <w:tc>
          <w:tcPr>
            <w:tcW w:w="1705" w:type="dxa"/>
            <w:shd w:val="clear" w:color="auto" w:fill="auto"/>
          </w:tcPr>
          <w:p w:rsidR="00F065B7" w:rsidRPr="00410EDF" w:rsidRDefault="00F065B7" w:rsidP="00C625DB">
            <w:pPr>
              <w:autoSpaceDE w:val="0"/>
              <w:autoSpaceDN w:val="0"/>
              <w:adjustRightInd w:val="0"/>
              <w:spacing w:after="0" w:line="240" w:lineRule="auto"/>
              <w:jc w:val="center"/>
              <w:rPr>
                <w:rFonts w:ascii="Arial" w:hAnsi="Arial" w:cs="Arial"/>
                <w:b/>
                <w:sz w:val="24"/>
                <w:szCs w:val="24"/>
              </w:rPr>
            </w:pPr>
            <w:r w:rsidRPr="00410EDF">
              <w:rPr>
                <w:rFonts w:ascii="Arial" w:hAnsi="Arial" w:cs="Arial"/>
                <w:sz w:val="24"/>
                <w:szCs w:val="24"/>
              </w:rPr>
              <w:t>96,96</w:t>
            </w:r>
          </w:p>
        </w:tc>
      </w:tr>
      <w:tr w:rsidR="00F065B7" w:rsidRPr="00410EDF" w:rsidTr="008914B8">
        <w:trPr>
          <w:jc w:val="center"/>
        </w:trPr>
        <w:tc>
          <w:tcPr>
            <w:tcW w:w="198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2013</w:t>
            </w:r>
          </w:p>
        </w:tc>
        <w:tc>
          <w:tcPr>
            <w:tcW w:w="2042"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92.26</w:t>
            </w:r>
          </w:p>
        </w:tc>
        <w:tc>
          <w:tcPr>
            <w:tcW w:w="19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88.75</w:t>
            </w:r>
          </w:p>
        </w:tc>
        <w:tc>
          <w:tcPr>
            <w:tcW w:w="1705" w:type="dxa"/>
            <w:shd w:val="clear" w:color="auto" w:fill="auto"/>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98.70</w:t>
            </w:r>
          </w:p>
        </w:tc>
      </w:tr>
      <w:tr w:rsidR="00F065B7" w:rsidRPr="00410EDF" w:rsidTr="008914B8">
        <w:trPr>
          <w:jc w:val="center"/>
        </w:trPr>
        <w:tc>
          <w:tcPr>
            <w:tcW w:w="1984" w:type="dxa"/>
            <w:shd w:val="clear" w:color="auto" w:fill="auto"/>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2014</w:t>
            </w:r>
          </w:p>
        </w:tc>
        <w:tc>
          <w:tcPr>
            <w:tcW w:w="2042"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87.10</w:t>
            </w:r>
          </w:p>
        </w:tc>
        <w:tc>
          <w:tcPr>
            <w:tcW w:w="1903" w:type="dxa"/>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87.90</w:t>
            </w:r>
          </w:p>
        </w:tc>
        <w:tc>
          <w:tcPr>
            <w:tcW w:w="1705" w:type="dxa"/>
            <w:shd w:val="clear" w:color="auto" w:fill="auto"/>
            <w:vAlign w:val="bottom"/>
          </w:tcPr>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sz w:val="24"/>
                <w:szCs w:val="24"/>
              </w:rPr>
              <w:t>85.90</w:t>
            </w:r>
          </w:p>
        </w:tc>
      </w:tr>
      <w:tr w:rsidR="00BD22FA" w:rsidRPr="00410EDF" w:rsidTr="008914B8">
        <w:trPr>
          <w:jc w:val="center"/>
        </w:trPr>
        <w:tc>
          <w:tcPr>
            <w:tcW w:w="1984" w:type="dxa"/>
            <w:shd w:val="clear" w:color="auto" w:fill="auto"/>
          </w:tcPr>
          <w:p w:rsidR="00BD22FA" w:rsidRPr="00410EDF" w:rsidRDefault="00BD22FA" w:rsidP="00C625DB">
            <w:pPr>
              <w:spacing w:after="0" w:line="240" w:lineRule="auto"/>
              <w:jc w:val="center"/>
              <w:rPr>
                <w:rFonts w:ascii="Arial" w:hAnsi="Arial" w:cs="Arial"/>
                <w:sz w:val="24"/>
                <w:szCs w:val="24"/>
              </w:rPr>
            </w:pPr>
            <w:r w:rsidRPr="00410EDF">
              <w:rPr>
                <w:rFonts w:ascii="Arial" w:hAnsi="Arial" w:cs="Arial"/>
                <w:sz w:val="24"/>
                <w:szCs w:val="24"/>
              </w:rPr>
              <w:t>2015</w:t>
            </w:r>
          </w:p>
        </w:tc>
        <w:tc>
          <w:tcPr>
            <w:tcW w:w="2042" w:type="dxa"/>
            <w:vAlign w:val="bottom"/>
          </w:tcPr>
          <w:p w:rsidR="00BD22FA" w:rsidRPr="00410EDF" w:rsidRDefault="00BD22FA" w:rsidP="00C625DB">
            <w:pPr>
              <w:spacing w:after="0" w:line="240" w:lineRule="auto"/>
              <w:jc w:val="center"/>
              <w:rPr>
                <w:rFonts w:ascii="Arial" w:hAnsi="Arial" w:cs="Arial"/>
                <w:sz w:val="24"/>
                <w:szCs w:val="24"/>
              </w:rPr>
            </w:pPr>
            <w:r w:rsidRPr="00410EDF">
              <w:rPr>
                <w:rFonts w:ascii="Arial" w:hAnsi="Arial" w:cs="Arial"/>
                <w:sz w:val="24"/>
                <w:szCs w:val="24"/>
              </w:rPr>
              <w:t>87.45</w:t>
            </w:r>
          </w:p>
        </w:tc>
        <w:tc>
          <w:tcPr>
            <w:tcW w:w="1903" w:type="dxa"/>
            <w:vAlign w:val="bottom"/>
          </w:tcPr>
          <w:p w:rsidR="00BD22FA" w:rsidRPr="00410EDF" w:rsidRDefault="00BD22FA" w:rsidP="00C625DB">
            <w:pPr>
              <w:spacing w:after="0" w:line="240" w:lineRule="auto"/>
              <w:jc w:val="center"/>
              <w:rPr>
                <w:rFonts w:ascii="Arial" w:hAnsi="Arial" w:cs="Arial"/>
                <w:sz w:val="24"/>
                <w:szCs w:val="24"/>
              </w:rPr>
            </w:pPr>
            <w:r w:rsidRPr="00410EDF">
              <w:rPr>
                <w:rFonts w:ascii="Arial" w:hAnsi="Arial" w:cs="Arial"/>
                <w:sz w:val="24"/>
                <w:szCs w:val="24"/>
              </w:rPr>
              <w:t>80.53</w:t>
            </w:r>
          </w:p>
        </w:tc>
        <w:tc>
          <w:tcPr>
            <w:tcW w:w="1705" w:type="dxa"/>
            <w:shd w:val="clear" w:color="auto" w:fill="auto"/>
            <w:vAlign w:val="bottom"/>
          </w:tcPr>
          <w:p w:rsidR="00BD22FA" w:rsidRPr="00410EDF" w:rsidRDefault="00BD22FA" w:rsidP="00C625DB">
            <w:pPr>
              <w:spacing w:after="0" w:line="240" w:lineRule="auto"/>
              <w:jc w:val="center"/>
              <w:rPr>
                <w:rFonts w:ascii="Arial" w:hAnsi="Arial" w:cs="Arial"/>
                <w:sz w:val="24"/>
                <w:szCs w:val="24"/>
              </w:rPr>
            </w:pPr>
            <w:r w:rsidRPr="00410EDF">
              <w:rPr>
                <w:rFonts w:ascii="Arial" w:hAnsi="Arial" w:cs="Arial"/>
                <w:sz w:val="24"/>
                <w:szCs w:val="24"/>
              </w:rPr>
              <w:t>98.77</w:t>
            </w:r>
          </w:p>
        </w:tc>
      </w:tr>
    </w:tbl>
    <w:p w:rsidR="00F065B7" w:rsidRPr="00410EDF" w:rsidRDefault="00F065B7" w:rsidP="00C625DB">
      <w:pPr>
        <w:spacing w:after="0" w:line="240" w:lineRule="auto"/>
        <w:rPr>
          <w:rFonts w:ascii="Arial" w:hAnsi="Arial" w:cs="Arial"/>
          <w:b/>
          <w:sz w:val="24"/>
          <w:szCs w:val="24"/>
        </w:rPr>
      </w:pPr>
    </w:p>
    <w:p w:rsidR="00500C7C" w:rsidRPr="00410EDF" w:rsidRDefault="00500C7C" w:rsidP="00C625DB">
      <w:pPr>
        <w:spacing w:after="0" w:line="240" w:lineRule="auto"/>
        <w:rPr>
          <w:rFonts w:ascii="Arial" w:eastAsia="Calibri" w:hAnsi="Arial" w:cs="Arial"/>
          <w:sz w:val="24"/>
          <w:szCs w:val="24"/>
        </w:rPr>
      </w:pPr>
    </w:p>
    <w:p w:rsidR="00500C7C" w:rsidRPr="00410EDF" w:rsidRDefault="00500C7C" w:rsidP="0029217B">
      <w:pPr>
        <w:spacing w:after="0" w:line="240" w:lineRule="auto"/>
        <w:jc w:val="center"/>
        <w:rPr>
          <w:rFonts w:ascii="Arial" w:hAnsi="Arial" w:cs="Arial"/>
          <w:sz w:val="24"/>
          <w:szCs w:val="24"/>
        </w:rPr>
      </w:pPr>
      <w:r w:rsidRPr="00410EDF">
        <w:rPr>
          <w:rFonts w:ascii="Arial" w:hAnsi="Arial" w:cs="Arial"/>
          <w:noProof/>
          <w:lang w:eastAsia="ro-RO"/>
        </w:rPr>
        <w:drawing>
          <wp:inline distT="0" distB="0" distL="0" distR="0">
            <wp:extent cx="5695950" cy="2436167"/>
            <wp:effectExtent l="0" t="0" r="0" b="0"/>
            <wp:docPr id="138"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9217B" w:rsidRPr="00410EDF" w:rsidRDefault="0029217B" w:rsidP="0029217B">
      <w:pPr>
        <w:spacing w:after="0" w:line="240" w:lineRule="auto"/>
        <w:jc w:val="center"/>
        <w:rPr>
          <w:rFonts w:ascii="Arial" w:eastAsia="Calibri" w:hAnsi="Arial" w:cs="Arial"/>
          <w:sz w:val="24"/>
          <w:szCs w:val="24"/>
        </w:rPr>
      </w:pPr>
      <w:r w:rsidRPr="00410EDF">
        <w:rPr>
          <w:rFonts w:ascii="Arial" w:hAnsi="Arial" w:cs="Arial"/>
          <w:sz w:val="24"/>
          <w:szCs w:val="24"/>
        </w:rPr>
        <w:t xml:space="preserve">Fig.  VII.1.1.11. Evoluția </w:t>
      </w:r>
      <w:r w:rsidRPr="00410EDF">
        <w:rPr>
          <w:rFonts w:ascii="Arial" w:eastAsia="Calibri" w:hAnsi="Arial" w:cs="Arial"/>
          <w:sz w:val="24"/>
          <w:szCs w:val="24"/>
        </w:rPr>
        <w:t>gradului de acoperire cu servicii de salu</w:t>
      </w:r>
      <w:r>
        <w:rPr>
          <w:rFonts w:ascii="Arial" w:eastAsia="Calibri" w:hAnsi="Arial" w:cs="Arial"/>
          <w:sz w:val="24"/>
          <w:szCs w:val="24"/>
        </w:rPr>
        <w:t>BR</w:t>
      </w:r>
      <w:r w:rsidRPr="00410EDF">
        <w:rPr>
          <w:rFonts w:ascii="Arial" w:eastAsia="Calibri" w:hAnsi="Arial" w:cs="Arial"/>
          <w:sz w:val="24"/>
          <w:szCs w:val="24"/>
        </w:rPr>
        <w:t>itate pentru deservirea populaţiei</w:t>
      </w:r>
    </w:p>
    <w:p w:rsidR="00F065B7" w:rsidRPr="00410EDF" w:rsidRDefault="00F065B7" w:rsidP="00C625DB">
      <w:pPr>
        <w:spacing w:after="0" w:line="240" w:lineRule="auto"/>
        <w:rPr>
          <w:rFonts w:ascii="Arial" w:hAnsi="Arial" w:cs="Arial"/>
          <w:b/>
          <w:sz w:val="24"/>
          <w:szCs w:val="24"/>
        </w:rPr>
      </w:pPr>
    </w:p>
    <w:p w:rsidR="00F065B7" w:rsidRPr="00410EDF" w:rsidRDefault="00F065B7" w:rsidP="00C625DB">
      <w:pPr>
        <w:spacing w:after="0" w:line="240" w:lineRule="auto"/>
        <w:rPr>
          <w:rFonts w:ascii="Arial" w:hAnsi="Arial" w:cs="Arial"/>
          <w:b/>
          <w:sz w:val="24"/>
          <w:szCs w:val="24"/>
        </w:rPr>
      </w:pPr>
      <w:r w:rsidRPr="00410EDF">
        <w:rPr>
          <w:rFonts w:ascii="Arial" w:hAnsi="Arial" w:cs="Arial"/>
          <w:b/>
          <w:sz w:val="24"/>
          <w:szCs w:val="24"/>
        </w:rPr>
        <w:t>Colectarea selectivă și reciclarea deșeurilor</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În conformitate cu prevederile Legii 211/2011 privind deșeurile, art. 17, alin1) “ utoritățile administrației publice locale au obligația ca, începând cu anul 2012, să asigure colectarea separată pentru cel puțin următoarele tipuri de deșeuri: hârtie, metal, plastic și sticlă.”</w:t>
      </w:r>
    </w:p>
    <w:p w:rsidR="00F065B7" w:rsidRPr="00410EDF" w:rsidRDefault="00F065B7" w:rsidP="00C625DB">
      <w:pPr>
        <w:spacing w:after="0" w:line="240" w:lineRule="auto"/>
        <w:ind w:firstLine="708"/>
        <w:jc w:val="both"/>
        <w:rPr>
          <w:rFonts w:ascii="Arial" w:hAnsi="Arial" w:cs="Arial"/>
          <w:b/>
          <w:sz w:val="24"/>
          <w:szCs w:val="24"/>
          <w:lang w:val="it-IT"/>
        </w:rPr>
      </w:pPr>
      <w:r w:rsidRPr="00410EDF">
        <w:rPr>
          <w:rFonts w:ascii="Arial" w:hAnsi="Arial" w:cs="Arial"/>
          <w:sz w:val="24"/>
          <w:szCs w:val="24"/>
        </w:rPr>
        <w:t>Pentru a reduce cantităţile de deşeuri care trebuie eliminate prin depozitare, având în vedere şi dificultăţile practice create prin sistarea depozitării pe depozite neconforme (depozitul Ianca și spațiile neecologice de depozitare rurale) autorităţi publice locale au implementat diverse soluții pentru  colectarea selectivă a deşeurilor reciclabile, recurgând, în unele cazuri şi la selectarea din amestec a acestora. Colectarea selectiva la sursă a deşeurilor menajere de la populaţie se</w:t>
      </w:r>
      <w:r w:rsidRPr="00410EDF">
        <w:rPr>
          <w:rFonts w:ascii="Arial" w:hAnsi="Arial" w:cs="Arial"/>
          <w:sz w:val="24"/>
          <w:szCs w:val="24"/>
          <w:lang w:val="it-IT"/>
        </w:rPr>
        <w:t xml:space="preserve"> realizează încă în mică măsură. Prin diverse proiecte implementate anterior anului 2014 în localitățile din județul </w:t>
      </w:r>
      <w:r w:rsidR="00217620">
        <w:rPr>
          <w:rFonts w:ascii="Arial" w:hAnsi="Arial" w:cs="Arial"/>
          <w:sz w:val="24"/>
          <w:szCs w:val="24"/>
          <w:lang w:val="it-IT"/>
        </w:rPr>
        <w:t>Brăila</w:t>
      </w:r>
      <w:r w:rsidRPr="00410EDF">
        <w:rPr>
          <w:rFonts w:ascii="Arial" w:hAnsi="Arial" w:cs="Arial"/>
          <w:sz w:val="24"/>
          <w:szCs w:val="24"/>
          <w:lang w:val="it-IT"/>
        </w:rPr>
        <w:t xml:space="preserve"> s-au asigurat și </w:t>
      </w:r>
      <w:r w:rsidR="007B25D9" w:rsidRPr="00410EDF">
        <w:rPr>
          <w:rFonts w:ascii="Arial" w:hAnsi="Arial" w:cs="Arial"/>
          <w:sz w:val="24"/>
          <w:szCs w:val="24"/>
          <w:lang w:val="it-IT"/>
        </w:rPr>
        <w:t xml:space="preserve">unele </w:t>
      </w:r>
      <w:r w:rsidRPr="00410EDF">
        <w:rPr>
          <w:rFonts w:ascii="Arial" w:hAnsi="Arial" w:cs="Arial"/>
          <w:sz w:val="24"/>
          <w:szCs w:val="24"/>
          <w:lang w:val="it-IT"/>
        </w:rPr>
        <w:t xml:space="preserve">dotări necesare pentru </w:t>
      </w:r>
      <w:r w:rsidRPr="00410EDF">
        <w:rPr>
          <w:rFonts w:ascii="Arial" w:hAnsi="Arial" w:cs="Arial"/>
          <w:sz w:val="24"/>
          <w:szCs w:val="24"/>
        </w:rPr>
        <w:t>colectare selectivă, respectiv europubele sau containere, amplasate în special în cartierele de blocuri sau în unele spații publice din cartiere (piețe, parcuri).</w:t>
      </w:r>
    </w:p>
    <w:p w:rsidR="00C629D9"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Orașele Făurei și Însurăței au implementat în perioada 2008-2009 proiectele PHARE “Reabilitarea sistemului de colectare şi transport a deşeurilor şi extinderea sistemului de colectarea selectivă în oraşul Făurei, judeţul </w:t>
      </w:r>
      <w:r w:rsidR="00217620">
        <w:rPr>
          <w:rFonts w:ascii="Arial" w:hAnsi="Arial" w:cs="Arial"/>
          <w:sz w:val="24"/>
          <w:szCs w:val="24"/>
        </w:rPr>
        <w:t>Brăila</w:t>
      </w:r>
      <w:r w:rsidRPr="00410EDF">
        <w:rPr>
          <w:rFonts w:ascii="Arial" w:hAnsi="Arial" w:cs="Arial"/>
          <w:sz w:val="24"/>
          <w:szCs w:val="24"/>
        </w:rPr>
        <w:t xml:space="preserve">” și respectiv “Implementarea unui sistem de management al deşeurilor în oraşul Însurăţei şi satele componente”  prin care. </w:t>
      </w:r>
      <w:r w:rsidR="00C629D9" w:rsidRPr="00410EDF">
        <w:rPr>
          <w:rFonts w:ascii="Arial" w:hAnsi="Arial" w:cs="Arial"/>
          <w:sz w:val="24"/>
          <w:szCs w:val="24"/>
        </w:rPr>
        <w:t>Pentru anul 2015, pentru aceste localități procentul de deșeuri colectate selectiv din deșeurile generate reprezintă 2,2 % (Făurei) și 19 % (Însurăței).</w:t>
      </w:r>
    </w:p>
    <w:p w:rsidR="00C629D9" w:rsidRPr="00410EDF" w:rsidRDefault="007B25D9" w:rsidP="00C625DB">
      <w:pPr>
        <w:spacing w:after="0" w:line="240" w:lineRule="auto"/>
        <w:ind w:firstLine="708"/>
        <w:jc w:val="both"/>
        <w:rPr>
          <w:rFonts w:ascii="Arial" w:hAnsi="Arial" w:cs="Arial"/>
          <w:sz w:val="24"/>
          <w:szCs w:val="24"/>
        </w:rPr>
      </w:pPr>
      <w:r w:rsidRPr="00410EDF">
        <w:rPr>
          <w:rFonts w:ascii="Arial" w:hAnsi="Arial" w:cs="Arial"/>
          <w:sz w:val="24"/>
          <w:szCs w:val="24"/>
        </w:rPr>
        <w:t>S</w:t>
      </w:r>
      <w:r w:rsidR="00C629D9" w:rsidRPr="00410EDF">
        <w:rPr>
          <w:rFonts w:ascii="Arial" w:hAnsi="Arial" w:cs="Arial"/>
          <w:sz w:val="24"/>
          <w:szCs w:val="24"/>
        </w:rPr>
        <w:t xml:space="preserve">ituația </w:t>
      </w:r>
      <w:r w:rsidRPr="00410EDF">
        <w:rPr>
          <w:rFonts w:ascii="Arial" w:hAnsi="Arial" w:cs="Arial"/>
          <w:sz w:val="24"/>
          <w:szCs w:val="24"/>
        </w:rPr>
        <w:t>dotărilor existente pentru colectare separată a deșeurilor de ambalaje (</w:t>
      </w:r>
      <w:r w:rsidR="00C629D9" w:rsidRPr="00410EDF">
        <w:rPr>
          <w:rFonts w:ascii="Arial" w:hAnsi="Arial" w:cs="Arial"/>
          <w:sz w:val="24"/>
          <w:szCs w:val="24"/>
        </w:rPr>
        <w:t>containere</w:t>
      </w:r>
      <w:r w:rsidRPr="00410EDF">
        <w:rPr>
          <w:rFonts w:ascii="Arial" w:hAnsi="Arial" w:cs="Arial"/>
          <w:sz w:val="24"/>
          <w:szCs w:val="24"/>
        </w:rPr>
        <w:t xml:space="preserve">) </w:t>
      </w:r>
      <w:r w:rsidR="00C629D9" w:rsidRPr="00410EDF">
        <w:rPr>
          <w:rFonts w:ascii="Arial" w:hAnsi="Arial" w:cs="Arial"/>
          <w:sz w:val="24"/>
          <w:szCs w:val="24"/>
        </w:rPr>
        <w:t xml:space="preserve">se prezintă astfel: </w:t>
      </w:r>
      <w:r w:rsidRPr="00410EDF">
        <w:rPr>
          <w:rFonts w:ascii="Arial" w:hAnsi="Arial" w:cs="Arial"/>
          <w:sz w:val="24"/>
          <w:szCs w:val="24"/>
        </w:rPr>
        <w:t xml:space="preserve">Municipiul </w:t>
      </w:r>
      <w:r w:rsidR="00217620">
        <w:rPr>
          <w:rFonts w:ascii="Arial" w:hAnsi="Arial" w:cs="Arial"/>
          <w:sz w:val="24"/>
          <w:szCs w:val="24"/>
        </w:rPr>
        <w:t>Brăila</w:t>
      </w:r>
      <w:r w:rsidR="00C629D9" w:rsidRPr="00410EDF">
        <w:rPr>
          <w:rFonts w:ascii="Arial" w:hAnsi="Arial" w:cs="Arial"/>
          <w:sz w:val="24"/>
          <w:szCs w:val="24"/>
        </w:rPr>
        <w:t xml:space="preserve"> 155, Ianca 36, Făurei 160, Însurăței 120 (total </w:t>
      </w:r>
      <w:r w:rsidR="00C629D9" w:rsidRPr="00410EDF">
        <w:rPr>
          <w:rFonts w:ascii="Arial" w:hAnsi="Arial" w:cs="Arial"/>
          <w:sz w:val="24"/>
          <w:szCs w:val="24"/>
        </w:rPr>
        <w:lastRenderedPageBreak/>
        <w:t>471 containere). Cantitatea total colectată și valorificată a fost de 79,9 t, situația fiind prezentată în tabelul următor:</w:t>
      </w:r>
    </w:p>
    <w:p w:rsidR="00F065B7" w:rsidRPr="00410EDF" w:rsidRDefault="00F065B7" w:rsidP="00C625DB">
      <w:pPr>
        <w:spacing w:after="0" w:line="240" w:lineRule="auto"/>
        <w:rPr>
          <w:rFonts w:ascii="Arial" w:hAnsi="Arial" w:cs="Arial"/>
          <w:b/>
          <w:sz w:val="24"/>
          <w:szCs w:val="24"/>
        </w:rPr>
      </w:pPr>
    </w:p>
    <w:p w:rsidR="00F065B7" w:rsidRPr="00410EDF" w:rsidRDefault="00F065B7" w:rsidP="00C625DB">
      <w:pPr>
        <w:spacing w:after="0" w:line="240" w:lineRule="auto"/>
        <w:rPr>
          <w:rFonts w:ascii="Arial" w:hAnsi="Arial" w:cs="Arial"/>
          <w:sz w:val="24"/>
          <w:szCs w:val="24"/>
        </w:rPr>
      </w:pPr>
      <w:r w:rsidRPr="00410EDF">
        <w:rPr>
          <w:rFonts w:ascii="Arial" w:hAnsi="Arial" w:cs="Arial"/>
          <w:sz w:val="24"/>
          <w:szCs w:val="24"/>
        </w:rPr>
        <w:t xml:space="preserve">Tabel VII.1.1.12 Dotări de colectare selectivă a deşeurilor municipale </w:t>
      </w:r>
      <w:r w:rsidR="00C629D9" w:rsidRPr="00410EDF">
        <w:rPr>
          <w:rFonts w:ascii="Arial" w:hAnsi="Arial" w:cs="Arial"/>
          <w:sz w:val="24"/>
          <w:szCs w:val="24"/>
        </w:rPr>
        <w:t>–</w:t>
      </w:r>
      <w:r w:rsidRPr="00410EDF">
        <w:rPr>
          <w:rFonts w:ascii="Arial" w:hAnsi="Arial" w:cs="Arial"/>
          <w:sz w:val="24"/>
          <w:szCs w:val="24"/>
        </w:rPr>
        <w:t xml:space="preserve"> 201</w:t>
      </w:r>
      <w:r w:rsidR="00C629D9" w:rsidRPr="00410EDF">
        <w:rPr>
          <w:rFonts w:ascii="Arial" w:hAnsi="Arial" w:cs="Arial"/>
          <w:sz w:val="24"/>
          <w:szCs w:val="24"/>
        </w:rPr>
        <w:t>5</w:t>
      </w:r>
    </w:p>
    <w:tbl>
      <w:tblPr>
        <w:tblW w:w="10065" w:type="dxa"/>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4A0"/>
      </w:tblPr>
      <w:tblGrid>
        <w:gridCol w:w="1383"/>
        <w:gridCol w:w="2297"/>
        <w:gridCol w:w="2132"/>
        <w:gridCol w:w="2410"/>
        <w:gridCol w:w="1843"/>
      </w:tblGrid>
      <w:tr w:rsidR="00C629D9" w:rsidRPr="00410EDF" w:rsidTr="006157E7">
        <w:tc>
          <w:tcPr>
            <w:tcW w:w="1383" w:type="dxa"/>
            <w:shd w:val="clear" w:color="auto" w:fill="E0E0E0"/>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Localitatea</w:t>
            </w:r>
          </w:p>
        </w:tc>
        <w:tc>
          <w:tcPr>
            <w:tcW w:w="2297" w:type="dxa"/>
            <w:shd w:val="clear" w:color="auto" w:fill="E0E0E0"/>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Fracţii de deşeuri colectate selectiv</w:t>
            </w:r>
          </w:p>
        </w:tc>
        <w:tc>
          <w:tcPr>
            <w:tcW w:w="2132" w:type="dxa"/>
            <w:shd w:val="clear" w:color="auto" w:fill="E0E0E0"/>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 xml:space="preserve">Număr containere </w:t>
            </w:r>
          </w:p>
        </w:tc>
        <w:tc>
          <w:tcPr>
            <w:tcW w:w="2410" w:type="dxa"/>
            <w:shd w:val="clear" w:color="auto" w:fill="E0E0E0"/>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Cantitate colectată</w:t>
            </w:r>
          </w:p>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t</w:t>
            </w:r>
          </w:p>
        </w:tc>
        <w:tc>
          <w:tcPr>
            <w:tcW w:w="1843" w:type="dxa"/>
            <w:shd w:val="clear" w:color="auto" w:fill="E0E0E0"/>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Cantitate valorificată</w:t>
            </w:r>
          </w:p>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t</w:t>
            </w:r>
          </w:p>
        </w:tc>
      </w:tr>
      <w:tr w:rsidR="00C629D9" w:rsidRPr="00410EDF" w:rsidTr="006157E7">
        <w:tc>
          <w:tcPr>
            <w:tcW w:w="1383" w:type="dxa"/>
            <w:vMerge w:val="restart"/>
            <w:vAlign w:val="center"/>
            <w:hideMark/>
          </w:tcPr>
          <w:p w:rsidR="00C629D9" w:rsidRPr="00410EDF" w:rsidRDefault="00217620" w:rsidP="00C625DB">
            <w:pPr>
              <w:spacing w:after="0" w:line="240" w:lineRule="auto"/>
              <w:jc w:val="center"/>
              <w:rPr>
                <w:rFonts w:ascii="Arial" w:hAnsi="Arial" w:cs="Arial"/>
                <w:sz w:val="24"/>
                <w:szCs w:val="24"/>
              </w:rPr>
            </w:pPr>
            <w:r>
              <w:rPr>
                <w:rFonts w:ascii="Arial" w:hAnsi="Arial" w:cs="Arial"/>
                <w:sz w:val="24"/>
                <w:szCs w:val="24"/>
              </w:rPr>
              <w:t>Brăila</w:t>
            </w:r>
          </w:p>
        </w:tc>
        <w:tc>
          <w:tcPr>
            <w:tcW w:w="2297"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PET / plastic</w:t>
            </w:r>
          </w:p>
        </w:tc>
        <w:tc>
          <w:tcPr>
            <w:tcW w:w="2132"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 xml:space="preserve">78 </w:t>
            </w:r>
          </w:p>
        </w:tc>
        <w:tc>
          <w:tcPr>
            <w:tcW w:w="2410"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9,76</w:t>
            </w:r>
          </w:p>
        </w:tc>
        <w:tc>
          <w:tcPr>
            <w:tcW w:w="1843"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9,76</w:t>
            </w:r>
          </w:p>
        </w:tc>
      </w:tr>
      <w:tr w:rsidR="00C629D9" w:rsidRPr="00410EDF" w:rsidTr="006157E7">
        <w:tc>
          <w:tcPr>
            <w:tcW w:w="1383" w:type="dxa"/>
            <w:vMerge/>
            <w:vAlign w:val="center"/>
            <w:hideMark/>
          </w:tcPr>
          <w:p w:rsidR="00C629D9" w:rsidRPr="00410EDF" w:rsidRDefault="00C629D9" w:rsidP="00C625DB">
            <w:pPr>
              <w:spacing w:after="0" w:line="240" w:lineRule="auto"/>
              <w:jc w:val="center"/>
              <w:rPr>
                <w:rFonts w:ascii="Arial" w:hAnsi="Arial" w:cs="Arial"/>
                <w:sz w:val="24"/>
                <w:szCs w:val="24"/>
              </w:rPr>
            </w:pPr>
          </w:p>
        </w:tc>
        <w:tc>
          <w:tcPr>
            <w:tcW w:w="2297"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hârtie şi carton</w:t>
            </w:r>
          </w:p>
        </w:tc>
        <w:tc>
          <w:tcPr>
            <w:tcW w:w="2132" w:type="dxa"/>
            <w:vAlign w:val="center"/>
            <w:hideMark/>
          </w:tcPr>
          <w:p w:rsidR="007B25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 xml:space="preserve">77 </w:t>
            </w:r>
          </w:p>
        </w:tc>
        <w:tc>
          <w:tcPr>
            <w:tcW w:w="2410"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54,02</w:t>
            </w:r>
          </w:p>
        </w:tc>
        <w:tc>
          <w:tcPr>
            <w:tcW w:w="1843"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54,02</w:t>
            </w:r>
          </w:p>
        </w:tc>
      </w:tr>
      <w:tr w:rsidR="00C629D9" w:rsidRPr="00410EDF" w:rsidTr="006157E7">
        <w:tc>
          <w:tcPr>
            <w:tcW w:w="1383" w:type="dxa"/>
            <w:vMerge w:val="restart"/>
            <w:vAlign w:val="center"/>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Ianca</w:t>
            </w:r>
          </w:p>
          <w:p w:rsidR="00C629D9" w:rsidRPr="00410EDF" w:rsidRDefault="00C629D9" w:rsidP="00C625DB">
            <w:pPr>
              <w:spacing w:after="0" w:line="240" w:lineRule="auto"/>
              <w:jc w:val="center"/>
              <w:rPr>
                <w:rFonts w:ascii="Arial" w:hAnsi="Arial" w:cs="Arial"/>
                <w:sz w:val="24"/>
                <w:szCs w:val="24"/>
              </w:rPr>
            </w:pPr>
          </w:p>
        </w:tc>
        <w:tc>
          <w:tcPr>
            <w:tcW w:w="2297"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PET / plastic</w:t>
            </w:r>
          </w:p>
        </w:tc>
        <w:tc>
          <w:tcPr>
            <w:tcW w:w="2132" w:type="dxa"/>
            <w:vAlign w:val="center"/>
            <w:hideMark/>
          </w:tcPr>
          <w:p w:rsidR="00C629D9" w:rsidRPr="00410EDF" w:rsidRDefault="007B25D9" w:rsidP="00C625DB">
            <w:pPr>
              <w:spacing w:after="0" w:line="240" w:lineRule="auto"/>
              <w:jc w:val="center"/>
              <w:rPr>
                <w:rFonts w:ascii="Arial" w:hAnsi="Arial" w:cs="Arial"/>
                <w:sz w:val="24"/>
                <w:szCs w:val="24"/>
              </w:rPr>
            </w:pPr>
            <w:r w:rsidRPr="00410EDF">
              <w:rPr>
                <w:rFonts w:ascii="Arial" w:hAnsi="Arial" w:cs="Arial"/>
                <w:sz w:val="24"/>
                <w:szCs w:val="24"/>
              </w:rPr>
              <w:t xml:space="preserve">28 </w:t>
            </w:r>
          </w:p>
        </w:tc>
        <w:tc>
          <w:tcPr>
            <w:tcW w:w="2410"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0,72</w:t>
            </w:r>
          </w:p>
        </w:tc>
        <w:tc>
          <w:tcPr>
            <w:tcW w:w="1843"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0,72</w:t>
            </w:r>
          </w:p>
        </w:tc>
      </w:tr>
      <w:tr w:rsidR="00C629D9" w:rsidRPr="00410EDF" w:rsidTr="006157E7">
        <w:tc>
          <w:tcPr>
            <w:tcW w:w="1383" w:type="dxa"/>
            <w:vMerge/>
            <w:vAlign w:val="center"/>
            <w:hideMark/>
          </w:tcPr>
          <w:p w:rsidR="00C629D9" w:rsidRPr="00410EDF" w:rsidRDefault="00C629D9" w:rsidP="00C625DB">
            <w:pPr>
              <w:spacing w:after="0" w:line="240" w:lineRule="auto"/>
              <w:jc w:val="center"/>
              <w:rPr>
                <w:rFonts w:ascii="Arial" w:hAnsi="Arial" w:cs="Arial"/>
                <w:sz w:val="24"/>
                <w:szCs w:val="24"/>
              </w:rPr>
            </w:pPr>
          </w:p>
        </w:tc>
        <w:tc>
          <w:tcPr>
            <w:tcW w:w="2297"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hârtie şi carton</w:t>
            </w:r>
          </w:p>
        </w:tc>
        <w:tc>
          <w:tcPr>
            <w:tcW w:w="2132" w:type="dxa"/>
            <w:vAlign w:val="center"/>
            <w:hideMark/>
          </w:tcPr>
          <w:p w:rsidR="00C629D9" w:rsidRPr="00410EDF" w:rsidRDefault="007B25D9" w:rsidP="00C625DB">
            <w:pPr>
              <w:spacing w:after="0" w:line="240" w:lineRule="auto"/>
              <w:jc w:val="center"/>
              <w:rPr>
                <w:rFonts w:ascii="Arial" w:hAnsi="Arial" w:cs="Arial"/>
                <w:sz w:val="24"/>
                <w:szCs w:val="24"/>
              </w:rPr>
            </w:pPr>
            <w:r w:rsidRPr="00410EDF">
              <w:rPr>
                <w:rFonts w:ascii="Arial" w:hAnsi="Arial" w:cs="Arial"/>
                <w:sz w:val="24"/>
                <w:szCs w:val="24"/>
              </w:rPr>
              <w:t xml:space="preserve">8 </w:t>
            </w:r>
          </w:p>
        </w:tc>
        <w:tc>
          <w:tcPr>
            <w:tcW w:w="2410"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1,00</w:t>
            </w:r>
          </w:p>
        </w:tc>
        <w:tc>
          <w:tcPr>
            <w:tcW w:w="1843"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1,00</w:t>
            </w:r>
          </w:p>
        </w:tc>
      </w:tr>
      <w:tr w:rsidR="00C629D9" w:rsidRPr="00410EDF" w:rsidTr="006157E7">
        <w:tc>
          <w:tcPr>
            <w:tcW w:w="1383" w:type="dxa"/>
            <w:vMerge w:val="restart"/>
            <w:vAlign w:val="center"/>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Făurei</w:t>
            </w:r>
          </w:p>
          <w:p w:rsidR="00C629D9" w:rsidRPr="00410EDF" w:rsidRDefault="00C629D9" w:rsidP="00C625DB">
            <w:pPr>
              <w:spacing w:after="0" w:line="240" w:lineRule="auto"/>
              <w:jc w:val="center"/>
              <w:rPr>
                <w:rFonts w:ascii="Arial" w:hAnsi="Arial" w:cs="Arial"/>
                <w:sz w:val="24"/>
                <w:szCs w:val="24"/>
              </w:rPr>
            </w:pPr>
          </w:p>
        </w:tc>
        <w:tc>
          <w:tcPr>
            <w:tcW w:w="2297"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PET / plastic</w:t>
            </w:r>
          </w:p>
        </w:tc>
        <w:tc>
          <w:tcPr>
            <w:tcW w:w="2132" w:type="dxa"/>
            <w:vAlign w:val="center"/>
            <w:hideMark/>
          </w:tcPr>
          <w:p w:rsidR="00C629D9" w:rsidRPr="00410EDF" w:rsidRDefault="007B25D9" w:rsidP="00C625DB">
            <w:pPr>
              <w:spacing w:after="0" w:line="240" w:lineRule="auto"/>
              <w:jc w:val="center"/>
              <w:rPr>
                <w:rFonts w:ascii="Arial" w:hAnsi="Arial" w:cs="Arial"/>
                <w:sz w:val="24"/>
                <w:szCs w:val="24"/>
              </w:rPr>
            </w:pPr>
            <w:r w:rsidRPr="00410EDF">
              <w:rPr>
                <w:rFonts w:ascii="Arial" w:hAnsi="Arial" w:cs="Arial"/>
                <w:sz w:val="24"/>
                <w:szCs w:val="24"/>
              </w:rPr>
              <w:t xml:space="preserve">80 </w:t>
            </w:r>
          </w:p>
        </w:tc>
        <w:tc>
          <w:tcPr>
            <w:tcW w:w="2410"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3,05</w:t>
            </w:r>
          </w:p>
        </w:tc>
        <w:tc>
          <w:tcPr>
            <w:tcW w:w="1843"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3,05</w:t>
            </w:r>
          </w:p>
        </w:tc>
      </w:tr>
      <w:tr w:rsidR="00C629D9" w:rsidRPr="00410EDF" w:rsidTr="006157E7">
        <w:tc>
          <w:tcPr>
            <w:tcW w:w="1383" w:type="dxa"/>
            <w:vMerge/>
            <w:vAlign w:val="center"/>
            <w:hideMark/>
          </w:tcPr>
          <w:p w:rsidR="00C629D9" w:rsidRPr="00410EDF" w:rsidRDefault="00C629D9" w:rsidP="00C625DB">
            <w:pPr>
              <w:spacing w:after="0" w:line="240" w:lineRule="auto"/>
              <w:jc w:val="center"/>
              <w:rPr>
                <w:rFonts w:ascii="Arial" w:hAnsi="Arial" w:cs="Arial"/>
                <w:sz w:val="24"/>
                <w:szCs w:val="24"/>
              </w:rPr>
            </w:pPr>
          </w:p>
        </w:tc>
        <w:tc>
          <w:tcPr>
            <w:tcW w:w="2297"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hârtie şi carton</w:t>
            </w:r>
          </w:p>
        </w:tc>
        <w:tc>
          <w:tcPr>
            <w:tcW w:w="2132" w:type="dxa"/>
            <w:vAlign w:val="center"/>
            <w:hideMark/>
          </w:tcPr>
          <w:p w:rsidR="00C629D9" w:rsidRPr="00410EDF" w:rsidRDefault="007B25D9" w:rsidP="00C625DB">
            <w:pPr>
              <w:spacing w:after="0" w:line="240" w:lineRule="auto"/>
              <w:jc w:val="center"/>
              <w:rPr>
                <w:rFonts w:ascii="Arial" w:hAnsi="Arial" w:cs="Arial"/>
                <w:sz w:val="24"/>
                <w:szCs w:val="24"/>
              </w:rPr>
            </w:pPr>
            <w:r w:rsidRPr="00410EDF">
              <w:rPr>
                <w:rFonts w:ascii="Arial" w:hAnsi="Arial" w:cs="Arial"/>
                <w:sz w:val="24"/>
                <w:szCs w:val="24"/>
              </w:rPr>
              <w:t xml:space="preserve">80 </w:t>
            </w:r>
          </w:p>
        </w:tc>
        <w:tc>
          <w:tcPr>
            <w:tcW w:w="2410"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0,00</w:t>
            </w:r>
          </w:p>
        </w:tc>
        <w:tc>
          <w:tcPr>
            <w:tcW w:w="1843"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0,00</w:t>
            </w:r>
          </w:p>
        </w:tc>
      </w:tr>
      <w:tr w:rsidR="00C629D9" w:rsidRPr="00410EDF" w:rsidTr="006157E7">
        <w:tc>
          <w:tcPr>
            <w:tcW w:w="1383" w:type="dxa"/>
            <w:vMerge w:val="restart"/>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Însurăţei</w:t>
            </w:r>
          </w:p>
        </w:tc>
        <w:tc>
          <w:tcPr>
            <w:tcW w:w="2297"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PET / plastic</w:t>
            </w:r>
          </w:p>
        </w:tc>
        <w:tc>
          <w:tcPr>
            <w:tcW w:w="2132" w:type="dxa"/>
            <w:vAlign w:val="center"/>
            <w:hideMark/>
          </w:tcPr>
          <w:p w:rsidR="00C629D9" w:rsidRPr="00410EDF" w:rsidRDefault="007B25D9" w:rsidP="00C625DB">
            <w:pPr>
              <w:spacing w:after="0" w:line="240" w:lineRule="auto"/>
              <w:jc w:val="center"/>
              <w:rPr>
                <w:rFonts w:ascii="Arial" w:hAnsi="Arial" w:cs="Arial"/>
                <w:sz w:val="24"/>
                <w:szCs w:val="24"/>
              </w:rPr>
            </w:pPr>
            <w:r w:rsidRPr="00410EDF">
              <w:rPr>
                <w:rFonts w:ascii="Arial" w:hAnsi="Arial" w:cs="Arial"/>
                <w:sz w:val="24"/>
                <w:szCs w:val="24"/>
              </w:rPr>
              <w:t xml:space="preserve">60 </w:t>
            </w:r>
          </w:p>
        </w:tc>
        <w:tc>
          <w:tcPr>
            <w:tcW w:w="2410"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5,04</w:t>
            </w:r>
          </w:p>
        </w:tc>
        <w:tc>
          <w:tcPr>
            <w:tcW w:w="1843"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5,04</w:t>
            </w:r>
          </w:p>
        </w:tc>
      </w:tr>
      <w:tr w:rsidR="00C629D9" w:rsidRPr="00410EDF" w:rsidTr="006157E7">
        <w:tc>
          <w:tcPr>
            <w:tcW w:w="1383" w:type="dxa"/>
            <w:vMerge/>
            <w:vAlign w:val="center"/>
            <w:hideMark/>
          </w:tcPr>
          <w:p w:rsidR="00C629D9" w:rsidRPr="00410EDF" w:rsidRDefault="00C629D9" w:rsidP="00C625DB">
            <w:pPr>
              <w:spacing w:after="0" w:line="240" w:lineRule="auto"/>
              <w:jc w:val="center"/>
              <w:rPr>
                <w:rFonts w:ascii="Arial" w:hAnsi="Arial" w:cs="Arial"/>
                <w:sz w:val="24"/>
                <w:szCs w:val="24"/>
              </w:rPr>
            </w:pPr>
          </w:p>
        </w:tc>
        <w:tc>
          <w:tcPr>
            <w:tcW w:w="2297"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hârtie şi carton</w:t>
            </w:r>
          </w:p>
        </w:tc>
        <w:tc>
          <w:tcPr>
            <w:tcW w:w="2132" w:type="dxa"/>
            <w:vAlign w:val="center"/>
            <w:hideMark/>
          </w:tcPr>
          <w:p w:rsidR="00C629D9" w:rsidRPr="00410EDF" w:rsidRDefault="007B25D9" w:rsidP="00C625DB">
            <w:pPr>
              <w:spacing w:after="0" w:line="240" w:lineRule="auto"/>
              <w:jc w:val="center"/>
              <w:rPr>
                <w:rFonts w:ascii="Arial" w:hAnsi="Arial" w:cs="Arial"/>
                <w:sz w:val="24"/>
                <w:szCs w:val="24"/>
              </w:rPr>
            </w:pPr>
            <w:r w:rsidRPr="00410EDF">
              <w:rPr>
                <w:rFonts w:ascii="Arial" w:hAnsi="Arial" w:cs="Arial"/>
                <w:sz w:val="24"/>
                <w:szCs w:val="24"/>
              </w:rPr>
              <w:t xml:space="preserve">60 </w:t>
            </w:r>
            <w:r w:rsidR="00C629D9" w:rsidRPr="00410EDF">
              <w:rPr>
                <w:rFonts w:ascii="Arial" w:hAnsi="Arial" w:cs="Arial"/>
                <w:sz w:val="24"/>
                <w:szCs w:val="24"/>
              </w:rPr>
              <w:t xml:space="preserve"> </w:t>
            </w:r>
          </w:p>
        </w:tc>
        <w:tc>
          <w:tcPr>
            <w:tcW w:w="2410"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6,31</w:t>
            </w:r>
          </w:p>
        </w:tc>
        <w:tc>
          <w:tcPr>
            <w:tcW w:w="1843" w:type="dxa"/>
            <w:vAlign w:val="center"/>
            <w:hideMark/>
          </w:tcPr>
          <w:p w:rsidR="00C629D9" w:rsidRPr="00410EDF" w:rsidRDefault="00C629D9" w:rsidP="00C625DB">
            <w:pPr>
              <w:spacing w:after="0" w:line="240" w:lineRule="auto"/>
              <w:jc w:val="center"/>
              <w:rPr>
                <w:rFonts w:ascii="Arial" w:hAnsi="Arial" w:cs="Arial"/>
                <w:sz w:val="24"/>
                <w:szCs w:val="24"/>
              </w:rPr>
            </w:pPr>
            <w:r w:rsidRPr="00410EDF">
              <w:rPr>
                <w:rFonts w:ascii="Arial" w:hAnsi="Arial" w:cs="Arial"/>
                <w:sz w:val="24"/>
                <w:szCs w:val="24"/>
              </w:rPr>
              <w:t>6,31</w:t>
            </w:r>
          </w:p>
        </w:tc>
      </w:tr>
      <w:tr w:rsidR="00C629D9" w:rsidRPr="00410EDF" w:rsidTr="006157E7">
        <w:tc>
          <w:tcPr>
            <w:tcW w:w="1383" w:type="dxa"/>
            <w:vAlign w:val="center"/>
            <w:hideMark/>
          </w:tcPr>
          <w:p w:rsidR="00C629D9" w:rsidRPr="00410EDF" w:rsidRDefault="00C629D9" w:rsidP="00C625DB">
            <w:pPr>
              <w:spacing w:after="0" w:line="240" w:lineRule="auto"/>
              <w:jc w:val="center"/>
              <w:rPr>
                <w:rFonts w:ascii="Arial" w:hAnsi="Arial" w:cs="Arial"/>
                <w:b/>
                <w:sz w:val="24"/>
                <w:szCs w:val="24"/>
              </w:rPr>
            </w:pPr>
            <w:r w:rsidRPr="00410EDF">
              <w:rPr>
                <w:rFonts w:ascii="Arial" w:hAnsi="Arial" w:cs="Arial"/>
                <w:b/>
                <w:sz w:val="24"/>
                <w:szCs w:val="24"/>
              </w:rPr>
              <w:t>Total județ</w:t>
            </w:r>
          </w:p>
        </w:tc>
        <w:tc>
          <w:tcPr>
            <w:tcW w:w="2297" w:type="dxa"/>
            <w:vAlign w:val="center"/>
            <w:hideMark/>
          </w:tcPr>
          <w:p w:rsidR="00C629D9" w:rsidRPr="00410EDF" w:rsidRDefault="00C629D9" w:rsidP="00C625DB">
            <w:pPr>
              <w:spacing w:after="0" w:line="240" w:lineRule="auto"/>
              <w:jc w:val="center"/>
              <w:rPr>
                <w:rFonts w:ascii="Arial" w:hAnsi="Arial" w:cs="Arial"/>
                <w:b/>
                <w:sz w:val="24"/>
                <w:szCs w:val="24"/>
              </w:rPr>
            </w:pPr>
            <w:r w:rsidRPr="00410EDF">
              <w:rPr>
                <w:rFonts w:ascii="Arial" w:hAnsi="Arial" w:cs="Arial"/>
                <w:b/>
                <w:sz w:val="24"/>
                <w:szCs w:val="24"/>
              </w:rPr>
              <w:t>Hartie/carton</w:t>
            </w:r>
          </w:p>
        </w:tc>
        <w:tc>
          <w:tcPr>
            <w:tcW w:w="2132" w:type="dxa"/>
            <w:vAlign w:val="center"/>
          </w:tcPr>
          <w:p w:rsidR="00C629D9" w:rsidRPr="00410EDF" w:rsidRDefault="00C629D9" w:rsidP="00C625DB">
            <w:pPr>
              <w:spacing w:after="0" w:line="240" w:lineRule="auto"/>
              <w:jc w:val="center"/>
              <w:rPr>
                <w:rFonts w:ascii="Arial" w:hAnsi="Arial" w:cs="Arial"/>
                <w:b/>
                <w:sz w:val="24"/>
                <w:szCs w:val="24"/>
              </w:rPr>
            </w:pPr>
            <w:r w:rsidRPr="00410EDF">
              <w:rPr>
                <w:rFonts w:ascii="Arial" w:hAnsi="Arial" w:cs="Arial"/>
                <w:b/>
                <w:sz w:val="24"/>
                <w:szCs w:val="24"/>
              </w:rPr>
              <w:t>225</w:t>
            </w:r>
          </w:p>
        </w:tc>
        <w:tc>
          <w:tcPr>
            <w:tcW w:w="2410" w:type="dxa"/>
            <w:vAlign w:val="center"/>
            <w:hideMark/>
          </w:tcPr>
          <w:p w:rsidR="00C629D9" w:rsidRPr="00410EDF" w:rsidRDefault="00C629D9" w:rsidP="00C625DB">
            <w:pPr>
              <w:spacing w:after="0" w:line="240" w:lineRule="auto"/>
              <w:jc w:val="center"/>
              <w:rPr>
                <w:rFonts w:ascii="Arial" w:hAnsi="Arial" w:cs="Arial"/>
                <w:b/>
                <w:sz w:val="24"/>
                <w:szCs w:val="24"/>
              </w:rPr>
            </w:pPr>
            <w:r w:rsidRPr="00410EDF">
              <w:rPr>
                <w:rFonts w:ascii="Arial" w:hAnsi="Arial" w:cs="Arial"/>
                <w:b/>
                <w:sz w:val="24"/>
                <w:szCs w:val="24"/>
              </w:rPr>
              <w:t>61,33</w:t>
            </w:r>
          </w:p>
        </w:tc>
        <w:tc>
          <w:tcPr>
            <w:tcW w:w="1843" w:type="dxa"/>
            <w:vAlign w:val="center"/>
            <w:hideMark/>
          </w:tcPr>
          <w:p w:rsidR="00C629D9" w:rsidRPr="00410EDF" w:rsidRDefault="00C629D9" w:rsidP="00C625DB">
            <w:pPr>
              <w:spacing w:after="0" w:line="240" w:lineRule="auto"/>
              <w:jc w:val="center"/>
              <w:rPr>
                <w:rFonts w:ascii="Arial" w:hAnsi="Arial" w:cs="Arial"/>
                <w:b/>
                <w:sz w:val="24"/>
                <w:szCs w:val="24"/>
              </w:rPr>
            </w:pPr>
            <w:r w:rsidRPr="00410EDF">
              <w:rPr>
                <w:rFonts w:ascii="Arial" w:hAnsi="Arial" w:cs="Arial"/>
                <w:b/>
                <w:sz w:val="24"/>
                <w:szCs w:val="24"/>
              </w:rPr>
              <w:t>61,33</w:t>
            </w:r>
          </w:p>
        </w:tc>
      </w:tr>
      <w:tr w:rsidR="00C629D9" w:rsidRPr="00410EDF" w:rsidTr="006157E7">
        <w:tc>
          <w:tcPr>
            <w:tcW w:w="1383" w:type="dxa"/>
            <w:vAlign w:val="center"/>
          </w:tcPr>
          <w:p w:rsidR="00C629D9" w:rsidRPr="00410EDF" w:rsidRDefault="00C629D9" w:rsidP="00C625DB">
            <w:pPr>
              <w:spacing w:after="0" w:line="240" w:lineRule="auto"/>
              <w:jc w:val="center"/>
              <w:rPr>
                <w:rFonts w:ascii="Arial" w:hAnsi="Arial" w:cs="Arial"/>
                <w:b/>
                <w:sz w:val="24"/>
                <w:szCs w:val="24"/>
              </w:rPr>
            </w:pPr>
          </w:p>
        </w:tc>
        <w:tc>
          <w:tcPr>
            <w:tcW w:w="2297" w:type="dxa"/>
            <w:vAlign w:val="center"/>
            <w:hideMark/>
          </w:tcPr>
          <w:p w:rsidR="00C629D9" w:rsidRPr="00410EDF" w:rsidRDefault="00C629D9" w:rsidP="00C625DB">
            <w:pPr>
              <w:spacing w:after="0" w:line="240" w:lineRule="auto"/>
              <w:jc w:val="center"/>
              <w:rPr>
                <w:rFonts w:ascii="Arial" w:hAnsi="Arial" w:cs="Arial"/>
                <w:b/>
                <w:sz w:val="24"/>
                <w:szCs w:val="24"/>
              </w:rPr>
            </w:pPr>
            <w:r w:rsidRPr="00410EDF">
              <w:rPr>
                <w:rFonts w:ascii="Arial" w:hAnsi="Arial" w:cs="Arial"/>
                <w:b/>
                <w:sz w:val="24"/>
                <w:szCs w:val="24"/>
              </w:rPr>
              <w:t>PET / plastic</w:t>
            </w:r>
          </w:p>
        </w:tc>
        <w:tc>
          <w:tcPr>
            <w:tcW w:w="2132" w:type="dxa"/>
            <w:vAlign w:val="center"/>
          </w:tcPr>
          <w:p w:rsidR="00C629D9" w:rsidRPr="00410EDF" w:rsidRDefault="00C629D9" w:rsidP="00C625DB">
            <w:pPr>
              <w:spacing w:after="0" w:line="240" w:lineRule="auto"/>
              <w:jc w:val="center"/>
              <w:rPr>
                <w:rFonts w:ascii="Arial" w:hAnsi="Arial" w:cs="Arial"/>
                <w:b/>
                <w:sz w:val="24"/>
                <w:szCs w:val="24"/>
              </w:rPr>
            </w:pPr>
            <w:r w:rsidRPr="00410EDF">
              <w:rPr>
                <w:rFonts w:ascii="Arial" w:hAnsi="Arial" w:cs="Arial"/>
                <w:b/>
                <w:sz w:val="24"/>
                <w:szCs w:val="24"/>
              </w:rPr>
              <w:t>246</w:t>
            </w:r>
          </w:p>
        </w:tc>
        <w:tc>
          <w:tcPr>
            <w:tcW w:w="2410" w:type="dxa"/>
            <w:vAlign w:val="center"/>
            <w:hideMark/>
          </w:tcPr>
          <w:p w:rsidR="00C629D9" w:rsidRPr="00410EDF" w:rsidRDefault="00C629D9" w:rsidP="00C625DB">
            <w:pPr>
              <w:spacing w:after="0" w:line="240" w:lineRule="auto"/>
              <w:jc w:val="center"/>
              <w:rPr>
                <w:rFonts w:ascii="Arial" w:hAnsi="Arial" w:cs="Arial"/>
                <w:b/>
                <w:sz w:val="24"/>
                <w:szCs w:val="24"/>
              </w:rPr>
            </w:pPr>
            <w:r w:rsidRPr="00410EDF">
              <w:rPr>
                <w:rFonts w:ascii="Arial" w:hAnsi="Arial" w:cs="Arial"/>
                <w:b/>
                <w:sz w:val="24"/>
                <w:szCs w:val="24"/>
              </w:rPr>
              <w:t>18,57</w:t>
            </w:r>
          </w:p>
        </w:tc>
        <w:tc>
          <w:tcPr>
            <w:tcW w:w="1843" w:type="dxa"/>
            <w:vAlign w:val="center"/>
            <w:hideMark/>
          </w:tcPr>
          <w:p w:rsidR="00C629D9" w:rsidRPr="00410EDF" w:rsidRDefault="00C629D9" w:rsidP="00C625DB">
            <w:pPr>
              <w:spacing w:after="0" w:line="240" w:lineRule="auto"/>
              <w:jc w:val="center"/>
              <w:rPr>
                <w:rFonts w:ascii="Arial" w:hAnsi="Arial" w:cs="Arial"/>
                <w:b/>
                <w:sz w:val="24"/>
                <w:szCs w:val="24"/>
              </w:rPr>
            </w:pPr>
            <w:r w:rsidRPr="00410EDF">
              <w:rPr>
                <w:rFonts w:ascii="Arial" w:hAnsi="Arial" w:cs="Arial"/>
                <w:b/>
                <w:sz w:val="24"/>
                <w:szCs w:val="24"/>
              </w:rPr>
              <w:t>18,57</w:t>
            </w:r>
          </w:p>
        </w:tc>
      </w:tr>
      <w:tr w:rsidR="00E1720C" w:rsidRPr="00410EDF" w:rsidTr="006157E7">
        <w:tc>
          <w:tcPr>
            <w:tcW w:w="1383" w:type="dxa"/>
            <w:vAlign w:val="center"/>
          </w:tcPr>
          <w:p w:rsidR="00E1720C" w:rsidRPr="00410EDF" w:rsidRDefault="00E1720C" w:rsidP="00C625DB">
            <w:pPr>
              <w:spacing w:after="0" w:line="240" w:lineRule="auto"/>
              <w:jc w:val="center"/>
              <w:rPr>
                <w:rFonts w:ascii="Arial" w:hAnsi="Arial" w:cs="Arial"/>
                <w:b/>
                <w:sz w:val="24"/>
                <w:szCs w:val="24"/>
              </w:rPr>
            </w:pPr>
          </w:p>
        </w:tc>
        <w:tc>
          <w:tcPr>
            <w:tcW w:w="2297" w:type="dxa"/>
            <w:vAlign w:val="center"/>
            <w:hideMark/>
          </w:tcPr>
          <w:p w:rsidR="00E1720C" w:rsidRPr="00410EDF" w:rsidRDefault="00E1720C" w:rsidP="00C625DB">
            <w:pPr>
              <w:spacing w:after="0" w:line="240" w:lineRule="auto"/>
              <w:jc w:val="center"/>
              <w:rPr>
                <w:rFonts w:ascii="Arial" w:hAnsi="Arial" w:cs="Arial"/>
                <w:b/>
                <w:sz w:val="24"/>
                <w:szCs w:val="24"/>
              </w:rPr>
            </w:pPr>
          </w:p>
        </w:tc>
        <w:tc>
          <w:tcPr>
            <w:tcW w:w="2132" w:type="dxa"/>
            <w:vAlign w:val="center"/>
          </w:tcPr>
          <w:p w:rsidR="00E1720C" w:rsidRPr="00410EDF" w:rsidRDefault="00E1720C" w:rsidP="00C625DB">
            <w:pPr>
              <w:spacing w:after="0" w:line="240" w:lineRule="auto"/>
              <w:jc w:val="center"/>
              <w:rPr>
                <w:rFonts w:ascii="Arial" w:hAnsi="Arial" w:cs="Arial"/>
                <w:b/>
                <w:sz w:val="24"/>
                <w:szCs w:val="24"/>
              </w:rPr>
            </w:pPr>
            <w:r w:rsidRPr="00410EDF">
              <w:rPr>
                <w:rFonts w:ascii="Arial" w:hAnsi="Arial" w:cs="Arial"/>
                <w:b/>
                <w:sz w:val="24"/>
                <w:szCs w:val="24"/>
              </w:rPr>
              <w:t>471</w:t>
            </w:r>
          </w:p>
        </w:tc>
        <w:tc>
          <w:tcPr>
            <w:tcW w:w="2410" w:type="dxa"/>
            <w:vAlign w:val="center"/>
            <w:hideMark/>
          </w:tcPr>
          <w:p w:rsidR="00E1720C" w:rsidRPr="00410EDF" w:rsidRDefault="00E1720C" w:rsidP="00C625DB">
            <w:pPr>
              <w:spacing w:after="0" w:line="240" w:lineRule="auto"/>
              <w:jc w:val="center"/>
              <w:rPr>
                <w:rFonts w:ascii="Arial" w:hAnsi="Arial" w:cs="Arial"/>
                <w:b/>
                <w:sz w:val="24"/>
                <w:szCs w:val="24"/>
              </w:rPr>
            </w:pPr>
            <w:r w:rsidRPr="00410EDF">
              <w:rPr>
                <w:rFonts w:ascii="Arial" w:hAnsi="Arial" w:cs="Arial"/>
                <w:b/>
                <w:sz w:val="24"/>
                <w:szCs w:val="24"/>
              </w:rPr>
              <w:t>79,90</w:t>
            </w:r>
          </w:p>
        </w:tc>
        <w:tc>
          <w:tcPr>
            <w:tcW w:w="1843" w:type="dxa"/>
            <w:vAlign w:val="center"/>
            <w:hideMark/>
          </w:tcPr>
          <w:p w:rsidR="00E1720C" w:rsidRPr="00410EDF" w:rsidRDefault="00E1720C" w:rsidP="00C625DB">
            <w:pPr>
              <w:spacing w:after="0" w:line="240" w:lineRule="auto"/>
              <w:jc w:val="center"/>
              <w:rPr>
                <w:rFonts w:ascii="Arial" w:hAnsi="Arial" w:cs="Arial"/>
                <w:b/>
                <w:sz w:val="24"/>
                <w:szCs w:val="24"/>
              </w:rPr>
            </w:pPr>
            <w:r w:rsidRPr="00410EDF">
              <w:rPr>
                <w:rFonts w:ascii="Arial" w:hAnsi="Arial" w:cs="Arial"/>
                <w:b/>
                <w:sz w:val="24"/>
                <w:szCs w:val="24"/>
              </w:rPr>
              <w:t>79,90</w:t>
            </w:r>
          </w:p>
        </w:tc>
      </w:tr>
    </w:tbl>
    <w:p w:rsidR="00C629D9" w:rsidRPr="00410EDF" w:rsidRDefault="00C629D9" w:rsidP="00C625DB">
      <w:pPr>
        <w:spacing w:after="0" w:line="240" w:lineRule="auto"/>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Gradul de colectare selectivă a deşeurilor reciclabile de la populaţie este destul de scăzut. În vederea creşterii cantităţilor de deşeuri colectate, se impune realizarea periodică de campanii de conştientizare a populaţiei în care să se promoveze sistemul de colectare selectivă a deşeurilor.</w:t>
      </w:r>
    </w:p>
    <w:p w:rsidR="006908FA" w:rsidRPr="00410EDF" w:rsidRDefault="00F065B7" w:rsidP="00C625DB">
      <w:pPr>
        <w:spacing w:after="0" w:line="240" w:lineRule="auto"/>
        <w:jc w:val="both"/>
        <w:rPr>
          <w:rFonts w:ascii="Arial" w:hAnsi="Arial" w:cs="Arial"/>
          <w:b/>
          <w:sz w:val="24"/>
          <w:szCs w:val="24"/>
        </w:rPr>
      </w:pPr>
      <w:r w:rsidRPr="00410EDF">
        <w:rPr>
          <w:rFonts w:ascii="Arial" w:hAnsi="Arial" w:cs="Arial"/>
          <w:b/>
          <w:sz w:val="24"/>
          <w:szCs w:val="24"/>
        </w:rPr>
        <w:t>Deşeuri biodegradabile</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O componentă majoră a deşeurilor municipale o reprezintă deşeurile biodegradabile (deşeurile organice care pot fi descompuse de către microorganisme). Din cauza poluării generate de descompunerea acestor deşeuri în depozite (în special emisia de gaze cu efect de seră şi levigat), se impune reducerea treptată a cantităţilor eliminate prin depozitare, astfel încât, în anul 2016 doar 35% din cantitatea de deşeuri biodegradabile eliminată în anul 1995 să mai poată fi depozitată.</w:t>
      </w:r>
    </w:p>
    <w:p w:rsidR="00F065B7" w:rsidRPr="00410EDF" w:rsidRDefault="00F065B7" w:rsidP="00C625DB">
      <w:pPr>
        <w:pStyle w:val="Default"/>
        <w:jc w:val="both"/>
        <w:rPr>
          <w:rFonts w:ascii="Arial" w:hAnsi="Arial" w:cs="Arial"/>
          <w:color w:val="auto"/>
          <w:lang w:val="ro-RO"/>
        </w:rPr>
      </w:pPr>
    </w:p>
    <w:p w:rsidR="00F065B7" w:rsidRPr="00410EDF" w:rsidRDefault="00F065B7" w:rsidP="00C625DB">
      <w:pPr>
        <w:pStyle w:val="Default"/>
        <w:jc w:val="both"/>
        <w:rPr>
          <w:rFonts w:ascii="Arial" w:hAnsi="Arial" w:cs="Arial"/>
          <w:color w:val="auto"/>
        </w:rPr>
      </w:pPr>
      <w:r w:rsidRPr="0029217B">
        <w:rPr>
          <w:rFonts w:ascii="Arial" w:hAnsi="Arial" w:cs="Arial"/>
          <w:color w:val="auto"/>
          <w:lang w:val="ro-RO"/>
        </w:rPr>
        <w:t>Tabel VII.1.1.13</w:t>
      </w:r>
      <w:r w:rsidRPr="00410EDF">
        <w:rPr>
          <w:rFonts w:ascii="Arial" w:hAnsi="Arial" w:cs="Arial"/>
          <w:color w:val="auto"/>
          <w:lang w:val="ro-RO"/>
        </w:rPr>
        <w:t xml:space="preserve"> </w:t>
      </w:r>
      <w:r w:rsidRPr="00410EDF">
        <w:rPr>
          <w:rFonts w:ascii="Arial" w:hAnsi="Arial" w:cs="Arial"/>
          <w:color w:val="auto"/>
        </w:rPr>
        <w:t>Evoluția cantităților de deșeuri biodegradabile depozitate</w:t>
      </w:r>
    </w:p>
    <w:tbl>
      <w:tblPr>
        <w:tblW w:w="0" w:type="auto"/>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4A0"/>
      </w:tblPr>
      <w:tblGrid>
        <w:gridCol w:w="1785"/>
        <w:gridCol w:w="1017"/>
        <w:gridCol w:w="992"/>
        <w:gridCol w:w="992"/>
        <w:gridCol w:w="992"/>
        <w:gridCol w:w="1134"/>
        <w:gridCol w:w="1276"/>
        <w:gridCol w:w="1134"/>
        <w:gridCol w:w="1099"/>
      </w:tblGrid>
      <w:tr w:rsidR="00C629D9" w:rsidRPr="00410EDF" w:rsidTr="00C629D9">
        <w:tc>
          <w:tcPr>
            <w:tcW w:w="1785" w:type="dxa"/>
            <w:shd w:val="clear" w:color="auto" w:fill="EEECE1" w:themeFill="background2"/>
          </w:tcPr>
          <w:p w:rsidR="00C629D9" w:rsidRPr="00410EDF" w:rsidRDefault="00C629D9" w:rsidP="00C625DB">
            <w:pPr>
              <w:pStyle w:val="Default"/>
              <w:jc w:val="both"/>
              <w:rPr>
                <w:rFonts w:ascii="Arial" w:hAnsi="Arial" w:cs="Arial"/>
                <w:color w:val="auto"/>
                <w:lang w:val="ro-RO"/>
              </w:rPr>
            </w:pPr>
          </w:p>
        </w:tc>
        <w:tc>
          <w:tcPr>
            <w:tcW w:w="1017" w:type="dxa"/>
            <w:shd w:val="clear" w:color="auto" w:fill="EEECE1" w:themeFill="background2"/>
          </w:tcPr>
          <w:p w:rsidR="00C629D9" w:rsidRPr="00410EDF" w:rsidRDefault="00C629D9" w:rsidP="00C625DB">
            <w:pPr>
              <w:pStyle w:val="Default"/>
              <w:jc w:val="center"/>
              <w:rPr>
                <w:rFonts w:ascii="Arial" w:hAnsi="Arial" w:cs="Arial"/>
                <w:b/>
                <w:color w:val="auto"/>
                <w:lang w:val="ro-RO"/>
              </w:rPr>
            </w:pPr>
            <w:r w:rsidRPr="00410EDF">
              <w:rPr>
                <w:rFonts w:ascii="Arial" w:hAnsi="Arial" w:cs="Arial"/>
                <w:b/>
                <w:color w:val="auto"/>
                <w:lang w:val="ro-RO"/>
              </w:rPr>
              <w:t>1995</w:t>
            </w:r>
          </w:p>
        </w:tc>
        <w:tc>
          <w:tcPr>
            <w:tcW w:w="992" w:type="dxa"/>
            <w:shd w:val="clear" w:color="auto" w:fill="EEECE1" w:themeFill="background2"/>
          </w:tcPr>
          <w:p w:rsidR="00C629D9" w:rsidRPr="00410EDF" w:rsidRDefault="00C629D9" w:rsidP="00C625DB">
            <w:pPr>
              <w:pStyle w:val="Default"/>
              <w:jc w:val="center"/>
              <w:rPr>
                <w:rFonts w:ascii="Arial" w:hAnsi="Arial" w:cs="Arial"/>
                <w:b/>
                <w:color w:val="auto"/>
                <w:lang w:val="ro-RO"/>
              </w:rPr>
            </w:pPr>
            <w:r w:rsidRPr="00410EDF">
              <w:rPr>
                <w:rFonts w:ascii="Arial" w:hAnsi="Arial" w:cs="Arial"/>
                <w:b/>
                <w:color w:val="auto"/>
                <w:lang w:val="ro-RO"/>
              </w:rPr>
              <w:t>2009</w:t>
            </w:r>
          </w:p>
        </w:tc>
        <w:tc>
          <w:tcPr>
            <w:tcW w:w="992" w:type="dxa"/>
            <w:shd w:val="clear" w:color="auto" w:fill="EEECE1" w:themeFill="background2"/>
          </w:tcPr>
          <w:p w:rsidR="00C629D9" w:rsidRPr="00410EDF" w:rsidRDefault="00C629D9" w:rsidP="00C625DB">
            <w:pPr>
              <w:pStyle w:val="Default"/>
              <w:jc w:val="center"/>
              <w:rPr>
                <w:rFonts w:ascii="Arial" w:hAnsi="Arial" w:cs="Arial"/>
                <w:b/>
                <w:color w:val="auto"/>
                <w:lang w:val="ro-RO"/>
              </w:rPr>
            </w:pPr>
            <w:r w:rsidRPr="00410EDF">
              <w:rPr>
                <w:rFonts w:ascii="Arial" w:hAnsi="Arial" w:cs="Arial"/>
                <w:b/>
                <w:color w:val="auto"/>
                <w:lang w:val="ro-RO"/>
              </w:rPr>
              <w:t>2010</w:t>
            </w:r>
          </w:p>
        </w:tc>
        <w:tc>
          <w:tcPr>
            <w:tcW w:w="992" w:type="dxa"/>
            <w:shd w:val="clear" w:color="auto" w:fill="EEECE1" w:themeFill="background2"/>
          </w:tcPr>
          <w:p w:rsidR="00C629D9" w:rsidRPr="00410EDF" w:rsidRDefault="00C629D9" w:rsidP="00C625DB">
            <w:pPr>
              <w:pStyle w:val="Default"/>
              <w:jc w:val="center"/>
              <w:rPr>
                <w:rFonts w:ascii="Arial" w:hAnsi="Arial" w:cs="Arial"/>
                <w:b/>
                <w:color w:val="auto"/>
                <w:lang w:val="ro-RO"/>
              </w:rPr>
            </w:pPr>
            <w:r w:rsidRPr="00410EDF">
              <w:rPr>
                <w:rFonts w:ascii="Arial" w:hAnsi="Arial" w:cs="Arial"/>
                <w:b/>
                <w:color w:val="auto"/>
                <w:lang w:val="ro-RO"/>
              </w:rPr>
              <w:t>2011</w:t>
            </w:r>
          </w:p>
        </w:tc>
        <w:tc>
          <w:tcPr>
            <w:tcW w:w="1134" w:type="dxa"/>
            <w:shd w:val="clear" w:color="auto" w:fill="EEECE1" w:themeFill="background2"/>
          </w:tcPr>
          <w:p w:rsidR="00C629D9" w:rsidRPr="00410EDF" w:rsidRDefault="00C629D9" w:rsidP="00C625DB">
            <w:pPr>
              <w:pStyle w:val="Default"/>
              <w:jc w:val="center"/>
              <w:rPr>
                <w:rFonts w:ascii="Arial" w:hAnsi="Arial" w:cs="Arial"/>
                <w:b/>
                <w:color w:val="auto"/>
                <w:lang w:val="ro-RO"/>
              </w:rPr>
            </w:pPr>
            <w:r w:rsidRPr="00410EDF">
              <w:rPr>
                <w:rFonts w:ascii="Arial" w:hAnsi="Arial" w:cs="Arial"/>
                <w:b/>
                <w:color w:val="auto"/>
                <w:lang w:val="ro-RO"/>
              </w:rPr>
              <w:t>2012</w:t>
            </w:r>
          </w:p>
        </w:tc>
        <w:tc>
          <w:tcPr>
            <w:tcW w:w="1276" w:type="dxa"/>
            <w:shd w:val="clear" w:color="auto" w:fill="EEECE1" w:themeFill="background2"/>
          </w:tcPr>
          <w:p w:rsidR="00C629D9" w:rsidRPr="00410EDF" w:rsidRDefault="00C629D9" w:rsidP="00C625DB">
            <w:pPr>
              <w:pStyle w:val="Default"/>
              <w:jc w:val="center"/>
              <w:rPr>
                <w:rFonts w:ascii="Arial" w:hAnsi="Arial" w:cs="Arial"/>
                <w:b/>
                <w:color w:val="auto"/>
                <w:lang w:val="ro-RO"/>
              </w:rPr>
            </w:pPr>
            <w:r w:rsidRPr="00410EDF">
              <w:rPr>
                <w:rFonts w:ascii="Arial" w:hAnsi="Arial" w:cs="Arial"/>
                <w:b/>
                <w:color w:val="auto"/>
                <w:lang w:val="ro-RO"/>
              </w:rPr>
              <w:t>2013</w:t>
            </w:r>
          </w:p>
        </w:tc>
        <w:tc>
          <w:tcPr>
            <w:tcW w:w="1134" w:type="dxa"/>
            <w:tcBorders>
              <w:right w:val="single" w:sz="4" w:space="0" w:color="auto"/>
            </w:tcBorders>
            <w:shd w:val="clear" w:color="auto" w:fill="EEECE1" w:themeFill="background2"/>
          </w:tcPr>
          <w:p w:rsidR="00C629D9" w:rsidRPr="00410EDF" w:rsidRDefault="00C629D9" w:rsidP="00C625DB">
            <w:pPr>
              <w:pStyle w:val="Default"/>
              <w:jc w:val="center"/>
              <w:rPr>
                <w:rFonts w:ascii="Arial" w:hAnsi="Arial" w:cs="Arial"/>
                <w:b/>
                <w:color w:val="auto"/>
                <w:lang w:val="ro-RO"/>
              </w:rPr>
            </w:pPr>
            <w:r w:rsidRPr="00410EDF">
              <w:rPr>
                <w:rFonts w:ascii="Arial" w:hAnsi="Arial" w:cs="Arial"/>
                <w:b/>
                <w:color w:val="auto"/>
                <w:lang w:val="ro-RO"/>
              </w:rPr>
              <w:t>2014</w:t>
            </w:r>
          </w:p>
        </w:tc>
        <w:tc>
          <w:tcPr>
            <w:tcW w:w="1099" w:type="dxa"/>
            <w:tcBorders>
              <w:left w:val="single" w:sz="4" w:space="0" w:color="auto"/>
            </w:tcBorders>
            <w:shd w:val="clear" w:color="auto" w:fill="EEECE1" w:themeFill="background2"/>
          </w:tcPr>
          <w:p w:rsidR="00C629D9" w:rsidRPr="00410EDF" w:rsidRDefault="00C629D9" w:rsidP="00C625DB">
            <w:pPr>
              <w:pStyle w:val="Default"/>
              <w:jc w:val="center"/>
              <w:rPr>
                <w:rFonts w:ascii="Arial" w:hAnsi="Arial" w:cs="Arial"/>
                <w:b/>
                <w:color w:val="auto"/>
                <w:lang w:val="ro-RO"/>
              </w:rPr>
            </w:pPr>
            <w:r w:rsidRPr="00410EDF">
              <w:rPr>
                <w:rFonts w:ascii="Arial" w:hAnsi="Arial" w:cs="Arial"/>
                <w:b/>
                <w:color w:val="auto"/>
                <w:lang w:val="ro-RO"/>
              </w:rPr>
              <w:t>2015</w:t>
            </w:r>
          </w:p>
        </w:tc>
      </w:tr>
      <w:tr w:rsidR="00C629D9" w:rsidRPr="00410EDF" w:rsidTr="00C629D9">
        <w:tc>
          <w:tcPr>
            <w:tcW w:w="1785" w:type="dxa"/>
          </w:tcPr>
          <w:p w:rsidR="00C629D9" w:rsidRPr="006157E7" w:rsidRDefault="00C629D9" w:rsidP="00C625DB">
            <w:pPr>
              <w:pStyle w:val="Default"/>
              <w:rPr>
                <w:rFonts w:ascii="Arial" w:hAnsi="Arial" w:cs="Arial"/>
                <w:color w:val="auto"/>
                <w:sz w:val="22"/>
                <w:szCs w:val="22"/>
                <w:lang w:val="ro-RO"/>
              </w:rPr>
            </w:pPr>
            <w:r w:rsidRPr="006157E7">
              <w:rPr>
                <w:rFonts w:ascii="Arial" w:hAnsi="Arial" w:cs="Arial"/>
                <w:color w:val="auto"/>
                <w:sz w:val="22"/>
                <w:szCs w:val="22"/>
              </w:rPr>
              <w:t>Cantitatea de deşeuri biodegradabile depozitată [ t ]</w:t>
            </w:r>
          </w:p>
        </w:tc>
        <w:tc>
          <w:tcPr>
            <w:tcW w:w="1017" w:type="dxa"/>
          </w:tcPr>
          <w:p w:rsidR="00C629D9" w:rsidRPr="00410EDF" w:rsidRDefault="00C629D9" w:rsidP="00C625DB">
            <w:pPr>
              <w:pStyle w:val="Default"/>
              <w:rPr>
                <w:rFonts w:ascii="Arial" w:hAnsi="Arial" w:cs="Arial"/>
                <w:color w:val="auto"/>
                <w:sz w:val="16"/>
                <w:szCs w:val="16"/>
                <w:lang w:val="ro-RO"/>
              </w:rPr>
            </w:pPr>
            <w:r w:rsidRPr="00410EDF">
              <w:rPr>
                <w:rFonts w:ascii="Arial" w:hAnsi="Arial" w:cs="Arial"/>
                <w:color w:val="auto"/>
                <w:sz w:val="16"/>
                <w:szCs w:val="16"/>
              </w:rPr>
              <w:t>82763,73</w:t>
            </w:r>
          </w:p>
        </w:tc>
        <w:tc>
          <w:tcPr>
            <w:tcW w:w="992" w:type="dxa"/>
          </w:tcPr>
          <w:p w:rsidR="00C629D9" w:rsidRPr="00410EDF" w:rsidRDefault="00C629D9" w:rsidP="00C625DB">
            <w:pPr>
              <w:pStyle w:val="Default"/>
              <w:jc w:val="center"/>
              <w:rPr>
                <w:rFonts w:ascii="Arial" w:hAnsi="Arial" w:cs="Arial"/>
                <w:color w:val="auto"/>
                <w:sz w:val="16"/>
                <w:szCs w:val="16"/>
                <w:lang w:val="ro-RO"/>
              </w:rPr>
            </w:pPr>
            <w:r w:rsidRPr="00410EDF">
              <w:rPr>
                <w:rFonts w:ascii="Arial" w:hAnsi="Arial" w:cs="Arial"/>
                <w:color w:val="auto"/>
                <w:sz w:val="16"/>
                <w:szCs w:val="16"/>
              </w:rPr>
              <w:t>41152,29</w:t>
            </w:r>
          </w:p>
        </w:tc>
        <w:tc>
          <w:tcPr>
            <w:tcW w:w="992" w:type="dxa"/>
          </w:tcPr>
          <w:p w:rsidR="00C629D9" w:rsidRPr="00410EDF" w:rsidRDefault="00C629D9" w:rsidP="00C625DB">
            <w:pPr>
              <w:pStyle w:val="Default"/>
              <w:jc w:val="center"/>
              <w:rPr>
                <w:rFonts w:ascii="Arial" w:hAnsi="Arial" w:cs="Arial"/>
                <w:color w:val="auto"/>
                <w:sz w:val="16"/>
                <w:szCs w:val="16"/>
                <w:lang w:val="ro-RO"/>
              </w:rPr>
            </w:pPr>
            <w:r w:rsidRPr="00410EDF">
              <w:rPr>
                <w:rFonts w:ascii="Arial" w:hAnsi="Arial" w:cs="Arial"/>
                <w:color w:val="auto"/>
                <w:sz w:val="16"/>
                <w:szCs w:val="16"/>
              </w:rPr>
              <w:t>28746,56</w:t>
            </w:r>
          </w:p>
        </w:tc>
        <w:tc>
          <w:tcPr>
            <w:tcW w:w="992" w:type="dxa"/>
          </w:tcPr>
          <w:p w:rsidR="00C629D9" w:rsidRPr="00410EDF" w:rsidRDefault="00C629D9" w:rsidP="00C625DB">
            <w:pPr>
              <w:pStyle w:val="Default"/>
              <w:jc w:val="center"/>
              <w:rPr>
                <w:rFonts w:ascii="Arial" w:hAnsi="Arial" w:cs="Arial"/>
                <w:color w:val="auto"/>
                <w:sz w:val="16"/>
                <w:szCs w:val="16"/>
                <w:lang w:val="ro-RO"/>
              </w:rPr>
            </w:pPr>
            <w:r w:rsidRPr="00410EDF">
              <w:rPr>
                <w:rFonts w:ascii="Arial" w:hAnsi="Arial" w:cs="Arial"/>
                <w:color w:val="auto"/>
                <w:sz w:val="16"/>
                <w:szCs w:val="16"/>
              </w:rPr>
              <w:t>29037,59</w:t>
            </w:r>
          </w:p>
        </w:tc>
        <w:tc>
          <w:tcPr>
            <w:tcW w:w="1134" w:type="dxa"/>
          </w:tcPr>
          <w:p w:rsidR="00C629D9" w:rsidRPr="00410EDF" w:rsidRDefault="00C629D9" w:rsidP="00C625DB">
            <w:pPr>
              <w:pStyle w:val="Default"/>
              <w:jc w:val="center"/>
              <w:rPr>
                <w:rFonts w:ascii="Arial" w:hAnsi="Arial" w:cs="Arial"/>
                <w:color w:val="auto"/>
                <w:sz w:val="16"/>
                <w:szCs w:val="16"/>
                <w:lang w:val="ro-RO"/>
              </w:rPr>
            </w:pPr>
            <w:r w:rsidRPr="00410EDF">
              <w:rPr>
                <w:rFonts w:ascii="Arial" w:hAnsi="Arial" w:cs="Arial"/>
                <w:color w:val="auto"/>
                <w:sz w:val="16"/>
                <w:szCs w:val="16"/>
                <w:lang w:val="it-IT"/>
              </w:rPr>
              <w:t>30916,015</w:t>
            </w:r>
          </w:p>
        </w:tc>
        <w:tc>
          <w:tcPr>
            <w:tcW w:w="1276" w:type="dxa"/>
          </w:tcPr>
          <w:p w:rsidR="00C629D9" w:rsidRPr="00410EDF" w:rsidRDefault="00C629D9" w:rsidP="00C625DB">
            <w:pPr>
              <w:pStyle w:val="Default"/>
              <w:jc w:val="center"/>
              <w:rPr>
                <w:rFonts w:ascii="Arial" w:hAnsi="Arial" w:cs="Arial"/>
                <w:color w:val="auto"/>
                <w:sz w:val="16"/>
                <w:szCs w:val="16"/>
                <w:lang w:val="ro-RO"/>
              </w:rPr>
            </w:pPr>
            <w:r w:rsidRPr="00410EDF">
              <w:rPr>
                <w:rFonts w:ascii="Arial" w:hAnsi="Arial" w:cs="Arial"/>
                <w:color w:val="auto"/>
                <w:sz w:val="16"/>
                <w:szCs w:val="16"/>
                <w:lang w:val="ro-RO"/>
              </w:rPr>
              <w:t>52433,29</w:t>
            </w:r>
          </w:p>
        </w:tc>
        <w:tc>
          <w:tcPr>
            <w:tcW w:w="1134" w:type="dxa"/>
            <w:tcBorders>
              <w:right w:val="single" w:sz="4" w:space="0" w:color="auto"/>
            </w:tcBorders>
          </w:tcPr>
          <w:p w:rsidR="00C629D9" w:rsidRPr="00410EDF" w:rsidRDefault="00C629D9" w:rsidP="00C625DB">
            <w:pPr>
              <w:pStyle w:val="Default"/>
              <w:jc w:val="center"/>
              <w:rPr>
                <w:rFonts w:ascii="Arial" w:hAnsi="Arial" w:cs="Arial"/>
                <w:color w:val="auto"/>
                <w:sz w:val="16"/>
                <w:szCs w:val="16"/>
                <w:lang w:val="ro-RO"/>
              </w:rPr>
            </w:pPr>
            <w:r w:rsidRPr="00410EDF">
              <w:rPr>
                <w:rFonts w:ascii="Arial" w:hAnsi="Arial" w:cs="Arial"/>
                <w:color w:val="auto"/>
                <w:sz w:val="16"/>
                <w:szCs w:val="16"/>
                <w:lang w:val="ro-RO"/>
              </w:rPr>
              <w:t>49282,29</w:t>
            </w:r>
          </w:p>
        </w:tc>
        <w:tc>
          <w:tcPr>
            <w:tcW w:w="1099" w:type="dxa"/>
            <w:tcBorders>
              <w:left w:val="single" w:sz="4" w:space="0" w:color="auto"/>
            </w:tcBorders>
          </w:tcPr>
          <w:p w:rsidR="00C629D9" w:rsidRPr="00410EDF" w:rsidRDefault="00C629D9" w:rsidP="00C625DB">
            <w:pPr>
              <w:pStyle w:val="Default"/>
              <w:jc w:val="center"/>
              <w:rPr>
                <w:rFonts w:ascii="Arial" w:hAnsi="Arial" w:cs="Arial"/>
                <w:color w:val="auto"/>
                <w:sz w:val="16"/>
                <w:szCs w:val="16"/>
                <w:lang w:val="ro-RO"/>
              </w:rPr>
            </w:pPr>
            <w:r w:rsidRPr="00410EDF">
              <w:rPr>
                <w:rFonts w:ascii="Arial" w:hAnsi="Arial" w:cs="Arial"/>
                <w:color w:val="auto"/>
                <w:sz w:val="16"/>
                <w:szCs w:val="16"/>
                <w:lang w:val="ro-RO"/>
              </w:rPr>
              <w:t>49282,29</w:t>
            </w:r>
          </w:p>
        </w:tc>
      </w:tr>
      <w:tr w:rsidR="00C629D9" w:rsidRPr="00410EDF" w:rsidTr="00C629D9">
        <w:tc>
          <w:tcPr>
            <w:tcW w:w="1785" w:type="dxa"/>
          </w:tcPr>
          <w:p w:rsidR="00C629D9" w:rsidRPr="006157E7" w:rsidRDefault="00C629D9" w:rsidP="00C625DB">
            <w:pPr>
              <w:pStyle w:val="Default"/>
              <w:rPr>
                <w:rFonts w:ascii="Arial" w:hAnsi="Arial" w:cs="Arial"/>
                <w:color w:val="auto"/>
                <w:sz w:val="22"/>
                <w:szCs w:val="22"/>
                <w:lang w:val="ro-RO"/>
              </w:rPr>
            </w:pPr>
            <w:r w:rsidRPr="006157E7">
              <w:rPr>
                <w:rFonts w:ascii="Arial" w:hAnsi="Arial" w:cs="Arial"/>
                <w:color w:val="auto"/>
                <w:sz w:val="22"/>
                <w:szCs w:val="22"/>
              </w:rPr>
              <w:t>Cantitatea de deşeuri biodegradabile depozitată față de 1995 [ % ]</w:t>
            </w:r>
          </w:p>
        </w:tc>
        <w:tc>
          <w:tcPr>
            <w:tcW w:w="1017" w:type="dxa"/>
          </w:tcPr>
          <w:p w:rsidR="00C629D9" w:rsidRPr="00410EDF" w:rsidRDefault="00C629D9" w:rsidP="00C625DB">
            <w:pPr>
              <w:pStyle w:val="Default"/>
              <w:jc w:val="center"/>
              <w:rPr>
                <w:rFonts w:ascii="Arial" w:hAnsi="Arial" w:cs="Arial"/>
                <w:color w:val="auto"/>
                <w:sz w:val="20"/>
                <w:szCs w:val="20"/>
                <w:lang w:val="ro-RO"/>
              </w:rPr>
            </w:pPr>
          </w:p>
        </w:tc>
        <w:tc>
          <w:tcPr>
            <w:tcW w:w="992" w:type="dxa"/>
          </w:tcPr>
          <w:p w:rsidR="00C629D9" w:rsidRPr="00410EDF" w:rsidRDefault="00C629D9" w:rsidP="00C625DB">
            <w:pPr>
              <w:pStyle w:val="Default"/>
              <w:jc w:val="center"/>
              <w:rPr>
                <w:rFonts w:ascii="Arial" w:hAnsi="Arial" w:cs="Arial"/>
                <w:color w:val="auto"/>
                <w:sz w:val="20"/>
                <w:szCs w:val="20"/>
              </w:rPr>
            </w:pPr>
            <w:r w:rsidRPr="00410EDF">
              <w:rPr>
                <w:rFonts w:ascii="Arial" w:hAnsi="Arial" w:cs="Arial"/>
                <w:color w:val="auto"/>
                <w:sz w:val="20"/>
                <w:szCs w:val="20"/>
              </w:rPr>
              <w:t xml:space="preserve">49,72 </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rPr>
              <w:t>[ % ]</w:t>
            </w:r>
          </w:p>
        </w:tc>
        <w:tc>
          <w:tcPr>
            <w:tcW w:w="992" w:type="dxa"/>
          </w:tcPr>
          <w:p w:rsidR="00C629D9" w:rsidRPr="00410EDF" w:rsidRDefault="00C629D9" w:rsidP="00C625DB">
            <w:pPr>
              <w:pStyle w:val="Default"/>
              <w:jc w:val="center"/>
              <w:rPr>
                <w:rFonts w:ascii="Arial" w:hAnsi="Arial" w:cs="Arial"/>
                <w:color w:val="auto"/>
                <w:sz w:val="20"/>
                <w:szCs w:val="20"/>
              </w:rPr>
            </w:pPr>
            <w:r w:rsidRPr="00410EDF">
              <w:rPr>
                <w:rFonts w:ascii="Arial" w:hAnsi="Arial" w:cs="Arial"/>
                <w:color w:val="auto"/>
                <w:sz w:val="20"/>
                <w:szCs w:val="20"/>
              </w:rPr>
              <w:t xml:space="preserve">34,73 </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rPr>
              <w:t>[ % ]</w:t>
            </w:r>
          </w:p>
        </w:tc>
        <w:tc>
          <w:tcPr>
            <w:tcW w:w="992" w:type="dxa"/>
          </w:tcPr>
          <w:p w:rsidR="00C629D9" w:rsidRPr="00410EDF" w:rsidRDefault="00C629D9" w:rsidP="00C625DB">
            <w:pPr>
              <w:pStyle w:val="Default"/>
              <w:jc w:val="center"/>
              <w:rPr>
                <w:rFonts w:ascii="Arial" w:hAnsi="Arial" w:cs="Arial"/>
                <w:color w:val="auto"/>
                <w:sz w:val="20"/>
                <w:szCs w:val="20"/>
              </w:rPr>
            </w:pPr>
            <w:r w:rsidRPr="00410EDF">
              <w:rPr>
                <w:rFonts w:ascii="Arial" w:hAnsi="Arial" w:cs="Arial"/>
                <w:color w:val="auto"/>
                <w:sz w:val="20"/>
                <w:szCs w:val="20"/>
              </w:rPr>
              <w:t xml:space="preserve">35,08 </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rPr>
              <w:t>[ % ]</w:t>
            </w:r>
          </w:p>
        </w:tc>
        <w:tc>
          <w:tcPr>
            <w:tcW w:w="1134" w:type="dxa"/>
          </w:tcPr>
          <w:p w:rsidR="00C629D9" w:rsidRPr="00410EDF" w:rsidRDefault="00C629D9" w:rsidP="00C625DB">
            <w:pPr>
              <w:spacing w:after="0" w:line="240" w:lineRule="auto"/>
              <w:jc w:val="center"/>
              <w:rPr>
                <w:rFonts w:ascii="Arial" w:hAnsi="Arial" w:cs="Arial"/>
                <w:b/>
                <w:sz w:val="20"/>
                <w:szCs w:val="20"/>
                <w:lang w:val="it-IT"/>
              </w:rPr>
            </w:pPr>
            <w:r w:rsidRPr="00410EDF">
              <w:rPr>
                <w:rFonts w:ascii="Arial" w:hAnsi="Arial" w:cs="Arial"/>
                <w:sz w:val="20"/>
                <w:szCs w:val="20"/>
                <w:lang w:val="it-IT"/>
              </w:rPr>
              <w:t>37,35</w:t>
            </w:r>
          </w:p>
          <w:p w:rsidR="00C629D9" w:rsidRPr="00410EDF" w:rsidRDefault="00C629D9" w:rsidP="00C625DB">
            <w:pPr>
              <w:spacing w:after="0" w:line="240" w:lineRule="auto"/>
              <w:jc w:val="center"/>
              <w:rPr>
                <w:rFonts w:ascii="Arial" w:hAnsi="Arial" w:cs="Arial"/>
                <w:b/>
                <w:sz w:val="20"/>
                <w:szCs w:val="20"/>
                <w:lang w:val="it-IT"/>
              </w:rPr>
            </w:pPr>
            <w:r w:rsidRPr="00410EDF">
              <w:rPr>
                <w:rFonts w:ascii="Arial" w:hAnsi="Arial" w:cs="Arial"/>
                <w:sz w:val="20"/>
                <w:szCs w:val="20"/>
              </w:rPr>
              <w:t>[ % ]</w:t>
            </w:r>
          </w:p>
          <w:p w:rsidR="00C629D9" w:rsidRPr="00410EDF" w:rsidRDefault="00C629D9" w:rsidP="00C625DB">
            <w:pPr>
              <w:pStyle w:val="Default"/>
              <w:jc w:val="center"/>
              <w:rPr>
                <w:rFonts w:ascii="Arial" w:hAnsi="Arial" w:cs="Arial"/>
                <w:color w:val="auto"/>
                <w:sz w:val="20"/>
                <w:szCs w:val="20"/>
                <w:lang w:val="ro-RO"/>
              </w:rPr>
            </w:pPr>
          </w:p>
        </w:tc>
        <w:tc>
          <w:tcPr>
            <w:tcW w:w="1276" w:type="dxa"/>
          </w:tcPr>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63,35</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rPr>
              <w:t>[ % ]</w:t>
            </w:r>
          </w:p>
        </w:tc>
        <w:tc>
          <w:tcPr>
            <w:tcW w:w="1134" w:type="dxa"/>
            <w:tcBorders>
              <w:right w:val="single" w:sz="4" w:space="0" w:color="auto"/>
            </w:tcBorders>
          </w:tcPr>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59,54</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 % ]</w:t>
            </w:r>
          </w:p>
        </w:tc>
        <w:tc>
          <w:tcPr>
            <w:tcW w:w="1099" w:type="dxa"/>
            <w:tcBorders>
              <w:left w:val="single" w:sz="4" w:space="0" w:color="auto"/>
            </w:tcBorders>
          </w:tcPr>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67,43</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 % ]</w:t>
            </w:r>
          </w:p>
        </w:tc>
      </w:tr>
      <w:tr w:rsidR="00C629D9" w:rsidRPr="00410EDF" w:rsidTr="00C629D9">
        <w:tc>
          <w:tcPr>
            <w:tcW w:w="1785" w:type="dxa"/>
          </w:tcPr>
          <w:p w:rsidR="00C629D9" w:rsidRPr="006157E7" w:rsidRDefault="00C629D9" w:rsidP="00C625DB">
            <w:pPr>
              <w:pStyle w:val="Default"/>
              <w:rPr>
                <w:rFonts w:ascii="Arial" w:hAnsi="Arial" w:cs="Arial"/>
                <w:color w:val="auto"/>
                <w:sz w:val="22"/>
                <w:szCs w:val="22"/>
                <w:lang w:val="ro-RO"/>
              </w:rPr>
            </w:pPr>
            <w:r w:rsidRPr="006157E7">
              <w:rPr>
                <w:rFonts w:ascii="Arial" w:hAnsi="Arial" w:cs="Arial"/>
                <w:color w:val="auto"/>
                <w:sz w:val="22"/>
                <w:szCs w:val="22"/>
              </w:rPr>
              <w:t>Reducerea cantităţii de deşeuri biodegradabile generate faţă de 1995 [ % ]</w:t>
            </w:r>
          </w:p>
        </w:tc>
        <w:tc>
          <w:tcPr>
            <w:tcW w:w="1017" w:type="dxa"/>
          </w:tcPr>
          <w:p w:rsidR="00C629D9" w:rsidRPr="00410EDF" w:rsidRDefault="00C629D9" w:rsidP="00C625DB">
            <w:pPr>
              <w:pStyle w:val="Default"/>
              <w:jc w:val="center"/>
              <w:rPr>
                <w:rFonts w:ascii="Arial" w:hAnsi="Arial" w:cs="Arial"/>
                <w:color w:val="auto"/>
                <w:sz w:val="20"/>
                <w:szCs w:val="20"/>
                <w:lang w:val="ro-RO"/>
              </w:rPr>
            </w:pPr>
          </w:p>
        </w:tc>
        <w:tc>
          <w:tcPr>
            <w:tcW w:w="992" w:type="dxa"/>
          </w:tcPr>
          <w:p w:rsidR="00C629D9" w:rsidRPr="00410EDF" w:rsidRDefault="00C629D9" w:rsidP="00C625DB">
            <w:pPr>
              <w:pStyle w:val="Default"/>
              <w:jc w:val="center"/>
              <w:rPr>
                <w:rFonts w:ascii="Arial" w:hAnsi="Arial" w:cs="Arial"/>
                <w:color w:val="auto"/>
                <w:sz w:val="20"/>
                <w:szCs w:val="20"/>
              </w:rPr>
            </w:pPr>
            <w:r w:rsidRPr="00410EDF">
              <w:rPr>
                <w:rFonts w:ascii="Arial" w:hAnsi="Arial" w:cs="Arial"/>
                <w:color w:val="auto"/>
                <w:sz w:val="20"/>
                <w:szCs w:val="20"/>
              </w:rPr>
              <w:t xml:space="preserve">50.28 </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rPr>
              <w:t>[ % ]</w:t>
            </w:r>
          </w:p>
        </w:tc>
        <w:tc>
          <w:tcPr>
            <w:tcW w:w="992" w:type="dxa"/>
          </w:tcPr>
          <w:p w:rsidR="00C629D9" w:rsidRPr="00410EDF" w:rsidRDefault="00C629D9" w:rsidP="00C625DB">
            <w:pPr>
              <w:pStyle w:val="Default"/>
              <w:jc w:val="center"/>
              <w:rPr>
                <w:rFonts w:ascii="Arial" w:hAnsi="Arial" w:cs="Arial"/>
                <w:color w:val="auto"/>
                <w:sz w:val="20"/>
                <w:szCs w:val="20"/>
              </w:rPr>
            </w:pPr>
            <w:r w:rsidRPr="00410EDF">
              <w:rPr>
                <w:rFonts w:ascii="Arial" w:hAnsi="Arial" w:cs="Arial"/>
                <w:color w:val="auto"/>
                <w:sz w:val="20"/>
                <w:szCs w:val="20"/>
              </w:rPr>
              <w:t xml:space="preserve">65,27 </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rPr>
              <w:t>[ % ]</w:t>
            </w:r>
          </w:p>
        </w:tc>
        <w:tc>
          <w:tcPr>
            <w:tcW w:w="992" w:type="dxa"/>
          </w:tcPr>
          <w:p w:rsidR="00C629D9" w:rsidRPr="00410EDF" w:rsidRDefault="00C629D9" w:rsidP="00C625DB">
            <w:pPr>
              <w:pStyle w:val="Default"/>
              <w:jc w:val="center"/>
              <w:rPr>
                <w:rFonts w:ascii="Arial" w:hAnsi="Arial" w:cs="Arial"/>
                <w:color w:val="auto"/>
                <w:sz w:val="20"/>
                <w:szCs w:val="20"/>
              </w:rPr>
            </w:pPr>
            <w:r w:rsidRPr="00410EDF">
              <w:rPr>
                <w:rFonts w:ascii="Arial" w:hAnsi="Arial" w:cs="Arial"/>
                <w:color w:val="auto"/>
                <w:sz w:val="20"/>
                <w:szCs w:val="20"/>
              </w:rPr>
              <w:t xml:space="preserve">64,92 </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rPr>
              <w:t>[ % ]</w:t>
            </w:r>
          </w:p>
        </w:tc>
        <w:tc>
          <w:tcPr>
            <w:tcW w:w="1134" w:type="dxa"/>
          </w:tcPr>
          <w:p w:rsidR="00C629D9" w:rsidRPr="00410EDF" w:rsidRDefault="00C629D9" w:rsidP="00C625DB">
            <w:pPr>
              <w:pStyle w:val="Default"/>
              <w:jc w:val="center"/>
              <w:rPr>
                <w:rFonts w:ascii="Arial" w:hAnsi="Arial" w:cs="Arial"/>
                <w:color w:val="auto"/>
                <w:sz w:val="20"/>
                <w:szCs w:val="20"/>
                <w:lang w:val="it-IT"/>
              </w:rPr>
            </w:pPr>
            <w:r w:rsidRPr="00410EDF">
              <w:rPr>
                <w:rFonts w:ascii="Arial" w:hAnsi="Arial" w:cs="Arial"/>
                <w:color w:val="auto"/>
                <w:sz w:val="20"/>
                <w:szCs w:val="20"/>
                <w:lang w:val="it-IT"/>
              </w:rPr>
              <w:t>63,65</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rPr>
              <w:t>[ % ]</w:t>
            </w:r>
          </w:p>
        </w:tc>
        <w:tc>
          <w:tcPr>
            <w:tcW w:w="1276" w:type="dxa"/>
          </w:tcPr>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36,65</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rPr>
              <w:t>[ % ]</w:t>
            </w:r>
          </w:p>
        </w:tc>
        <w:tc>
          <w:tcPr>
            <w:tcW w:w="1134" w:type="dxa"/>
            <w:tcBorders>
              <w:right w:val="single" w:sz="4" w:space="0" w:color="auto"/>
            </w:tcBorders>
          </w:tcPr>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40,46</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 % ]</w:t>
            </w:r>
          </w:p>
        </w:tc>
        <w:tc>
          <w:tcPr>
            <w:tcW w:w="1099" w:type="dxa"/>
            <w:tcBorders>
              <w:left w:val="single" w:sz="4" w:space="0" w:color="auto"/>
            </w:tcBorders>
          </w:tcPr>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32,57</w:t>
            </w:r>
          </w:p>
          <w:p w:rsidR="00C629D9" w:rsidRPr="00410EDF" w:rsidRDefault="00C629D9" w:rsidP="00C625DB">
            <w:pPr>
              <w:pStyle w:val="Default"/>
              <w:jc w:val="center"/>
              <w:rPr>
                <w:rFonts w:ascii="Arial" w:hAnsi="Arial" w:cs="Arial"/>
                <w:color w:val="auto"/>
                <w:sz w:val="20"/>
                <w:szCs w:val="20"/>
                <w:lang w:val="ro-RO"/>
              </w:rPr>
            </w:pPr>
            <w:r w:rsidRPr="00410EDF">
              <w:rPr>
                <w:rFonts w:ascii="Arial" w:hAnsi="Arial" w:cs="Arial"/>
                <w:color w:val="auto"/>
                <w:sz w:val="20"/>
                <w:szCs w:val="20"/>
                <w:lang w:val="ro-RO"/>
              </w:rPr>
              <w:t>[ % ]</w:t>
            </w:r>
          </w:p>
        </w:tc>
      </w:tr>
    </w:tbl>
    <w:p w:rsidR="00F065B7" w:rsidRPr="00410EDF" w:rsidRDefault="00F065B7" w:rsidP="00C625DB">
      <w:pPr>
        <w:shd w:val="clear" w:color="auto" w:fill="FFFFFF"/>
        <w:spacing w:after="0" w:line="240" w:lineRule="auto"/>
        <w:jc w:val="both"/>
        <w:rPr>
          <w:rFonts w:ascii="Arial" w:hAnsi="Arial" w:cs="Arial"/>
          <w:b/>
          <w:sz w:val="24"/>
          <w:szCs w:val="24"/>
        </w:rPr>
      </w:pPr>
    </w:p>
    <w:p w:rsidR="00F065B7" w:rsidRPr="00410EDF" w:rsidRDefault="00F065B7" w:rsidP="00C625DB">
      <w:pPr>
        <w:shd w:val="clear" w:color="auto" w:fill="FFFFFF"/>
        <w:spacing w:after="0" w:line="240" w:lineRule="auto"/>
        <w:ind w:firstLine="708"/>
        <w:jc w:val="both"/>
        <w:rPr>
          <w:rFonts w:ascii="Arial" w:hAnsi="Arial" w:cs="Arial"/>
          <w:b/>
          <w:sz w:val="24"/>
          <w:szCs w:val="24"/>
        </w:rPr>
      </w:pPr>
      <w:r w:rsidRPr="00410EDF">
        <w:rPr>
          <w:rFonts w:ascii="Arial" w:hAnsi="Arial" w:cs="Arial"/>
          <w:sz w:val="24"/>
          <w:szCs w:val="24"/>
        </w:rPr>
        <w:lastRenderedPageBreak/>
        <w:t xml:space="preserve">Conform Legii 211/2011, privind regimul deşeurilor, </w:t>
      </w:r>
      <w:r w:rsidRPr="00410EDF">
        <w:rPr>
          <w:rStyle w:val="tpt1"/>
          <w:rFonts w:ascii="Arial" w:hAnsi="Arial" w:cs="Arial"/>
          <w:sz w:val="24"/>
          <w:szCs w:val="24"/>
        </w:rPr>
        <w:t>biodeşeurile sunt deşeuri biodegradabile provenite din grădini şi parcuri, deşeurile alimentare sau cele provenite din bucătăriile gospodăriilor private, restaurantelor, firmelor de catering ori din magazine de vânzare cu amănuntul, compatibile cu deşeurile provenite din unităţile de prelucrare a produselor alimentare.</w:t>
      </w:r>
      <w:r w:rsidRPr="00410EDF">
        <w:rPr>
          <w:rFonts w:ascii="Arial" w:hAnsi="Arial" w:cs="Arial"/>
          <w:sz w:val="24"/>
          <w:szCs w:val="24"/>
        </w:rPr>
        <w:t>Aceste deşeuri reprezintă un procent de aprox. 60% din cantitatea de deşeuri municipale în mediul urban şi 80% din cantitatea de deşeuri generată în mediul rural.</w:t>
      </w:r>
    </w:p>
    <w:p w:rsidR="00F065B7" w:rsidRPr="00410EDF" w:rsidRDefault="00F065B7" w:rsidP="00C625DB">
      <w:pPr>
        <w:autoSpaceDE w:val="0"/>
        <w:autoSpaceDN w:val="0"/>
        <w:adjustRightInd w:val="0"/>
        <w:spacing w:after="0" w:line="240" w:lineRule="auto"/>
        <w:jc w:val="both"/>
        <w:rPr>
          <w:rFonts w:ascii="Arial" w:hAnsi="Arial" w:cs="Arial"/>
          <w:b/>
          <w:sz w:val="24"/>
          <w:szCs w:val="24"/>
        </w:rPr>
      </w:pPr>
      <w:r w:rsidRPr="00410EDF">
        <w:rPr>
          <w:rFonts w:ascii="Arial" w:hAnsi="Arial" w:cs="Arial"/>
          <w:sz w:val="24"/>
          <w:szCs w:val="24"/>
        </w:rPr>
        <w:t>Soluţiile de recuperare/reciclare şi reducere a materiilor biodegradabile depozitate care se pot aplica sunt :</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compostarea (degradarea aerobă);</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degradarea anaerobă cu producerea şi colectarea de biogaz;</w:t>
      </w:r>
    </w:p>
    <w:p w:rsidR="00F065B7" w:rsidRPr="00410EDF" w:rsidRDefault="00F065B7" w:rsidP="00C625DB">
      <w:pPr>
        <w:autoSpaceDE w:val="0"/>
        <w:autoSpaceDN w:val="0"/>
        <w:adjustRightInd w:val="0"/>
        <w:spacing w:after="0" w:line="240" w:lineRule="auto"/>
        <w:ind w:left="708"/>
        <w:jc w:val="both"/>
        <w:rPr>
          <w:rFonts w:ascii="Arial" w:hAnsi="Arial" w:cs="Arial"/>
          <w:b/>
          <w:sz w:val="24"/>
          <w:szCs w:val="24"/>
          <w:lang w:val="it-IT"/>
        </w:rPr>
      </w:pPr>
      <w:r w:rsidRPr="00410EDF">
        <w:rPr>
          <w:rFonts w:ascii="Arial" w:hAnsi="Arial" w:cs="Arial"/>
          <w:sz w:val="24"/>
          <w:szCs w:val="24"/>
          <w:lang w:val="it-IT"/>
        </w:rPr>
        <w:t>- tratare mecano - biologică (degradare aerobă) cu producere de deşeuri stabilizate, depozitabile</w:t>
      </w:r>
    </w:p>
    <w:p w:rsidR="00F065B7" w:rsidRPr="00410EDF" w:rsidRDefault="00F065B7" w:rsidP="00C625DB">
      <w:pPr>
        <w:spacing w:after="0" w:line="240" w:lineRule="auto"/>
        <w:ind w:firstLine="708"/>
        <w:jc w:val="both"/>
        <w:rPr>
          <w:rFonts w:ascii="Arial" w:hAnsi="Arial" w:cs="Arial"/>
          <w:b/>
          <w:sz w:val="24"/>
          <w:szCs w:val="24"/>
          <w:lang w:val="it-IT"/>
        </w:rPr>
      </w:pPr>
      <w:r w:rsidRPr="00410EDF">
        <w:rPr>
          <w:rFonts w:ascii="Arial" w:hAnsi="Arial" w:cs="Arial"/>
          <w:sz w:val="24"/>
          <w:szCs w:val="24"/>
          <w:lang w:val="it-IT"/>
        </w:rPr>
        <w:t>Compostarea deşeurilor menajere este o alternativă viabilă la incinerarea sau depozitarea deşeurilor după operaţia de separare. Este bine cunoscut faptul că materialele care ridică probleme în depozitele de deşeuri sunt deşeurile organice (biodegradabile), care prin transformare degajă metan ce contribuie la încălzirea globală, răspândesc mirosuri neplăcute şi acizi care devin toxici contaminând terenul şi apele subterane. Compostarea elimină aceste materiale organice din depozite şi este un proces mai ieftin şi mai ecologic decât incinerarea.</w:t>
      </w:r>
    </w:p>
    <w:p w:rsidR="00F065B7" w:rsidRPr="00410EDF" w:rsidRDefault="00F065B7" w:rsidP="00C625DB">
      <w:pPr>
        <w:spacing w:after="0" w:line="240" w:lineRule="auto"/>
        <w:jc w:val="both"/>
        <w:rPr>
          <w:rFonts w:ascii="Arial" w:hAnsi="Arial" w:cs="Arial"/>
          <w:b/>
          <w:sz w:val="24"/>
          <w:szCs w:val="24"/>
          <w:lang w:val="it-IT"/>
        </w:rPr>
      </w:pPr>
      <w:r w:rsidRPr="00410EDF">
        <w:rPr>
          <w:rFonts w:ascii="Arial" w:hAnsi="Arial" w:cs="Arial"/>
          <w:sz w:val="24"/>
          <w:szCs w:val="24"/>
          <w:lang w:val="it-IT"/>
        </w:rPr>
        <w:t xml:space="preserve">În municipiul </w:t>
      </w:r>
      <w:r w:rsidR="00217620">
        <w:rPr>
          <w:rFonts w:ascii="Arial" w:hAnsi="Arial" w:cs="Arial"/>
          <w:sz w:val="24"/>
          <w:szCs w:val="24"/>
          <w:lang w:val="it-IT"/>
        </w:rPr>
        <w:t>Brăila</w:t>
      </w:r>
      <w:r w:rsidRPr="00410EDF">
        <w:rPr>
          <w:rFonts w:ascii="Arial" w:hAnsi="Arial" w:cs="Arial"/>
          <w:sz w:val="24"/>
          <w:szCs w:val="24"/>
          <w:lang w:val="it-IT"/>
        </w:rPr>
        <w:t xml:space="preserve"> nu se face o colectare separată a materialului biodegradabil, dar în mediul rural populaţia practică metode de reutilizare în gospodăriile proprii.</w:t>
      </w:r>
    </w:p>
    <w:p w:rsidR="00F065B7" w:rsidRPr="00410EDF" w:rsidRDefault="00F065B7" w:rsidP="00C625DB">
      <w:pPr>
        <w:pStyle w:val="Default"/>
        <w:ind w:firstLine="708"/>
        <w:jc w:val="both"/>
        <w:rPr>
          <w:rFonts w:ascii="Arial" w:hAnsi="Arial" w:cs="Arial"/>
          <w:color w:val="auto"/>
          <w:lang w:val="ro-RO"/>
        </w:rPr>
      </w:pPr>
      <w:r w:rsidRPr="00410EDF">
        <w:rPr>
          <w:rFonts w:ascii="Arial" w:hAnsi="Arial" w:cs="Arial"/>
          <w:color w:val="auto"/>
          <w:lang w:val="ro-RO"/>
        </w:rPr>
        <w:t xml:space="preserve">În anul 2006 Consiliul Judeţean în cadrul programului Phare CES </w:t>
      </w:r>
      <w:smartTag w:uri="urn:schemas-microsoft-com:office:smarttags" w:element="metricconverter">
        <w:smartTagPr>
          <w:attr w:name="ProductID" w:val="2004 a"/>
        </w:smartTagPr>
        <w:r w:rsidRPr="00410EDF">
          <w:rPr>
            <w:rFonts w:ascii="Arial" w:hAnsi="Arial" w:cs="Arial"/>
            <w:color w:val="auto"/>
            <w:lang w:val="ro-RO"/>
          </w:rPr>
          <w:t>2004 a</w:t>
        </w:r>
      </w:smartTag>
      <w:r w:rsidRPr="00410EDF">
        <w:rPr>
          <w:rFonts w:ascii="Arial" w:hAnsi="Arial" w:cs="Arial"/>
          <w:color w:val="auto"/>
          <w:lang w:val="ro-RO"/>
        </w:rPr>
        <w:t xml:space="preserve"> obţinut finanţare pe proiectul </w:t>
      </w:r>
      <w:r w:rsidRPr="00410EDF">
        <w:rPr>
          <w:rFonts w:ascii="Arial" w:hAnsi="Arial" w:cs="Arial"/>
          <w:i/>
          <w:color w:val="auto"/>
          <w:lang w:val="ro-RO"/>
        </w:rPr>
        <w:t>Staţie de compostare deşeuri biodegradabile oraş Ianca</w:t>
      </w:r>
      <w:r w:rsidRPr="00410EDF">
        <w:rPr>
          <w:rFonts w:ascii="Arial" w:hAnsi="Arial" w:cs="Arial"/>
          <w:color w:val="auto"/>
          <w:lang w:val="ro-RO"/>
        </w:rPr>
        <w:t>, obiectiv prevăzut în Planul Regional de Gestionare a Deşeurilor. Scopul realizării staţiei este transformarea în îngrăşământ agricol a gunoiului de grajd provenit din gospodăriile oraşului Ianca şi ale localităţilor arondate, respectiv Perişoru, Berlescu, Târlele Filiu, Oprişeneşti şi Plopu. Deşeurile biodegradabile se colectează de la ţăranii care cresc animale şi se depozitează pe o platformă betonată, cu capacitatea de 17.000 metri cubi. Pentru colectarea gunoiului de grajd, în fiecare gospodărie, s-au amplasat europubele speciale. S-a achiziţionat un camion special pentru colectarea şi transportul deşeurilor biodegradabile. Acest proiect a fost realizat şi funcţionează din decem</w:t>
      </w:r>
      <w:r w:rsidR="007C1699">
        <w:rPr>
          <w:rFonts w:ascii="Arial" w:hAnsi="Arial" w:cs="Arial"/>
          <w:color w:val="auto"/>
          <w:lang w:val="ro-RO"/>
        </w:rPr>
        <w:t>BR</w:t>
      </w:r>
      <w:r w:rsidRPr="00410EDF">
        <w:rPr>
          <w:rFonts w:ascii="Arial" w:hAnsi="Arial" w:cs="Arial"/>
          <w:color w:val="auto"/>
          <w:lang w:val="ro-RO"/>
        </w:rPr>
        <w:t>ie 2008. Capacitatea de depozitare a Staţiei de compost este de 17.000 m</w:t>
      </w:r>
      <w:r w:rsidRPr="00410EDF">
        <w:rPr>
          <w:rFonts w:ascii="Arial" w:hAnsi="Arial" w:cs="Arial"/>
          <w:color w:val="auto"/>
          <w:vertAlign w:val="superscript"/>
          <w:lang w:val="ro-RO"/>
        </w:rPr>
        <w:t>3</w:t>
      </w:r>
      <w:r w:rsidRPr="00410EDF">
        <w:rPr>
          <w:rFonts w:ascii="Arial" w:hAnsi="Arial" w:cs="Arial"/>
          <w:color w:val="auto"/>
          <w:lang w:val="ro-RO"/>
        </w:rPr>
        <w:t xml:space="preserve"> deşeu biodegradabil, rezultând o cantitate de peste 5.000 tone de compost/ciclu de productie (6 luni), din care un procent de peste 50% poate fi valorificat ca fertilizator agricol de către fermele locale, iar 50% este oferit populaţiei pentru fertilizarea terenurilor, proporţional cu cantitatea de gunoi de grajd predată.În cadrul stației de compostare de la Ianca, în anul 201</w:t>
      </w:r>
      <w:r w:rsidR="00EB083D" w:rsidRPr="00410EDF">
        <w:rPr>
          <w:rFonts w:ascii="Arial" w:hAnsi="Arial" w:cs="Arial"/>
          <w:color w:val="auto"/>
          <w:lang w:val="ro-RO"/>
        </w:rPr>
        <w:t>5</w:t>
      </w:r>
      <w:r w:rsidRPr="00410EDF">
        <w:rPr>
          <w:rFonts w:ascii="Arial" w:hAnsi="Arial" w:cs="Arial"/>
          <w:color w:val="auto"/>
          <w:lang w:val="ro-RO"/>
        </w:rPr>
        <w:t xml:space="preserve"> au fost procesate aprox. </w:t>
      </w:r>
      <w:r w:rsidR="00EB083D" w:rsidRPr="00410EDF">
        <w:rPr>
          <w:rFonts w:ascii="Arial" w:hAnsi="Arial" w:cs="Arial"/>
          <w:color w:val="auto"/>
          <w:lang w:val="ro-RO"/>
        </w:rPr>
        <w:t>811 t de deșeuri biodegradabile rezultate din gunoiul de grajd și a fost obținut aprox. 480 t de compost</w:t>
      </w:r>
      <w:r w:rsidRPr="00410EDF">
        <w:rPr>
          <w:rFonts w:ascii="Arial" w:hAnsi="Arial" w:cs="Arial"/>
          <w:color w:val="auto"/>
          <w:lang w:val="ro-RO"/>
        </w:rPr>
        <w:t>.</w:t>
      </w:r>
    </w:p>
    <w:p w:rsidR="00F065B7" w:rsidRPr="00410EDF" w:rsidRDefault="00F065B7" w:rsidP="00C625DB">
      <w:pPr>
        <w:pStyle w:val="Default"/>
        <w:jc w:val="both"/>
        <w:rPr>
          <w:rFonts w:ascii="Arial" w:hAnsi="Arial" w:cs="Arial"/>
          <w:color w:val="auto"/>
          <w:lang w:val="ro-RO"/>
        </w:rPr>
      </w:pPr>
    </w:p>
    <w:p w:rsidR="00F065B7" w:rsidRPr="00410EDF" w:rsidRDefault="00F065B7" w:rsidP="00C625DB">
      <w:pPr>
        <w:spacing w:after="0" w:line="240" w:lineRule="auto"/>
        <w:rPr>
          <w:rFonts w:ascii="Arial" w:hAnsi="Arial" w:cs="Arial"/>
          <w:b/>
          <w:sz w:val="24"/>
          <w:szCs w:val="24"/>
        </w:rPr>
      </w:pPr>
      <w:r w:rsidRPr="00410EDF">
        <w:rPr>
          <w:rFonts w:ascii="Arial" w:hAnsi="Arial" w:cs="Arial"/>
          <w:b/>
          <w:sz w:val="24"/>
          <w:szCs w:val="24"/>
        </w:rPr>
        <w:t>Tratarea şi valorificarea deşeurilor municipale</w:t>
      </w:r>
    </w:p>
    <w:p w:rsidR="002631C7" w:rsidRPr="00410EDF" w:rsidRDefault="00F065B7" w:rsidP="00C625DB">
      <w:pPr>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 xml:space="preserve">În prezent, la nivelul judeţului nu există instalaţii de tratare mecano - biologică, fermentare anaerobă sau instalaţii de incinerare pentru deşeuri municipale. Cu excepţia </w:t>
      </w:r>
      <w:r w:rsidR="00EA2194" w:rsidRPr="00410EDF">
        <w:rPr>
          <w:rFonts w:ascii="Arial" w:hAnsi="Arial" w:cs="Arial"/>
          <w:sz w:val="24"/>
          <w:szCs w:val="24"/>
          <w:lang w:val="it-IT"/>
        </w:rPr>
        <w:t>stației</w:t>
      </w:r>
      <w:r w:rsidRPr="00410EDF">
        <w:rPr>
          <w:rFonts w:ascii="Arial" w:hAnsi="Arial" w:cs="Arial"/>
          <w:sz w:val="24"/>
          <w:szCs w:val="24"/>
          <w:lang w:val="it-IT"/>
        </w:rPr>
        <w:t xml:space="preserve"> de compostare a gunoiului de grajd din localitatea Ianca, în judeţul </w:t>
      </w:r>
      <w:r w:rsidR="00217620">
        <w:rPr>
          <w:rFonts w:ascii="Arial" w:hAnsi="Arial" w:cs="Arial"/>
          <w:sz w:val="24"/>
          <w:szCs w:val="24"/>
          <w:lang w:val="it-IT"/>
        </w:rPr>
        <w:t>Brăila</w:t>
      </w:r>
      <w:r w:rsidRPr="00410EDF">
        <w:rPr>
          <w:rFonts w:ascii="Arial" w:hAnsi="Arial" w:cs="Arial"/>
          <w:sz w:val="24"/>
          <w:szCs w:val="24"/>
          <w:lang w:val="it-IT"/>
        </w:rPr>
        <w:t xml:space="preserve"> nu există infrastructur</w:t>
      </w:r>
      <w:r w:rsidR="00EA2194" w:rsidRPr="00410EDF">
        <w:rPr>
          <w:rFonts w:ascii="Arial" w:hAnsi="Arial" w:cs="Arial"/>
          <w:sz w:val="24"/>
          <w:szCs w:val="24"/>
          <w:lang w:val="it-IT"/>
        </w:rPr>
        <w:t>ă</w:t>
      </w:r>
      <w:r w:rsidRPr="00410EDF">
        <w:rPr>
          <w:rFonts w:ascii="Arial" w:hAnsi="Arial" w:cs="Arial"/>
          <w:sz w:val="24"/>
          <w:szCs w:val="24"/>
          <w:lang w:val="it-IT"/>
        </w:rPr>
        <w:t xml:space="preserve"> specializată pentru tratarea deşeurilor</w:t>
      </w:r>
      <w:r w:rsidR="00EA2194" w:rsidRPr="00410EDF">
        <w:rPr>
          <w:rFonts w:ascii="Arial" w:hAnsi="Arial" w:cs="Arial"/>
          <w:sz w:val="24"/>
          <w:szCs w:val="24"/>
          <w:lang w:val="it-IT"/>
        </w:rPr>
        <w:t xml:space="preserve"> municipale</w:t>
      </w:r>
      <w:r w:rsidRPr="00410EDF">
        <w:rPr>
          <w:rFonts w:ascii="Arial" w:hAnsi="Arial" w:cs="Arial"/>
          <w:sz w:val="24"/>
          <w:szCs w:val="24"/>
          <w:lang w:val="it-IT"/>
        </w:rPr>
        <w:t xml:space="preserve">. În orașul Însurăței deșeurile menajere colectate sunt sortate manual pe o platforma de stocare temporară, înainte de a fi depozitate. Cantitatea de </w:t>
      </w:r>
      <w:r w:rsidR="002631C7" w:rsidRPr="00410EDF">
        <w:rPr>
          <w:rFonts w:ascii="Arial" w:hAnsi="Arial" w:cs="Arial"/>
          <w:sz w:val="24"/>
          <w:szCs w:val="24"/>
          <w:lang w:val="it-IT"/>
        </w:rPr>
        <w:t>deșeuri</w:t>
      </w:r>
      <w:r w:rsidRPr="00410EDF">
        <w:rPr>
          <w:rFonts w:ascii="Arial" w:hAnsi="Arial" w:cs="Arial"/>
          <w:sz w:val="24"/>
          <w:szCs w:val="24"/>
          <w:lang w:val="it-IT"/>
        </w:rPr>
        <w:t xml:space="preserve"> sortat</w:t>
      </w:r>
      <w:r w:rsidR="002631C7" w:rsidRPr="00410EDF">
        <w:rPr>
          <w:rFonts w:ascii="Arial" w:hAnsi="Arial" w:cs="Arial"/>
          <w:sz w:val="24"/>
          <w:szCs w:val="24"/>
          <w:lang w:val="it-IT"/>
        </w:rPr>
        <w:t xml:space="preserve">e și valorificate </w:t>
      </w:r>
      <w:r w:rsidRPr="00410EDF">
        <w:rPr>
          <w:rFonts w:ascii="Arial" w:hAnsi="Arial" w:cs="Arial"/>
          <w:sz w:val="24"/>
          <w:szCs w:val="24"/>
          <w:lang w:val="it-IT"/>
        </w:rPr>
        <w:t xml:space="preserve"> în anul 201</w:t>
      </w:r>
      <w:r w:rsidR="002631C7" w:rsidRPr="00410EDF">
        <w:rPr>
          <w:rFonts w:ascii="Arial" w:hAnsi="Arial" w:cs="Arial"/>
          <w:sz w:val="24"/>
          <w:szCs w:val="24"/>
          <w:lang w:val="it-IT"/>
        </w:rPr>
        <w:t>5</w:t>
      </w:r>
      <w:r w:rsidRPr="00410EDF">
        <w:rPr>
          <w:rFonts w:ascii="Arial" w:hAnsi="Arial" w:cs="Arial"/>
          <w:sz w:val="24"/>
          <w:szCs w:val="24"/>
          <w:lang w:val="it-IT"/>
        </w:rPr>
        <w:t xml:space="preserve"> a fost</w:t>
      </w:r>
      <w:r w:rsidR="002631C7" w:rsidRPr="00410EDF">
        <w:rPr>
          <w:rFonts w:ascii="Arial" w:hAnsi="Arial" w:cs="Arial"/>
          <w:sz w:val="24"/>
          <w:szCs w:val="24"/>
          <w:lang w:val="it-IT"/>
        </w:rPr>
        <w:t xml:space="preserve"> de 42,92t .</w:t>
      </w:r>
    </w:p>
    <w:p w:rsidR="00F065B7" w:rsidRPr="00410EDF" w:rsidRDefault="00F065B7" w:rsidP="00C625DB">
      <w:pPr>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Colectarea deşeurilor de hârtie, metal, mase plastice, în vederea reciclarii, se realizează prin puncte de colec</w:t>
      </w:r>
      <w:r w:rsidR="00470238" w:rsidRPr="00410EDF">
        <w:rPr>
          <w:rFonts w:ascii="Arial" w:hAnsi="Arial" w:cs="Arial"/>
          <w:sz w:val="24"/>
          <w:szCs w:val="24"/>
          <w:lang w:val="it-IT"/>
        </w:rPr>
        <w:t>tare</w:t>
      </w:r>
      <w:r w:rsidRPr="00410EDF">
        <w:rPr>
          <w:rFonts w:ascii="Arial" w:hAnsi="Arial" w:cs="Arial"/>
          <w:sz w:val="24"/>
          <w:szCs w:val="24"/>
          <w:lang w:val="it-IT"/>
        </w:rPr>
        <w:t xml:space="preserve"> autorizate. Acestea primesc materiale separate de la </w:t>
      </w:r>
      <w:r w:rsidR="00EA2194" w:rsidRPr="00410EDF">
        <w:rPr>
          <w:rFonts w:ascii="Arial" w:hAnsi="Arial" w:cs="Arial"/>
          <w:sz w:val="24"/>
          <w:szCs w:val="24"/>
          <w:lang w:val="it-IT"/>
        </w:rPr>
        <w:t xml:space="preserve">populație, </w:t>
      </w:r>
      <w:r w:rsidRPr="00410EDF">
        <w:rPr>
          <w:rFonts w:ascii="Arial" w:hAnsi="Arial" w:cs="Arial"/>
          <w:sz w:val="24"/>
          <w:szCs w:val="24"/>
          <w:lang w:val="it-IT"/>
        </w:rPr>
        <w:t xml:space="preserve">de la persoane private sau de la </w:t>
      </w:r>
      <w:r w:rsidR="00470238" w:rsidRPr="00410EDF">
        <w:rPr>
          <w:rFonts w:ascii="Arial" w:hAnsi="Arial" w:cs="Arial"/>
          <w:sz w:val="24"/>
          <w:szCs w:val="24"/>
          <w:lang w:val="it-IT"/>
        </w:rPr>
        <w:t>operatori din comerț</w:t>
      </w:r>
      <w:r w:rsidRPr="00410EDF">
        <w:rPr>
          <w:rFonts w:ascii="Arial" w:hAnsi="Arial" w:cs="Arial"/>
          <w:sz w:val="24"/>
          <w:szCs w:val="24"/>
          <w:lang w:val="it-IT"/>
        </w:rPr>
        <w:t xml:space="preserve">. Deşeurile colectate sunt predate către </w:t>
      </w:r>
      <w:r w:rsidR="00EA2194" w:rsidRPr="00410EDF">
        <w:rPr>
          <w:rFonts w:ascii="Arial" w:hAnsi="Arial" w:cs="Arial"/>
          <w:sz w:val="24"/>
          <w:szCs w:val="24"/>
          <w:lang w:val="it-IT"/>
        </w:rPr>
        <w:t xml:space="preserve">alți operatori </w:t>
      </w:r>
      <w:r w:rsidRPr="00410EDF">
        <w:rPr>
          <w:rFonts w:ascii="Arial" w:hAnsi="Arial" w:cs="Arial"/>
          <w:sz w:val="24"/>
          <w:szCs w:val="24"/>
          <w:lang w:val="it-IT"/>
        </w:rPr>
        <w:t xml:space="preserve">economici </w:t>
      </w:r>
      <w:r w:rsidR="00EA2194" w:rsidRPr="00410EDF">
        <w:rPr>
          <w:rFonts w:ascii="Arial" w:hAnsi="Arial" w:cs="Arial"/>
          <w:sz w:val="24"/>
          <w:szCs w:val="24"/>
          <w:lang w:val="it-IT"/>
        </w:rPr>
        <w:t>colectori/</w:t>
      </w:r>
      <w:r w:rsidRPr="00410EDF">
        <w:rPr>
          <w:rFonts w:ascii="Arial" w:hAnsi="Arial" w:cs="Arial"/>
          <w:sz w:val="24"/>
          <w:szCs w:val="24"/>
          <w:lang w:val="it-IT"/>
        </w:rPr>
        <w:t>valorificatori. Valorificarea deşeurilor se realizează, în general, pentru deşeurile de mase plastice, metale, hârtie şi carton, anvelope, acumulatori, etc. Agenţii economici care colectează şi tratează deşeuri reciclabile sunt dota</w:t>
      </w:r>
      <w:r w:rsidR="00EA2194" w:rsidRPr="00410EDF">
        <w:rPr>
          <w:rFonts w:ascii="Arial" w:hAnsi="Arial" w:cs="Arial"/>
          <w:sz w:val="24"/>
          <w:szCs w:val="24"/>
          <w:lang w:val="it-IT"/>
        </w:rPr>
        <w:t>ți</w:t>
      </w:r>
      <w:r w:rsidRPr="00410EDF">
        <w:rPr>
          <w:rFonts w:ascii="Arial" w:hAnsi="Arial" w:cs="Arial"/>
          <w:sz w:val="24"/>
          <w:szCs w:val="24"/>
          <w:lang w:val="it-IT"/>
        </w:rPr>
        <w:t xml:space="preserve"> cu prese de balotare, cântare, instalaţii de prelucrare pentru deşeuri din mase plastice, bascule pod electronice, macarale, truse tăiere, măcinatoare electrice.Valorificarea finală se realizează în fa</w:t>
      </w:r>
      <w:r w:rsidR="007C1699">
        <w:rPr>
          <w:rFonts w:ascii="Arial" w:hAnsi="Arial" w:cs="Arial"/>
          <w:sz w:val="24"/>
          <w:szCs w:val="24"/>
          <w:lang w:val="it-IT"/>
        </w:rPr>
        <w:t>BR</w:t>
      </w:r>
      <w:r w:rsidRPr="00410EDF">
        <w:rPr>
          <w:rFonts w:ascii="Arial" w:hAnsi="Arial" w:cs="Arial"/>
          <w:sz w:val="24"/>
          <w:szCs w:val="24"/>
          <w:lang w:val="it-IT"/>
        </w:rPr>
        <w:t xml:space="preserve">ici unde sunt produse materiale noi precum hârtie </w:t>
      </w:r>
      <w:r w:rsidR="00470238" w:rsidRPr="00410EDF">
        <w:rPr>
          <w:rFonts w:ascii="Arial" w:hAnsi="Arial" w:cs="Arial"/>
          <w:sz w:val="24"/>
          <w:szCs w:val="24"/>
          <w:lang w:val="it-IT"/>
        </w:rPr>
        <w:t>–</w:t>
      </w:r>
      <w:r w:rsidRPr="00410EDF">
        <w:rPr>
          <w:rFonts w:ascii="Arial" w:hAnsi="Arial" w:cs="Arial"/>
          <w:sz w:val="24"/>
          <w:szCs w:val="24"/>
          <w:lang w:val="it-IT"/>
        </w:rPr>
        <w:t xml:space="preserve"> carton</w:t>
      </w:r>
      <w:r w:rsidR="00470238" w:rsidRPr="00410EDF">
        <w:rPr>
          <w:rFonts w:ascii="Arial" w:hAnsi="Arial" w:cs="Arial"/>
          <w:sz w:val="24"/>
          <w:szCs w:val="24"/>
          <w:lang w:val="it-IT"/>
        </w:rPr>
        <w:t>, mase plastice</w:t>
      </w:r>
      <w:r w:rsidRPr="00410EDF">
        <w:rPr>
          <w:rFonts w:ascii="Arial" w:hAnsi="Arial" w:cs="Arial"/>
          <w:sz w:val="24"/>
          <w:szCs w:val="24"/>
          <w:lang w:val="it-IT"/>
        </w:rPr>
        <w:t>.</w:t>
      </w:r>
    </w:p>
    <w:p w:rsidR="00EA2194" w:rsidRPr="00410EDF" w:rsidRDefault="00EA2194" w:rsidP="00C625DB">
      <w:pPr>
        <w:pStyle w:val="char0"/>
        <w:rPr>
          <w:rFonts w:ascii="Arial" w:hAnsi="Arial" w:cs="Arial"/>
          <w:b/>
          <w:lang w:val="ro-RO"/>
        </w:rPr>
      </w:pPr>
    </w:p>
    <w:p w:rsidR="00F065B7" w:rsidRPr="00410EDF" w:rsidRDefault="00F065B7" w:rsidP="00C625DB">
      <w:pPr>
        <w:pStyle w:val="char0"/>
        <w:rPr>
          <w:rFonts w:ascii="Arial" w:hAnsi="Arial" w:cs="Arial"/>
          <w:b/>
          <w:lang w:val="ro-RO"/>
        </w:rPr>
      </w:pPr>
      <w:r w:rsidRPr="00410EDF">
        <w:rPr>
          <w:rFonts w:ascii="Arial" w:hAnsi="Arial" w:cs="Arial"/>
          <w:b/>
          <w:lang w:val="ro-RO"/>
        </w:rPr>
        <w:t xml:space="preserve">Gestionarea deşeurilor periculoase din deşeurile municipale    </w:t>
      </w:r>
    </w:p>
    <w:p w:rsidR="00F065B7" w:rsidRPr="00410EDF" w:rsidRDefault="00F065B7" w:rsidP="00C625DB">
      <w:pPr>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Conform Planului Județean de Gestionare a Deșeurilor estimarea privind cantităţile specifice de deşeuri menajere periculoase, se bazează pe date din Germania (3 kg/persoană pe an) şi Irlanda (2.5 kg/persoană pe an). Se estimează că în zonele urbane rata de generare ar fi similară cu cea din Irlanda, de aproximativ 2,5 kg/persoană pe an, iar pentru regiunile rurale ar trebui să fie considerabil mai mică şi anume 1,5 kg/persoană pe an, prin reducerea cantităţii de produse fitosanitare utilizate.</w:t>
      </w:r>
    </w:p>
    <w:p w:rsidR="0029217B" w:rsidRDefault="0029217B" w:rsidP="00C625DB">
      <w:pPr>
        <w:autoSpaceDE w:val="0"/>
        <w:autoSpaceDN w:val="0"/>
        <w:adjustRightInd w:val="0"/>
        <w:spacing w:after="0" w:line="240" w:lineRule="auto"/>
        <w:jc w:val="both"/>
        <w:rPr>
          <w:rFonts w:ascii="Arial" w:hAnsi="Arial" w:cs="Arial"/>
          <w:sz w:val="24"/>
          <w:szCs w:val="24"/>
        </w:rPr>
      </w:pPr>
    </w:p>
    <w:p w:rsidR="00F065B7" w:rsidRPr="00410EDF" w:rsidRDefault="00F065B7" w:rsidP="00C625DB">
      <w:pPr>
        <w:autoSpaceDE w:val="0"/>
        <w:autoSpaceDN w:val="0"/>
        <w:adjustRightInd w:val="0"/>
        <w:spacing w:after="0" w:line="240" w:lineRule="auto"/>
        <w:jc w:val="both"/>
        <w:rPr>
          <w:rFonts w:ascii="Arial" w:hAnsi="Arial" w:cs="Arial"/>
          <w:b/>
          <w:bCs/>
          <w:sz w:val="24"/>
          <w:szCs w:val="24"/>
          <w:lang w:val="it-IT"/>
        </w:rPr>
      </w:pPr>
      <w:r w:rsidRPr="00410EDF">
        <w:rPr>
          <w:rFonts w:ascii="Arial" w:hAnsi="Arial" w:cs="Arial"/>
          <w:sz w:val="24"/>
          <w:szCs w:val="24"/>
        </w:rPr>
        <w:t>Tabel VII.1.1.14</w:t>
      </w:r>
      <w:r w:rsidRPr="00410EDF">
        <w:rPr>
          <w:rFonts w:ascii="Arial" w:hAnsi="Arial" w:cs="Arial"/>
          <w:sz w:val="24"/>
          <w:szCs w:val="24"/>
          <w:lang w:val="it-IT"/>
        </w:rPr>
        <w:t xml:space="preserve"> C</w:t>
      </w:r>
      <w:r w:rsidRPr="00410EDF">
        <w:rPr>
          <w:rFonts w:ascii="Arial" w:hAnsi="Arial" w:cs="Arial"/>
          <w:bCs/>
          <w:sz w:val="24"/>
          <w:szCs w:val="24"/>
          <w:lang w:val="it-IT"/>
        </w:rPr>
        <w:t xml:space="preserve">antitate de deşeuri menajere periculoase estimate în județul </w:t>
      </w:r>
      <w:r w:rsidR="00217620">
        <w:rPr>
          <w:rFonts w:ascii="Arial" w:hAnsi="Arial" w:cs="Arial"/>
          <w:bCs/>
          <w:sz w:val="24"/>
          <w:szCs w:val="24"/>
          <w:lang w:val="it-IT"/>
        </w:rPr>
        <w:t>Brăila</w:t>
      </w:r>
      <w:r w:rsidRPr="00410EDF">
        <w:rPr>
          <w:rFonts w:ascii="Arial" w:hAnsi="Arial" w:cs="Arial"/>
          <w:bCs/>
          <w:sz w:val="24"/>
          <w:szCs w:val="24"/>
          <w:lang w:val="it-IT"/>
        </w:rPr>
        <w:t xml:space="preserve"> în anul 2013</w:t>
      </w:r>
    </w:p>
    <w:tbl>
      <w:tblPr>
        <w:tblW w:w="0" w:type="auto"/>
        <w:tblInd w:w="1526"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4A0"/>
      </w:tblPr>
      <w:tblGrid>
        <w:gridCol w:w="1559"/>
        <w:gridCol w:w="1843"/>
        <w:gridCol w:w="1276"/>
        <w:gridCol w:w="2409"/>
      </w:tblGrid>
      <w:tr w:rsidR="00F065B7" w:rsidRPr="00410EDF" w:rsidTr="006157E7">
        <w:tc>
          <w:tcPr>
            <w:tcW w:w="1559" w:type="dxa"/>
            <w:shd w:val="clear" w:color="auto" w:fill="EEECE1" w:themeFill="background2"/>
          </w:tcPr>
          <w:p w:rsidR="00F065B7" w:rsidRPr="00410EDF" w:rsidRDefault="00F065B7" w:rsidP="00C625DB">
            <w:pPr>
              <w:autoSpaceDE w:val="0"/>
              <w:autoSpaceDN w:val="0"/>
              <w:adjustRightInd w:val="0"/>
              <w:spacing w:after="0" w:line="240" w:lineRule="auto"/>
              <w:jc w:val="both"/>
              <w:rPr>
                <w:rFonts w:ascii="Arial" w:eastAsia="SimSun" w:hAnsi="Arial" w:cs="Arial"/>
                <w:b/>
                <w:bCs/>
                <w:sz w:val="24"/>
                <w:szCs w:val="24"/>
                <w:lang w:val="it-IT"/>
              </w:rPr>
            </w:pPr>
          </w:p>
        </w:tc>
        <w:tc>
          <w:tcPr>
            <w:tcW w:w="3119" w:type="dxa"/>
            <w:gridSpan w:val="2"/>
            <w:shd w:val="clear" w:color="auto" w:fill="EEECE1" w:themeFill="background2"/>
            <w:hideMark/>
          </w:tcPr>
          <w:p w:rsidR="00F065B7" w:rsidRPr="00410EDF" w:rsidRDefault="00F065B7" w:rsidP="00C625DB">
            <w:pPr>
              <w:autoSpaceDE w:val="0"/>
              <w:autoSpaceDN w:val="0"/>
              <w:adjustRightInd w:val="0"/>
              <w:spacing w:after="0" w:line="240" w:lineRule="auto"/>
              <w:jc w:val="center"/>
              <w:rPr>
                <w:rFonts w:ascii="Arial" w:eastAsia="SimSun" w:hAnsi="Arial" w:cs="Arial"/>
                <w:sz w:val="24"/>
                <w:szCs w:val="24"/>
                <w:lang w:val="it-IT"/>
              </w:rPr>
            </w:pPr>
            <w:r w:rsidRPr="00410EDF">
              <w:rPr>
                <w:rFonts w:ascii="Arial" w:hAnsi="Arial" w:cs="Arial"/>
                <w:bCs/>
                <w:sz w:val="24"/>
                <w:szCs w:val="24"/>
                <w:lang w:val="it-IT"/>
              </w:rPr>
              <w:t>Deşeuri specifice generate locuitori X Kg/ locuitor</w:t>
            </w:r>
          </w:p>
        </w:tc>
        <w:tc>
          <w:tcPr>
            <w:tcW w:w="2409" w:type="dxa"/>
            <w:shd w:val="clear" w:color="auto" w:fill="EEECE1" w:themeFill="background2"/>
            <w:hideMark/>
          </w:tcPr>
          <w:p w:rsidR="00F065B7" w:rsidRPr="00410EDF" w:rsidRDefault="00F065B7" w:rsidP="00C625DB">
            <w:pPr>
              <w:autoSpaceDE w:val="0"/>
              <w:autoSpaceDN w:val="0"/>
              <w:adjustRightInd w:val="0"/>
              <w:spacing w:after="0" w:line="240" w:lineRule="auto"/>
              <w:ind w:firstLine="2"/>
              <w:jc w:val="center"/>
              <w:rPr>
                <w:rFonts w:ascii="Arial" w:eastAsia="SimSun" w:hAnsi="Arial" w:cs="Arial"/>
                <w:sz w:val="24"/>
                <w:szCs w:val="24"/>
                <w:lang w:val="fr-FR"/>
              </w:rPr>
            </w:pPr>
            <w:r w:rsidRPr="00410EDF">
              <w:rPr>
                <w:rFonts w:ascii="Arial" w:hAnsi="Arial" w:cs="Arial"/>
                <w:bCs/>
                <w:sz w:val="24"/>
                <w:szCs w:val="24"/>
                <w:lang w:val="fr-FR"/>
              </w:rPr>
              <w:t>Cantitate totală de deşeuri t/an</w:t>
            </w:r>
          </w:p>
        </w:tc>
      </w:tr>
      <w:tr w:rsidR="00F065B7" w:rsidRPr="00410EDF" w:rsidTr="006157E7">
        <w:tc>
          <w:tcPr>
            <w:tcW w:w="1559" w:type="dxa"/>
            <w:hideMark/>
          </w:tcPr>
          <w:p w:rsidR="00F065B7" w:rsidRPr="00410EDF" w:rsidRDefault="00F065B7" w:rsidP="00C625DB">
            <w:pPr>
              <w:autoSpaceDE w:val="0"/>
              <w:autoSpaceDN w:val="0"/>
              <w:adjustRightInd w:val="0"/>
              <w:spacing w:after="0" w:line="240" w:lineRule="auto"/>
              <w:jc w:val="both"/>
              <w:rPr>
                <w:rFonts w:ascii="Arial" w:eastAsia="SimSun" w:hAnsi="Arial" w:cs="Arial"/>
                <w:sz w:val="24"/>
                <w:szCs w:val="24"/>
              </w:rPr>
            </w:pPr>
            <w:r w:rsidRPr="00410EDF">
              <w:rPr>
                <w:rFonts w:ascii="Arial" w:hAnsi="Arial" w:cs="Arial"/>
                <w:sz w:val="24"/>
                <w:szCs w:val="24"/>
              </w:rPr>
              <w:t xml:space="preserve">Urban </w:t>
            </w:r>
          </w:p>
        </w:tc>
        <w:tc>
          <w:tcPr>
            <w:tcW w:w="1843" w:type="dxa"/>
            <w:hideMark/>
          </w:tcPr>
          <w:p w:rsidR="00F065B7" w:rsidRPr="00410EDF" w:rsidRDefault="00F065B7" w:rsidP="00C625DB">
            <w:pPr>
              <w:autoSpaceDE w:val="0"/>
              <w:autoSpaceDN w:val="0"/>
              <w:adjustRightInd w:val="0"/>
              <w:spacing w:after="0" w:line="240" w:lineRule="auto"/>
              <w:ind w:firstLine="720"/>
              <w:jc w:val="center"/>
              <w:rPr>
                <w:rFonts w:ascii="Arial" w:eastAsia="SimSun" w:hAnsi="Arial" w:cs="Arial"/>
                <w:b/>
                <w:sz w:val="24"/>
                <w:szCs w:val="24"/>
              </w:rPr>
            </w:pPr>
            <w:r w:rsidRPr="00410EDF">
              <w:rPr>
                <w:rFonts w:ascii="Arial" w:hAnsi="Arial" w:cs="Arial"/>
                <w:sz w:val="24"/>
                <w:szCs w:val="24"/>
              </w:rPr>
              <w:t>194025</w:t>
            </w:r>
          </w:p>
        </w:tc>
        <w:tc>
          <w:tcPr>
            <w:tcW w:w="1276" w:type="dxa"/>
            <w:hideMark/>
          </w:tcPr>
          <w:p w:rsidR="00F065B7" w:rsidRPr="00410EDF" w:rsidRDefault="00F065B7" w:rsidP="00C625DB">
            <w:pPr>
              <w:autoSpaceDE w:val="0"/>
              <w:autoSpaceDN w:val="0"/>
              <w:adjustRightInd w:val="0"/>
              <w:spacing w:after="0" w:line="240" w:lineRule="auto"/>
              <w:ind w:firstLine="720"/>
              <w:jc w:val="center"/>
              <w:rPr>
                <w:rFonts w:ascii="Arial" w:eastAsia="SimSun" w:hAnsi="Arial" w:cs="Arial"/>
                <w:b/>
                <w:sz w:val="24"/>
                <w:szCs w:val="24"/>
              </w:rPr>
            </w:pPr>
            <w:r w:rsidRPr="00410EDF">
              <w:rPr>
                <w:rFonts w:ascii="Arial" w:hAnsi="Arial" w:cs="Arial"/>
                <w:sz w:val="24"/>
                <w:szCs w:val="24"/>
              </w:rPr>
              <w:t>2.5</w:t>
            </w:r>
          </w:p>
        </w:tc>
        <w:tc>
          <w:tcPr>
            <w:tcW w:w="2409" w:type="dxa"/>
            <w:hideMark/>
          </w:tcPr>
          <w:p w:rsidR="00F065B7" w:rsidRPr="00410EDF" w:rsidRDefault="00F065B7" w:rsidP="00C625DB">
            <w:pPr>
              <w:autoSpaceDE w:val="0"/>
              <w:autoSpaceDN w:val="0"/>
              <w:adjustRightInd w:val="0"/>
              <w:spacing w:after="0" w:line="240" w:lineRule="auto"/>
              <w:ind w:firstLine="720"/>
              <w:jc w:val="center"/>
              <w:rPr>
                <w:rFonts w:ascii="Arial" w:eastAsia="SimSun" w:hAnsi="Arial" w:cs="Arial"/>
                <w:b/>
                <w:sz w:val="24"/>
                <w:szCs w:val="24"/>
              </w:rPr>
            </w:pPr>
            <w:r w:rsidRPr="00410EDF">
              <w:rPr>
                <w:rFonts w:ascii="Arial" w:hAnsi="Arial" w:cs="Arial"/>
                <w:sz w:val="24"/>
                <w:szCs w:val="24"/>
              </w:rPr>
              <w:t xml:space="preserve">485,06 </w:t>
            </w:r>
          </w:p>
        </w:tc>
      </w:tr>
      <w:tr w:rsidR="00F065B7" w:rsidRPr="00410EDF" w:rsidTr="006157E7">
        <w:tc>
          <w:tcPr>
            <w:tcW w:w="1559" w:type="dxa"/>
            <w:hideMark/>
          </w:tcPr>
          <w:p w:rsidR="00F065B7" w:rsidRPr="00410EDF" w:rsidRDefault="00F065B7" w:rsidP="00C625DB">
            <w:pPr>
              <w:autoSpaceDE w:val="0"/>
              <w:autoSpaceDN w:val="0"/>
              <w:adjustRightInd w:val="0"/>
              <w:spacing w:after="0" w:line="240" w:lineRule="auto"/>
              <w:jc w:val="both"/>
              <w:rPr>
                <w:rFonts w:ascii="Arial" w:eastAsia="SimSun" w:hAnsi="Arial" w:cs="Arial"/>
                <w:sz w:val="24"/>
                <w:szCs w:val="24"/>
              </w:rPr>
            </w:pPr>
            <w:r w:rsidRPr="00410EDF">
              <w:rPr>
                <w:rFonts w:ascii="Arial" w:hAnsi="Arial" w:cs="Arial"/>
                <w:sz w:val="24"/>
                <w:szCs w:val="24"/>
              </w:rPr>
              <w:t xml:space="preserve">Rural </w:t>
            </w:r>
          </w:p>
        </w:tc>
        <w:tc>
          <w:tcPr>
            <w:tcW w:w="1843" w:type="dxa"/>
            <w:hideMark/>
          </w:tcPr>
          <w:p w:rsidR="00F065B7" w:rsidRPr="00410EDF" w:rsidRDefault="00F065B7" w:rsidP="00C625DB">
            <w:pPr>
              <w:autoSpaceDE w:val="0"/>
              <w:autoSpaceDN w:val="0"/>
              <w:adjustRightInd w:val="0"/>
              <w:spacing w:after="0" w:line="240" w:lineRule="auto"/>
              <w:ind w:firstLine="720"/>
              <w:jc w:val="center"/>
              <w:rPr>
                <w:rFonts w:ascii="Arial" w:eastAsia="SimSun" w:hAnsi="Arial" w:cs="Arial"/>
                <w:b/>
                <w:sz w:val="24"/>
                <w:szCs w:val="24"/>
              </w:rPr>
            </w:pPr>
            <w:r w:rsidRPr="00410EDF">
              <w:rPr>
                <w:rFonts w:ascii="Arial" w:hAnsi="Arial" w:cs="Arial"/>
                <w:sz w:val="24"/>
                <w:szCs w:val="24"/>
              </w:rPr>
              <w:t>118064</w:t>
            </w:r>
          </w:p>
        </w:tc>
        <w:tc>
          <w:tcPr>
            <w:tcW w:w="1276" w:type="dxa"/>
            <w:hideMark/>
          </w:tcPr>
          <w:p w:rsidR="00F065B7" w:rsidRPr="00410EDF" w:rsidRDefault="00F065B7" w:rsidP="00C625DB">
            <w:pPr>
              <w:autoSpaceDE w:val="0"/>
              <w:autoSpaceDN w:val="0"/>
              <w:adjustRightInd w:val="0"/>
              <w:spacing w:after="0" w:line="240" w:lineRule="auto"/>
              <w:ind w:firstLine="720"/>
              <w:jc w:val="center"/>
              <w:rPr>
                <w:rFonts w:ascii="Arial" w:eastAsia="SimSun" w:hAnsi="Arial" w:cs="Arial"/>
                <w:b/>
                <w:sz w:val="24"/>
                <w:szCs w:val="24"/>
              </w:rPr>
            </w:pPr>
            <w:r w:rsidRPr="00410EDF">
              <w:rPr>
                <w:rFonts w:ascii="Arial" w:hAnsi="Arial" w:cs="Arial"/>
                <w:sz w:val="24"/>
                <w:szCs w:val="24"/>
              </w:rPr>
              <w:t xml:space="preserve">1.5 </w:t>
            </w:r>
          </w:p>
        </w:tc>
        <w:tc>
          <w:tcPr>
            <w:tcW w:w="2409" w:type="dxa"/>
            <w:hideMark/>
          </w:tcPr>
          <w:p w:rsidR="00F065B7" w:rsidRPr="00410EDF" w:rsidRDefault="00F065B7" w:rsidP="00C625DB">
            <w:pPr>
              <w:autoSpaceDE w:val="0"/>
              <w:autoSpaceDN w:val="0"/>
              <w:adjustRightInd w:val="0"/>
              <w:spacing w:after="0" w:line="240" w:lineRule="auto"/>
              <w:ind w:firstLine="720"/>
              <w:jc w:val="center"/>
              <w:rPr>
                <w:rFonts w:ascii="Arial" w:eastAsia="SimSun" w:hAnsi="Arial" w:cs="Arial"/>
                <w:b/>
                <w:sz w:val="24"/>
                <w:szCs w:val="24"/>
              </w:rPr>
            </w:pPr>
            <w:r w:rsidRPr="00410EDF">
              <w:rPr>
                <w:rFonts w:ascii="Arial" w:hAnsi="Arial" w:cs="Arial"/>
                <w:sz w:val="24"/>
                <w:szCs w:val="24"/>
              </w:rPr>
              <w:t xml:space="preserve">177,09 </w:t>
            </w:r>
          </w:p>
        </w:tc>
      </w:tr>
      <w:tr w:rsidR="00F065B7" w:rsidRPr="00410EDF" w:rsidTr="006157E7">
        <w:tc>
          <w:tcPr>
            <w:tcW w:w="1559" w:type="dxa"/>
            <w:hideMark/>
          </w:tcPr>
          <w:p w:rsidR="00F065B7" w:rsidRPr="00410EDF" w:rsidRDefault="00F065B7" w:rsidP="00C625DB">
            <w:pPr>
              <w:autoSpaceDE w:val="0"/>
              <w:autoSpaceDN w:val="0"/>
              <w:adjustRightInd w:val="0"/>
              <w:spacing w:after="0" w:line="240" w:lineRule="auto"/>
              <w:rPr>
                <w:rFonts w:ascii="Arial" w:eastAsia="SimSun" w:hAnsi="Arial" w:cs="Arial"/>
                <w:sz w:val="24"/>
                <w:szCs w:val="24"/>
              </w:rPr>
            </w:pPr>
            <w:r w:rsidRPr="00410EDF">
              <w:rPr>
                <w:rFonts w:ascii="Arial" w:hAnsi="Arial" w:cs="Arial"/>
                <w:sz w:val="24"/>
                <w:szCs w:val="24"/>
              </w:rPr>
              <w:t xml:space="preserve">Total Judeţ </w:t>
            </w:r>
          </w:p>
        </w:tc>
        <w:tc>
          <w:tcPr>
            <w:tcW w:w="3119" w:type="dxa"/>
            <w:gridSpan w:val="2"/>
            <w:hideMark/>
          </w:tcPr>
          <w:p w:rsidR="00F065B7" w:rsidRPr="00410EDF" w:rsidRDefault="00F065B7" w:rsidP="00C625DB">
            <w:pPr>
              <w:autoSpaceDE w:val="0"/>
              <w:autoSpaceDN w:val="0"/>
              <w:adjustRightInd w:val="0"/>
              <w:spacing w:after="0" w:line="240" w:lineRule="auto"/>
              <w:ind w:firstLine="720"/>
              <w:jc w:val="center"/>
              <w:rPr>
                <w:rFonts w:ascii="Arial" w:eastAsia="SimSun" w:hAnsi="Arial" w:cs="Arial"/>
                <w:b/>
                <w:sz w:val="24"/>
                <w:szCs w:val="24"/>
              </w:rPr>
            </w:pPr>
            <w:r w:rsidRPr="00410EDF">
              <w:rPr>
                <w:rFonts w:ascii="Arial" w:hAnsi="Arial" w:cs="Arial"/>
                <w:sz w:val="24"/>
                <w:szCs w:val="24"/>
              </w:rPr>
              <w:t>312089</w:t>
            </w:r>
          </w:p>
        </w:tc>
        <w:tc>
          <w:tcPr>
            <w:tcW w:w="2409" w:type="dxa"/>
            <w:hideMark/>
          </w:tcPr>
          <w:p w:rsidR="00F065B7" w:rsidRPr="00410EDF" w:rsidRDefault="00F065B7" w:rsidP="00C625DB">
            <w:pPr>
              <w:autoSpaceDE w:val="0"/>
              <w:autoSpaceDN w:val="0"/>
              <w:adjustRightInd w:val="0"/>
              <w:spacing w:after="0" w:line="240" w:lineRule="auto"/>
              <w:ind w:firstLine="720"/>
              <w:jc w:val="center"/>
              <w:rPr>
                <w:rFonts w:ascii="Arial" w:eastAsia="SimSun" w:hAnsi="Arial" w:cs="Arial"/>
                <w:b/>
                <w:sz w:val="24"/>
                <w:szCs w:val="24"/>
              </w:rPr>
            </w:pPr>
            <w:r w:rsidRPr="00410EDF">
              <w:rPr>
                <w:rFonts w:ascii="Arial" w:hAnsi="Arial" w:cs="Arial"/>
                <w:sz w:val="24"/>
                <w:szCs w:val="24"/>
              </w:rPr>
              <w:t xml:space="preserve">662,15 </w:t>
            </w:r>
          </w:p>
        </w:tc>
      </w:tr>
    </w:tbl>
    <w:p w:rsidR="00F065B7" w:rsidRPr="00410EDF" w:rsidRDefault="00F065B7" w:rsidP="00C625DB">
      <w:pPr>
        <w:autoSpaceDE w:val="0"/>
        <w:autoSpaceDN w:val="0"/>
        <w:adjustRightInd w:val="0"/>
        <w:spacing w:after="0" w:line="240" w:lineRule="auto"/>
        <w:ind w:firstLine="737"/>
        <w:jc w:val="both"/>
        <w:rPr>
          <w:rFonts w:ascii="Arial" w:eastAsia="SimSun" w:hAnsi="Arial" w:cs="Arial"/>
          <w:b/>
          <w:sz w:val="24"/>
          <w:szCs w:val="24"/>
        </w:rPr>
      </w:pPr>
      <w:r w:rsidRPr="00410EDF">
        <w:rPr>
          <w:rFonts w:ascii="Arial" w:hAnsi="Arial" w:cs="Arial"/>
          <w:bCs/>
          <w:sz w:val="24"/>
          <w:szCs w:val="24"/>
        </w:rPr>
        <w:t xml:space="preserve"> </w:t>
      </w:r>
    </w:p>
    <w:p w:rsidR="008E17F9" w:rsidRPr="00410EDF" w:rsidRDefault="008E17F9" w:rsidP="00C625DB">
      <w:pPr>
        <w:spacing w:after="0" w:line="240" w:lineRule="auto"/>
        <w:jc w:val="both"/>
        <w:rPr>
          <w:rFonts w:ascii="Arial" w:hAnsi="Arial" w:cs="Arial"/>
          <w:sz w:val="24"/>
          <w:szCs w:val="24"/>
          <w:lang w:val="it-IT"/>
        </w:rPr>
      </w:pP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rPr>
      </w:pPr>
      <w:r w:rsidRPr="00410EDF">
        <w:rPr>
          <w:rFonts w:ascii="Arial" w:hAnsi="Arial" w:cs="Arial"/>
          <w:sz w:val="24"/>
          <w:szCs w:val="24"/>
        </w:rPr>
        <w:t>Neexistând facilităţile pentru colectare selectivă, colectarea componentelor periculoase din deşeurile municipale nu se realizează. La ora actuală cea mai mare parte dintre acestea ajung fie la canalizare, fie pe depozitele de deşeuri, unde pot îngreuna procesul de descompunere, tratarea levigatului şi pot cauza poluarea gravă a apelor subterane. Din cauza naturii lor chimice, astfel de deşeuri sunt otrăvitoare sau iritante pentru om, pot exploda, sau pot lua foc, pot coroda metalele cu care vin în contact. Uleiul de motor, antigelul, vopselele, diluanţii, pesticidele, bateriile, detergenţii, medicamentele expirate, unele deşeuri electronice şi electrocasnice, deşeuri cu caracter infecţios, sunt câteva exemple de produse care ajung în deșeurile menajere și care pot conţine chimicale toxice, solvenţi, metale grele, produse petroliere, ceea ce le imprimă un caracter periculos. Sunt necesare campanii prelungite de conştientizare a publicului în legătură cu riscurile acestor deşeuri pentru mediu şi sănătatea umană.</w:t>
      </w:r>
    </w:p>
    <w:p w:rsidR="008E17F9" w:rsidRPr="00410EDF" w:rsidRDefault="008E17F9" w:rsidP="00C625DB">
      <w:pPr>
        <w:suppressAutoHyphens/>
        <w:spacing w:after="0" w:line="240" w:lineRule="auto"/>
        <w:jc w:val="both"/>
        <w:rPr>
          <w:rFonts w:ascii="Arial" w:hAnsi="Arial" w:cs="Arial"/>
          <w:b/>
          <w:sz w:val="24"/>
          <w:szCs w:val="24"/>
        </w:rPr>
      </w:pPr>
    </w:p>
    <w:p w:rsidR="00F065B7" w:rsidRPr="00410EDF" w:rsidRDefault="00F065B7" w:rsidP="00C625DB">
      <w:pPr>
        <w:suppressAutoHyphens/>
        <w:spacing w:after="0" w:line="240" w:lineRule="auto"/>
        <w:jc w:val="both"/>
        <w:rPr>
          <w:rFonts w:ascii="Arial" w:hAnsi="Arial" w:cs="Arial"/>
          <w:b/>
          <w:sz w:val="24"/>
          <w:szCs w:val="24"/>
        </w:rPr>
      </w:pPr>
      <w:r w:rsidRPr="00410EDF">
        <w:rPr>
          <w:rFonts w:ascii="Arial" w:hAnsi="Arial" w:cs="Arial"/>
          <w:b/>
          <w:sz w:val="24"/>
          <w:szCs w:val="24"/>
        </w:rPr>
        <w:t>Eliminarea deşeurilor municipale</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Ca urmare a gradului redus de colectare selectivă a deşeurilor municipale şi inexistenţei instalaţiilor pentru tratarea deşeurilor municipale, aprox. 88% din cantităţile generate sunt eliminate iar principala modalitate de eliminare a deşeurilor menajere şi asimilabile acestora este depozitarea.</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xml:space="preserve">În judeţul </w:t>
      </w:r>
      <w:r w:rsidR="00217620">
        <w:rPr>
          <w:rFonts w:ascii="Arial" w:hAnsi="Arial" w:cs="Arial"/>
          <w:sz w:val="24"/>
          <w:szCs w:val="24"/>
        </w:rPr>
        <w:t>Brăila</w:t>
      </w:r>
      <w:r w:rsidRPr="00410EDF">
        <w:rPr>
          <w:rFonts w:ascii="Arial" w:hAnsi="Arial" w:cs="Arial"/>
          <w:sz w:val="24"/>
          <w:szCs w:val="24"/>
        </w:rPr>
        <w:t xml:space="preserve"> funcţionează două depozite de deşeuri municipale, unul conform situat în localitatea Muchea, administrat de SC Tracon SRL </w:t>
      </w:r>
      <w:r w:rsidR="00217620">
        <w:rPr>
          <w:rFonts w:ascii="Arial" w:hAnsi="Arial" w:cs="Arial"/>
          <w:sz w:val="24"/>
          <w:szCs w:val="24"/>
        </w:rPr>
        <w:t>Brăila</w:t>
      </w:r>
      <w:r w:rsidRPr="00410EDF">
        <w:rPr>
          <w:rFonts w:ascii="Arial" w:hAnsi="Arial" w:cs="Arial"/>
          <w:sz w:val="24"/>
          <w:szCs w:val="24"/>
        </w:rPr>
        <w:t xml:space="preserve"> şi unul neconform situat în localitatea Făurei, administrat de Direcţia Serviciilor Publice Făurei, programat să sisteze depozitarea în </w:t>
      </w:r>
      <w:r w:rsidR="008E17F9" w:rsidRPr="00410EDF">
        <w:rPr>
          <w:rFonts w:ascii="Arial" w:hAnsi="Arial" w:cs="Arial"/>
          <w:sz w:val="24"/>
          <w:szCs w:val="24"/>
        </w:rPr>
        <w:t xml:space="preserve">iulie </w:t>
      </w:r>
      <w:r w:rsidRPr="00410EDF">
        <w:rPr>
          <w:rFonts w:ascii="Arial" w:hAnsi="Arial" w:cs="Arial"/>
          <w:sz w:val="24"/>
          <w:szCs w:val="24"/>
        </w:rPr>
        <w:t>2017.</w:t>
      </w:r>
    </w:p>
    <w:p w:rsidR="00F065B7" w:rsidRPr="00410EDF" w:rsidRDefault="00F065B7" w:rsidP="00C625DB">
      <w:pPr>
        <w:spacing w:after="0" w:line="240" w:lineRule="auto"/>
        <w:ind w:firstLine="708"/>
        <w:jc w:val="both"/>
        <w:rPr>
          <w:rFonts w:ascii="Arial" w:hAnsi="Arial" w:cs="Arial"/>
          <w:b/>
          <w:sz w:val="24"/>
          <w:szCs w:val="24"/>
        </w:rPr>
      </w:pPr>
      <w:r w:rsidRPr="00410EDF">
        <w:rPr>
          <w:rFonts w:ascii="Arial" w:hAnsi="Arial" w:cs="Arial"/>
          <w:sz w:val="24"/>
          <w:szCs w:val="24"/>
        </w:rPr>
        <w:t>Depozitul Muchea funcţionează din anul 2002, deservind practic tot judeţul, excepţie făcând localităţile Făurei şi Ianca. Suprafaţa totală proiectată a depozitului este de 18.08 ha. În luna noiem</w:t>
      </w:r>
      <w:r w:rsidR="007C1699">
        <w:rPr>
          <w:rFonts w:ascii="Arial" w:hAnsi="Arial" w:cs="Arial"/>
          <w:sz w:val="24"/>
          <w:szCs w:val="24"/>
        </w:rPr>
        <w:t>BR</w:t>
      </w:r>
      <w:r w:rsidRPr="00410EDF">
        <w:rPr>
          <w:rFonts w:ascii="Arial" w:hAnsi="Arial" w:cs="Arial"/>
          <w:sz w:val="24"/>
          <w:szCs w:val="24"/>
        </w:rPr>
        <w:t xml:space="preserve">ie 2013 s-a considerat atinsă </w:t>
      </w:r>
      <w:r w:rsidRPr="00410EDF">
        <w:rPr>
          <w:rFonts w:ascii="Arial" w:hAnsi="Arial" w:cs="Arial"/>
          <w:sz w:val="24"/>
          <w:szCs w:val="24"/>
          <w:lang w:eastAsia="ro-RO"/>
        </w:rPr>
        <w:t xml:space="preserve">capacitatea maximă de depozitare, </w:t>
      </w:r>
      <w:r w:rsidRPr="00410EDF">
        <w:rPr>
          <w:rFonts w:ascii="Arial" w:hAnsi="Arial" w:cs="Arial"/>
          <w:sz w:val="24"/>
          <w:szCs w:val="24"/>
        </w:rPr>
        <w:t>s-a sistat depozitarea în celula nr. 1 și s-a pus în funcțiune celula nr. 2 a cărei construcția a fost finalizată din trim. III 2010. În paralel s-au demarat lucrările de acoperire provizorie a celului nr. 1.  Depozitul a fost proiectat să funcţioneze până în anul 2026. Cantitatea de deşeuri colectată de la populaţie şi eliminată anual pe acest depozit este prezentată în tabelul următor:</w:t>
      </w:r>
    </w:p>
    <w:p w:rsidR="008E17F9" w:rsidRDefault="008E17F9" w:rsidP="00C625DB">
      <w:pPr>
        <w:spacing w:after="0" w:line="240" w:lineRule="auto"/>
        <w:jc w:val="both"/>
        <w:rPr>
          <w:rFonts w:ascii="Arial" w:hAnsi="Arial" w:cs="Arial"/>
          <w:sz w:val="24"/>
          <w:szCs w:val="24"/>
        </w:rPr>
      </w:pPr>
    </w:p>
    <w:p w:rsidR="006157E7" w:rsidRDefault="006157E7" w:rsidP="00C625DB">
      <w:pPr>
        <w:spacing w:after="0" w:line="240" w:lineRule="auto"/>
        <w:jc w:val="both"/>
        <w:rPr>
          <w:rFonts w:ascii="Arial" w:hAnsi="Arial" w:cs="Arial"/>
          <w:sz w:val="24"/>
          <w:szCs w:val="24"/>
        </w:rPr>
      </w:pPr>
    </w:p>
    <w:p w:rsidR="006157E7" w:rsidRDefault="006157E7" w:rsidP="00C625DB">
      <w:pPr>
        <w:spacing w:after="0" w:line="240" w:lineRule="auto"/>
        <w:jc w:val="both"/>
        <w:rPr>
          <w:rFonts w:ascii="Arial" w:hAnsi="Arial" w:cs="Arial"/>
          <w:sz w:val="24"/>
          <w:szCs w:val="24"/>
        </w:rPr>
      </w:pPr>
    </w:p>
    <w:p w:rsidR="006157E7" w:rsidRDefault="006157E7" w:rsidP="00C625DB">
      <w:pPr>
        <w:spacing w:after="0" w:line="240" w:lineRule="auto"/>
        <w:jc w:val="both"/>
        <w:rPr>
          <w:rFonts w:ascii="Arial" w:hAnsi="Arial" w:cs="Arial"/>
          <w:sz w:val="24"/>
          <w:szCs w:val="24"/>
        </w:rPr>
      </w:pPr>
    </w:p>
    <w:p w:rsidR="006157E7" w:rsidRPr="00410EDF" w:rsidRDefault="006157E7" w:rsidP="00C625DB">
      <w:pPr>
        <w:spacing w:after="0" w:line="240" w:lineRule="auto"/>
        <w:jc w:val="both"/>
        <w:rPr>
          <w:rFonts w:ascii="Arial" w:hAnsi="Arial" w:cs="Arial"/>
          <w:sz w:val="24"/>
          <w:szCs w:val="24"/>
        </w:rPr>
      </w:pPr>
    </w:p>
    <w:p w:rsidR="00F065B7" w:rsidRPr="00410EDF" w:rsidRDefault="00F065B7" w:rsidP="00C625DB">
      <w:pPr>
        <w:spacing w:after="0" w:line="240" w:lineRule="auto"/>
        <w:jc w:val="both"/>
        <w:rPr>
          <w:rFonts w:ascii="Arial" w:hAnsi="Arial" w:cs="Arial"/>
          <w:sz w:val="24"/>
          <w:szCs w:val="24"/>
          <w:lang w:val="it-IT"/>
        </w:rPr>
      </w:pPr>
      <w:r w:rsidRPr="00410EDF">
        <w:rPr>
          <w:rFonts w:ascii="Arial" w:hAnsi="Arial" w:cs="Arial"/>
          <w:sz w:val="24"/>
          <w:szCs w:val="24"/>
        </w:rPr>
        <w:lastRenderedPageBreak/>
        <w:t xml:space="preserve">Tabel VII.1.1.15 </w:t>
      </w:r>
      <w:r w:rsidRPr="00410EDF">
        <w:rPr>
          <w:rFonts w:ascii="Arial" w:hAnsi="Arial" w:cs="Arial"/>
          <w:sz w:val="24"/>
          <w:szCs w:val="24"/>
          <w:lang w:val="it-IT"/>
        </w:rPr>
        <w:t>Cantitatea de deşeuri eliminată în depozite ecologice</w:t>
      </w:r>
    </w:p>
    <w:tbl>
      <w:tblPr>
        <w:tblW w:w="10206" w:type="dxa"/>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ayout w:type="fixed"/>
        <w:tblLook w:val="04A0"/>
      </w:tblPr>
      <w:tblGrid>
        <w:gridCol w:w="1418"/>
        <w:gridCol w:w="1843"/>
        <w:gridCol w:w="1417"/>
        <w:gridCol w:w="1134"/>
        <w:gridCol w:w="1134"/>
        <w:gridCol w:w="1134"/>
        <w:gridCol w:w="1276"/>
        <w:gridCol w:w="850"/>
      </w:tblGrid>
      <w:tr w:rsidR="00F065B7" w:rsidRPr="00410EDF" w:rsidTr="008914B8">
        <w:tc>
          <w:tcPr>
            <w:tcW w:w="1418" w:type="dxa"/>
            <w:vMerge w:val="restart"/>
            <w:shd w:val="clear" w:color="auto" w:fill="EEECE1" w:themeFill="background2"/>
          </w:tcPr>
          <w:p w:rsidR="00F065B7" w:rsidRPr="00410EDF" w:rsidRDefault="00F065B7" w:rsidP="00C625DB">
            <w:pPr>
              <w:spacing w:after="0" w:line="240" w:lineRule="auto"/>
              <w:jc w:val="center"/>
              <w:rPr>
                <w:rFonts w:ascii="Arial" w:hAnsi="Arial" w:cs="Arial"/>
                <w:sz w:val="24"/>
                <w:szCs w:val="24"/>
              </w:rPr>
            </w:pPr>
            <w:r w:rsidRPr="00410EDF">
              <w:rPr>
                <w:rFonts w:ascii="Arial" w:hAnsi="Arial" w:cs="Arial"/>
                <w:sz w:val="24"/>
                <w:szCs w:val="24"/>
              </w:rPr>
              <w:t>Denumire depozit</w:t>
            </w:r>
          </w:p>
        </w:tc>
        <w:tc>
          <w:tcPr>
            <w:tcW w:w="1843" w:type="dxa"/>
            <w:vMerge w:val="restart"/>
            <w:shd w:val="clear" w:color="auto" w:fill="EEECE1" w:themeFill="background2"/>
          </w:tcPr>
          <w:p w:rsidR="00F065B7" w:rsidRPr="00410EDF" w:rsidRDefault="00F065B7" w:rsidP="00C625DB">
            <w:pPr>
              <w:spacing w:after="0" w:line="240" w:lineRule="auto"/>
              <w:jc w:val="center"/>
              <w:rPr>
                <w:rFonts w:ascii="Arial" w:hAnsi="Arial" w:cs="Arial"/>
                <w:sz w:val="24"/>
                <w:szCs w:val="24"/>
              </w:rPr>
            </w:pPr>
            <w:r w:rsidRPr="00410EDF">
              <w:rPr>
                <w:rFonts w:ascii="Arial" w:hAnsi="Arial" w:cs="Arial"/>
                <w:sz w:val="24"/>
                <w:szCs w:val="24"/>
              </w:rPr>
              <w:t>Operator</w:t>
            </w:r>
          </w:p>
        </w:tc>
        <w:tc>
          <w:tcPr>
            <w:tcW w:w="6945" w:type="dxa"/>
            <w:gridSpan w:val="6"/>
            <w:shd w:val="clear" w:color="auto" w:fill="EEECE1" w:themeFill="background2"/>
          </w:tcPr>
          <w:p w:rsidR="00F065B7" w:rsidRPr="00410EDF" w:rsidRDefault="00F065B7" w:rsidP="00C625DB">
            <w:pPr>
              <w:spacing w:after="0" w:line="240" w:lineRule="auto"/>
              <w:jc w:val="center"/>
              <w:rPr>
                <w:rFonts w:ascii="Arial" w:hAnsi="Arial" w:cs="Arial"/>
                <w:sz w:val="24"/>
                <w:szCs w:val="24"/>
              </w:rPr>
            </w:pPr>
            <w:r w:rsidRPr="00410EDF">
              <w:rPr>
                <w:rFonts w:ascii="Arial" w:hAnsi="Arial" w:cs="Arial"/>
                <w:sz w:val="24"/>
                <w:szCs w:val="24"/>
              </w:rPr>
              <w:t>Cantitatea de  deșeuri depozitată</w:t>
            </w:r>
          </w:p>
        </w:tc>
      </w:tr>
      <w:tr w:rsidR="008E17F9" w:rsidRPr="00410EDF" w:rsidTr="008914B8">
        <w:tc>
          <w:tcPr>
            <w:tcW w:w="1418" w:type="dxa"/>
            <w:vMerge/>
            <w:shd w:val="clear" w:color="auto" w:fill="EEECE1" w:themeFill="background2"/>
          </w:tcPr>
          <w:p w:rsidR="008E17F9" w:rsidRPr="00410EDF" w:rsidRDefault="008E17F9" w:rsidP="00C625DB">
            <w:pPr>
              <w:spacing w:after="0" w:line="240" w:lineRule="auto"/>
              <w:rPr>
                <w:rFonts w:ascii="Arial" w:hAnsi="Arial" w:cs="Arial"/>
                <w:sz w:val="24"/>
                <w:szCs w:val="24"/>
              </w:rPr>
            </w:pPr>
          </w:p>
        </w:tc>
        <w:tc>
          <w:tcPr>
            <w:tcW w:w="1843" w:type="dxa"/>
            <w:vMerge/>
            <w:shd w:val="clear" w:color="auto" w:fill="EEECE1" w:themeFill="background2"/>
          </w:tcPr>
          <w:p w:rsidR="008E17F9" w:rsidRPr="00410EDF" w:rsidRDefault="008E17F9" w:rsidP="00C625DB">
            <w:pPr>
              <w:spacing w:after="0" w:line="240" w:lineRule="auto"/>
              <w:rPr>
                <w:rFonts w:ascii="Arial" w:hAnsi="Arial" w:cs="Arial"/>
                <w:sz w:val="24"/>
                <w:szCs w:val="24"/>
              </w:rPr>
            </w:pPr>
          </w:p>
        </w:tc>
        <w:tc>
          <w:tcPr>
            <w:tcW w:w="1417" w:type="dxa"/>
            <w:shd w:val="clear" w:color="auto" w:fill="EEECE1" w:themeFill="background2"/>
          </w:tcPr>
          <w:p w:rsidR="008E17F9" w:rsidRPr="00410EDF" w:rsidRDefault="008E17F9" w:rsidP="00C625DB">
            <w:pPr>
              <w:spacing w:after="0" w:line="240" w:lineRule="auto"/>
              <w:jc w:val="center"/>
              <w:rPr>
                <w:rFonts w:ascii="Arial" w:hAnsi="Arial" w:cs="Arial"/>
                <w:sz w:val="24"/>
                <w:szCs w:val="24"/>
              </w:rPr>
            </w:pPr>
            <w:r w:rsidRPr="00410EDF">
              <w:rPr>
                <w:rFonts w:ascii="Arial" w:hAnsi="Arial" w:cs="Arial"/>
                <w:sz w:val="24"/>
                <w:szCs w:val="24"/>
              </w:rPr>
              <w:t>2010</w:t>
            </w:r>
          </w:p>
        </w:tc>
        <w:tc>
          <w:tcPr>
            <w:tcW w:w="1134" w:type="dxa"/>
            <w:shd w:val="clear" w:color="auto" w:fill="EEECE1" w:themeFill="background2"/>
          </w:tcPr>
          <w:p w:rsidR="008E17F9" w:rsidRPr="00410EDF" w:rsidRDefault="008E17F9" w:rsidP="00C625DB">
            <w:pPr>
              <w:spacing w:after="0" w:line="240" w:lineRule="auto"/>
              <w:jc w:val="center"/>
              <w:rPr>
                <w:rFonts w:ascii="Arial" w:hAnsi="Arial" w:cs="Arial"/>
                <w:sz w:val="24"/>
                <w:szCs w:val="24"/>
              </w:rPr>
            </w:pPr>
            <w:r w:rsidRPr="00410EDF">
              <w:rPr>
                <w:rFonts w:ascii="Arial" w:hAnsi="Arial" w:cs="Arial"/>
                <w:sz w:val="24"/>
                <w:szCs w:val="24"/>
              </w:rPr>
              <w:t>2011</w:t>
            </w:r>
          </w:p>
        </w:tc>
        <w:tc>
          <w:tcPr>
            <w:tcW w:w="1134" w:type="dxa"/>
            <w:shd w:val="clear" w:color="auto" w:fill="EEECE1" w:themeFill="background2"/>
          </w:tcPr>
          <w:p w:rsidR="008E17F9" w:rsidRPr="00410EDF" w:rsidRDefault="008E17F9" w:rsidP="00C625DB">
            <w:pPr>
              <w:spacing w:after="0" w:line="240" w:lineRule="auto"/>
              <w:jc w:val="center"/>
              <w:rPr>
                <w:rFonts w:ascii="Arial" w:hAnsi="Arial" w:cs="Arial"/>
                <w:sz w:val="24"/>
                <w:szCs w:val="24"/>
              </w:rPr>
            </w:pPr>
            <w:r w:rsidRPr="00410EDF">
              <w:rPr>
                <w:rFonts w:ascii="Arial" w:hAnsi="Arial" w:cs="Arial"/>
                <w:sz w:val="24"/>
                <w:szCs w:val="24"/>
              </w:rPr>
              <w:t>2012</w:t>
            </w:r>
          </w:p>
        </w:tc>
        <w:tc>
          <w:tcPr>
            <w:tcW w:w="1134" w:type="dxa"/>
            <w:shd w:val="clear" w:color="auto" w:fill="EEECE1" w:themeFill="background2"/>
          </w:tcPr>
          <w:p w:rsidR="008E17F9" w:rsidRPr="00410EDF" w:rsidRDefault="008E17F9" w:rsidP="00C625DB">
            <w:pPr>
              <w:spacing w:after="0" w:line="240" w:lineRule="auto"/>
              <w:jc w:val="center"/>
              <w:rPr>
                <w:rFonts w:ascii="Arial" w:hAnsi="Arial" w:cs="Arial"/>
                <w:sz w:val="24"/>
                <w:szCs w:val="24"/>
              </w:rPr>
            </w:pPr>
            <w:r w:rsidRPr="00410EDF">
              <w:rPr>
                <w:rFonts w:ascii="Arial" w:hAnsi="Arial" w:cs="Arial"/>
                <w:sz w:val="24"/>
                <w:szCs w:val="24"/>
              </w:rPr>
              <w:t>2013</w:t>
            </w:r>
          </w:p>
        </w:tc>
        <w:tc>
          <w:tcPr>
            <w:tcW w:w="1276" w:type="dxa"/>
            <w:shd w:val="clear" w:color="auto" w:fill="EEECE1" w:themeFill="background2"/>
          </w:tcPr>
          <w:p w:rsidR="008E17F9" w:rsidRPr="00410EDF" w:rsidRDefault="008E17F9" w:rsidP="00C625DB">
            <w:pPr>
              <w:spacing w:after="0" w:line="240" w:lineRule="auto"/>
              <w:jc w:val="center"/>
              <w:rPr>
                <w:rFonts w:ascii="Arial" w:hAnsi="Arial" w:cs="Arial"/>
                <w:sz w:val="24"/>
                <w:szCs w:val="24"/>
              </w:rPr>
            </w:pPr>
            <w:r w:rsidRPr="00410EDF">
              <w:rPr>
                <w:rFonts w:ascii="Arial" w:hAnsi="Arial" w:cs="Arial"/>
                <w:sz w:val="24"/>
                <w:szCs w:val="24"/>
              </w:rPr>
              <w:t>2014</w:t>
            </w:r>
          </w:p>
        </w:tc>
        <w:tc>
          <w:tcPr>
            <w:tcW w:w="850" w:type="dxa"/>
            <w:shd w:val="clear" w:color="auto" w:fill="EEECE1" w:themeFill="background2"/>
          </w:tcPr>
          <w:p w:rsidR="008E17F9" w:rsidRPr="00410EDF" w:rsidRDefault="008E17F9" w:rsidP="00C625DB">
            <w:pPr>
              <w:spacing w:after="0" w:line="240" w:lineRule="auto"/>
              <w:jc w:val="center"/>
              <w:rPr>
                <w:rFonts w:ascii="Arial" w:hAnsi="Arial" w:cs="Arial"/>
                <w:sz w:val="24"/>
                <w:szCs w:val="24"/>
              </w:rPr>
            </w:pPr>
            <w:r w:rsidRPr="00410EDF">
              <w:rPr>
                <w:rFonts w:ascii="Arial" w:hAnsi="Arial" w:cs="Arial"/>
                <w:sz w:val="24"/>
                <w:szCs w:val="24"/>
              </w:rPr>
              <w:t>2015</w:t>
            </w:r>
          </w:p>
        </w:tc>
      </w:tr>
      <w:tr w:rsidR="008E17F9" w:rsidRPr="00410EDF" w:rsidTr="008914B8">
        <w:tc>
          <w:tcPr>
            <w:tcW w:w="1418" w:type="dxa"/>
          </w:tcPr>
          <w:p w:rsidR="008E17F9" w:rsidRPr="00410EDF" w:rsidRDefault="008E17F9" w:rsidP="00C625DB">
            <w:pPr>
              <w:spacing w:after="0" w:line="240" w:lineRule="auto"/>
              <w:rPr>
                <w:rFonts w:ascii="Arial" w:hAnsi="Arial" w:cs="Arial"/>
                <w:b/>
                <w:sz w:val="24"/>
                <w:szCs w:val="24"/>
              </w:rPr>
            </w:pPr>
            <w:r w:rsidRPr="00410EDF">
              <w:rPr>
                <w:rFonts w:ascii="Arial" w:hAnsi="Arial" w:cs="Arial"/>
                <w:sz w:val="24"/>
                <w:szCs w:val="24"/>
              </w:rPr>
              <w:t>Muchea</w:t>
            </w:r>
          </w:p>
        </w:tc>
        <w:tc>
          <w:tcPr>
            <w:tcW w:w="1843" w:type="dxa"/>
          </w:tcPr>
          <w:p w:rsidR="008E17F9" w:rsidRPr="00410EDF" w:rsidRDefault="008E17F9" w:rsidP="00C625DB">
            <w:pPr>
              <w:spacing w:after="0" w:line="240" w:lineRule="auto"/>
              <w:rPr>
                <w:rFonts w:ascii="Arial" w:hAnsi="Arial" w:cs="Arial"/>
                <w:b/>
                <w:sz w:val="24"/>
                <w:szCs w:val="24"/>
              </w:rPr>
            </w:pPr>
            <w:r w:rsidRPr="00410EDF">
              <w:rPr>
                <w:rFonts w:ascii="Arial" w:hAnsi="Arial" w:cs="Arial"/>
                <w:sz w:val="24"/>
                <w:szCs w:val="24"/>
              </w:rPr>
              <w:t>SC TRACON SRL</w:t>
            </w:r>
          </w:p>
        </w:tc>
        <w:tc>
          <w:tcPr>
            <w:tcW w:w="1417" w:type="dxa"/>
          </w:tcPr>
          <w:p w:rsidR="008E17F9" w:rsidRPr="00410EDF" w:rsidRDefault="008E17F9" w:rsidP="00C625DB">
            <w:pPr>
              <w:spacing w:after="0" w:line="240" w:lineRule="auto"/>
              <w:jc w:val="center"/>
              <w:rPr>
                <w:rFonts w:ascii="Arial" w:hAnsi="Arial" w:cs="Arial"/>
                <w:b/>
                <w:sz w:val="24"/>
                <w:szCs w:val="24"/>
              </w:rPr>
            </w:pPr>
          </w:p>
          <w:p w:rsidR="008E17F9" w:rsidRPr="00410EDF" w:rsidRDefault="008E17F9" w:rsidP="00C625DB">
            <w:pPr>
              <w:spacing w:after="0" w:line="240" w:lineRule="auto"/>
              <w:jc w:val="center"/>
              <w:rPr>
                <w:rFonts w:ascii="Arial" w:hAnsi="Arial" w:cs="Arial"/>
                <w:b/>
                <w:sz w:val="24"/>
                <w:szCs w:val="24"/>
              </w:rPr>
            </w:pPr>
            <w:r w:rsidRPr="00410EDF">
              <w:rPr>
                <w:rFonts w:ascii="Arial" w:hAnsi="Arial" w:cs="Arial"/>
                <w:sz w:val="24"/>
                <w:szCs w:val="24"/>
              </w:rPr>
              <w:t>62246</w:t>
            </w:r>
          </w:p>
        </w:tc>
        <w:tc>
          <w:tcPr>
            <w:tcW w:w="1134" w:type="dxa"/>
          </w:tcPr>
          <w:p w:rsidR="008E17F9" w:rsidRPr="00410EDF" w:rsidRDefault="008E17F9" w:rsidP="00C625DB">
            <w:pPr>
              <w:spacing w:after="0" w:line="240" w:lineRule="auto"/>
              <w:jc w:val="center"/>
              <w:rPr>
                <w:rFonts w:ascii="Arial" w:hAnsi="Arial" w:cs="Arial"/>
                <w:b/>
                <w:sz w:val="24"/>
                <w:szCs w:val="24"/>
              </w:rPr>
            </w:pPr>
          </w:p>
          <w:p w:rsidR="008E17F9" w:rsidRPr="00410EDF" w:rsidRDefault="008E17F9" w:rsidP="00C625DB">
            <w:pPr>
              <w:spacing w:after="0" w:line="240" w:lineRule="auto"/>
              <w:jc w:val="center"/>
              <w:rPr>
                <w:rFonts w:ascii="Arial" w:hAnsi="Arial" w:cs="Arial"/>
                <w:b/>
                <w:sz w:val="24"/>
                <w:szCs w:val="24"/>
              </w:rPr>
            </w:pPr>
            <w:r w:rsidRPr="00410EDF">
              <w:rPr>
                <w:rFonts w:ascii="Arial" w:hAnsi="Arial" w:cs="Arial"/>
                <w:sz w:val="24"/>
                <w:szCs w:val="24"/>
              </w:rPr>
              <w:t>62837</w:t>
            </w:r>
          </w:p>
        </w:tc>
        <w:tc>
          <w:tcPr>
            <w:tcW w:w="1134" w:type="dxa"/>
          </w:tcPr>
          <w:p w:rsidR="008E17F9" w:rsidRPr="00410EDF" w:rsidRDefault="008E17F9" w:rsidP="00C625DB">
            <w:pPr>
              <w:spacing w:after="0" w:line="240" w:lineRule="auto"/>
              <w:jc w:val="center"/>
              <w:rPr>
                <w:rFonts w:ascii="Arial" w:hAnsi="Arial" w:cs="Arial"/>
                <w:b/>
                <w:sz w:val="24"/>
                <w:szCs w:val="24"/>
              </w:rPr>
            </w:pPr>
          </w:p>
          <w:p w:rsidR="008E17F9" w:rsidRPr="00410EDF" w:rsidRDefault="008E17F9" w:rsidP="00C625DB">
            <w:pPr>
              <w:spacing w:after="0" w:line="240" w:lineRule="auto"/>
              <w:jc w:val="center"/>
              <w:rPr>
                <w:rFonts w:ascii="Arial" w:hAnsi="Arial" w:cs="Arial"/>
                <w:b/>
                <w:sz w:val="24"/>
                <w:szCs w:val="24"/>
              </w:rPr>
            </w:pPr>
            <w:r w:rsidRPr="00410EDF">
              <w:rPr>
                <w:rFonts w:ascii="Arial" w:hAnsi="Arial" w:cs="Arial"/>
                <w:sz w:val="24"/>
                <w:szCs w:val="24"/>
              </w:rPr>
              <w:t>72687</w:t>
            </w:r>
          </w:p>
        </w:tc>
        <w:tc>
          <w:tcPr>
            <w:tcW w:w="1134" w:type="dxa"/>
          </w:tcPr>
          <w:p w:rsidR="008E17F9" w:rsidRPr="00410EDF" w:rsidRDefault="008E17F9" w:rsidP="00C625DB">
            <w:pPr>
              <w:spacing w:after="0" w:line="240" w:lineRule="auto"/>
              <w:jc w:val="center"/>
              <w:rPr>
                <w:rFonts w:ascii="Arial" w:hAnsi="Arial" w:cs="Arial"/>
                <w:b/>
                <w:sz w:val="24"/>
                <w:szCs w:val="24"/>
              </w:rPr>
            </w:pPr>
          </w:p>
          <w:p w:rsidR="008E17F9" w:rsidRPr="00410EDF" w:rsidRDefault="008E17F9" w:rsidP="00C625DB">
            <w:pPr>
              <w:spacing w:after="0" w:line="240" w:lineRule="auto"/>
              <w:jc w:val="center"/>
              <w:rPr>
                <w:rFonts w:ascii="Arial" w:hAnsi="Arial" w:cs="Arial"/>
                <w:b/>
                <w:sz w:val="24"/>
                <w:szCs w:val="24"/>
              </w:rPr>
            </w:pPr>
            <w:r w:rsidRPr="00410EDF">
              <w:rPr>
                <w:rFonts w:ascii="Arial" w:hAnsi="Arial" w:cs="Arial"/>
                <w:sz w:val="24"/>
                <w:szCs w:val="24"/>
              </w:rPr>
              <w:t>80642</w:t>
            </w:r>
          </w:p>
        </w:tc>
        <w:tc>
          <w:tcPr>
            <w:tcW w:w="1276" w:type="dxa"/>
          </w:tcPr>
          <w:p w:rsidR="008E17F9" w:rsidRPr="00410EDF" w:rsidRDefault="008E17F9" w:rsidP="00C625DB">
            <w:pPr>
              <w:spacing w:after="0" w:line="240" w:lineRule="auto"/>
              <w:jc w:val="center"/>
              <w:rPr>
                <w:rFonts w:ascii="Arial" w:hAnsi="Arial" w:cs="Arial"/>
                <w:b/>
                <w:sz w:val="24"/>
                <w:szCs w:val="24"/>
              </w:rPr>
            </w:pPr>
          </w:p>
          <w:p w:rsidR="008E17F9" w:rsidRPr="00410EDF" w:rsidRDefault="008E17F9" w:rsidP="00C625DB">
            <w:pPr>
              <w:spacing w:after="0" w:line="240" w:lineRule="auto"/>
              <w:jc w:val="center"/>
              <w:rPr>
                <w:rFonts w:ascii="Arial" w:hAnsi="Arial" w:cs="Arial"/>
                <w:b/>
                <w:sz w:val="24"/>
                <w:szCs w:val="24"/>
              </w:rPr>
            </w:pPr>
            <w:r w:rsidRPr="00410EDF">
              <w:rPr>
                <w:rFonts w:ascii="Arial" w:hAnsi="Arial" w:cs="Arial"/>
                <w:sz w:val="24"/>
                <w:szCs w:val="24"/>
              </w:rPr>
              <w:t>76870</w:t>
            </w:r>
          </w:p>
        </w:tc>
        <w:tc>
          <w:tcPr>
            <w:tcW w:w="850" w:type="dxa"/>
          </w:tcPr>
          <w:p w:rsidR="008E17F9" w:rsidRPr="00410EDF" w:rsidRDefault="008E17F9" w:rsidP="00C625DB">
            <w:pPr>
              <w:spacing w:after="0" w:line="240" w:lineRule="auto"/>
              <w:jc w:val="center"/>
              <w:rPr>
                <w:rFonts w:ascii="Arial" w:hAnsi="Arial" w:cs="Arial"/>
                <w:b/>
                <w:sz w:val="20"/>
              </w:rPr>
            </w:pPr>
          </w:p>
          <w:p w:rsidR="008E17F9" w:rsidRPr="00410EDF" w:rsidRDefault="008E17F9" w:rsidP="00C625DB">
            <w:pPr>
              <w:spacing w:after="0" w:line="240" w:lineRule="auto"/>
              <w:jc w:val="center"/>
              <w:rPr>
                <w:rFonts w:ascii="Arial" w:hAnsi="Arial" w:cs="Arial"/>
                <w:b/>
                <w:sz w:val="24"/>
                <w:szCs w:val="24"/>
              </w:rPr>
            </w:pPr>
            <w:r w:rsidRPr="00410EDF">
              <w:rPr>
                <w:rFonts w:ascii="Arial" w:hAnsi="Arial" w:cs="Arial"/>
                <w:b/>
                <w:sz w:val="20"/>
              </w:rPr>
              <w:t>84330</w:t>
            </w:r>
          </w:p>
        </w:tc>
      </w:tr>
    </w:tbl>
    <w:p w:rsidR="00F065B7" w:rsidRPr="00410EDF" w:rsidRDefault="000D31B1" w:rsidP="00C625DB">
      <w:pPr>
        <w:spacing w:after="0" w:line="240" w:lineRule="auto"/>
        <w:jc w:val="both"/>
        <w:rPr>
          <w:rFonts w:ascii="Arial" w:hAnsi="Arial" w:cs="Arial"/>
          <w:b/>
          <w:sz w:val="24"/>
          <w:szCs w:val="24"/>
          <w:lang w:val="it-IT"/>
        </w:rPr>
      </w:pPr>
      <w:r w:rsidRPr="00410EDF">
        <w:rPr>
          <w:rFonts w:ascii="Arial" w:hAnsi="Arial" w:cs="Arial"/>
          <w:b/>
          <w:sz w:val="24"/>
          <w:szCs w:val="24"/>
          <w:lang w:val="it-IT"/>
        </w:rPr>
        <w:t xml:space="preserve"> </w:t>
      </w:r>
    </w:p>
    <w:p w:rsidR="00F065B7" w:rsidRPr="00410EDF" w:rsidRDefault="00F065B7" w:rsidP="00C625DB">
      <w:pPr>
        <w:spacing w:after="0" w:line="240" w:lineRule="auto"/>
        <w:jc w:val="both"/>
        <w:rPr>
          <w:rFonts w:ascii="Arial" w:hAnsi="Arial" w:cs="Arial"/>
          <w:b/>
          <w:sz w:val="24"/>
          <w:szCs w:val="24"/>
          <w:lang w:val="it-IT"/>
        </w:rPr>
      </w:pPr>
    </w:p>
    <w:p w:rsidR="00B80190" w:rsidRPr="00410EDF" w:rsidRDefault="00B80190" w:rsidP="0029217B">
      <w:pPr>
        <w:spacing w:after="0" w:line="240" w:lineRule="auto"/>
        <w:jc w:val="center"/>
        <w:rPr>
          <w:rFonts w:ascii="Arial" w:hAnsi="Arial" w:cs="Arial"/>
          <w:sz w:val="24"/>
          <w:szCs w:val="24"/>
        </w:rPr>
      </w:pPr>
      <w:r w:rsidRPr="00410EDF">
        <w:rPr>
          <w:rFonts w:ascii="Arial" w:hAnsi="Arial" w:cs="Arial"/>
          <w:b/>
          <w:noProof/>
          <w:sz w:val="20"/>
          <w:lang w:eastAsia="ro-RO"/>
        </w:rPr>
        <w:drawing>
          <wp:inline distT="0" distB="0" distL="0" distR="0">
            <wp:extent cx="5362575" cy="2248031"/>
            <wp:effectExtent l="0" t="0" r="0" b="0"/>
            <wp:docPr id="139" name="Objec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80190" w:rsidRPr="00410EDF" w:rsidRDefault="00B80190" w:rsidP="00C625DB">
      <w:pPr>
        <w:spacing w:after="0" w:line="240" w:lineRule="auto"/>
        <w:jc w:val="both"/>
        <w:rPr>
          <w:rFonts w:ascii="Arial" w:hAnsi="Arial" w:cs="Arial"/>
          <w:sz w:val="24"/>
          <w:szCs w:val="24"/>
        </w:rPr>
      </w:pPr>
    </w:p>
    <w:p w:rsidR="0029217B" w:rsidRPr="00410EDF" w:rsidRDefault="0029217B" w:rsidP="0029217B">
      <w:pPr>
        <w:spacing w:after="0" w:line="240" w:lineRule="auto"/>
        <w:jc w:val="center"/>
        <w:rPr>
          <w:rFonts w:ascii="Arial" w:hAnsi="Arial" w:cs="Arial"/>
          <w:sz w:val="24"/>
          <w:szCs w:val="24"/>
          <w:lang w:val="it-IT"/>
        </w:rPr>
      </w:pPr>
      <w:r w:rsidRPr="00410EDF">
        <w:rPr>
          <w:rFonts w:ascii="Arial" w:hAnsi="Arial" w:cs="Arial"/>
          <w:sz w:val="24"/>
          <w:szCs w:val="24"/>
          <w:lang w:val="it-IT"/>
        </w:rPr>
        <w:t>Fig. nr.</w:t>
      </w:r>
      <w:r w:rsidRPr="00410EDF">
        <w:rPr>
          <w:rFonts w:ascii="Arial" w:hAnsi="Arial" w:cs="Arial"/>
          <w:sz w:val="24"/>
          <w:szCs w:val="24"/>
        </w:rPr>
        <w:t xml:space="preserve"> VII.1.1.15</w:t>
      </w:r>
      <w:r w:rsidRPr="00410EDF">
        <w:rPr>
          <w:rFonts w:ascii="Arial" w:hAnsi="Arial" w:cs="Arial"/>
          <w:sz w:val="24"/>
          <w:szCs w:val="24"/>
          <w:lang w:val="it-IT"/>
        </w:rPr>
        <w:t xml:space="preserve"> Cantitatea de deşeuri eliminată în depozite ecologice</w:t>
      </w:r>
    </w:p>
    <w:p w:rsidR="00B80190" w:rsidRPr="00410EDF" w:rsidRDefault="00B80190" w:rsidP="0029217B">
      <w:pPr>
        <w:spacing w:after="0" w:line="240" w:lineRule="auto"/>
        <w:jc w:val="center"/>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Depozitul Făurei are o suprafaţă de 1.5 ha şi o capacitate de 33000 mc cu un grad de umplere de peste 95%</w:t>
      </w:r>
      <w:r w:rsidR="00EE08BA" w:rsidRPr="00410EDF">
        <w:rPr>
          <w:rFonts w:ascii="Arial" w:hAnsi="Arial" w:cs="Arial"/>
          <w:sz w:val="24"/>
          <w:szCs w:val="24"/>
        </w:rPr>
        <w:t xml:space="preserve"> și f</w:t>
      </w:r>
      <w:r w:rsidR="00132910" w:rsidRPr="00410EDF">
        <w:rPr>
          <w:rFonts w:ascii="Arial" w:hAnsi="Arial" w:cs="Arial"/>
          <w:sz w:val="24"/>
          <w:szCs w:val="24"/>
        </w:rPr>
        <w:t>uncționează în baza autorizației de mediu cu program de conformare în vederea închiderii</w:t>
      </w:r>
      <w:r w:rsidR="00EE08BA" w:rsidRPr="00410EDF">
        <w:rPr>
          <w:rFonts w:ascii="Arial" w:hAnsi="Arial" w:cs="Arial"/>
          <w:sz w:val="24"/>
          <w:szCs w:val="24"/>
        </w:rPr>
        <w:t>.</w:t>
      </w:r>
    </w:p>
    <w:p w:rsidR="0029217B" w:rsidRDefault="0029217B" w:rsidP="00C625DB">
      <w:pPr>
        <w:spacing w:after="0" w:line="240" w:lineRule="auto"/>
        <w:rPr>
          <w:rFonts w:ascii="Arial" w:hAnsi="Arial" w:cs="Arial"/>
          <w:sz w:val="24"/>
          <w:szCs w:val="24"/>
        </w:rPr>
      </w:pPr>
    </w:p>
    <w:p w:rsidR="00F065B7" w:rsidRPr="00410EDF" w:rsidRDefault="00F065B7" w:rsidP="00C625DB">
      <w:pPr>
        <w:spacing w:after="0" w:line="240" w:lineRule="auto"/>
        <w:rPr>
          <w:rFonts w:ascii="Arial" w:hAnsi="Arial" w:cs="Arial"/>
          <w:sz w:val="24"/>
          <w:szCs w:val="24"/>
        </w:rPr>
      </w:pPr>
      <w:r w:rsidRPr="00410EDF">
        <w:rPr>
          <w:rFonts w:ascii="Arial" w:hAnsi="Arial" w:cs="Arial"/>
          <w:sz w:val="24"/>
          <w:szCs w:val="24"/>
        </w:rPr>
        <w:t xml:space="preserve">Tabel VII.1.1.16 </w:t>
      </w:r>
      <w:r w:rsidRPr="00410EDF">
        <w:rPr>
          <w:rFonts w:ascii="Arial" w:hAnsi="Arial" w:cs="Arial"/>
          <w:sz w:val="24"/>
          <w:szCs w:val="24"/>
          <w:lang w:val="it-IT"/>
        </w:rPr>
        <w:t xml:space="preserve">Deşeuri municipale depozitate în depozite urbane neconforme </w:t>
      </w:r>
    </w:p>
    <w:tbl>
      <w:tblPr>
        <w:tblW w:w="0" w:type="auto"/>
        <w:jc w:val="center"/>
        <w:tblInd w:w="108" w:type="dxa"/>
        <w:tblBorders>
          <w:top w:val="double" w:sz="6" w:space="0" w:color="BFBFBF"/>
          <w:left w:val="double" w:sz="6" w:space="0" w:color="BFBFBF"/>
          <w:bottom w:val="double" w:sz="6" w:space="0" w:color="BFBFBF"/>
          <w:right w:val="double" w:sz="6" w:space="0" w:color="BFBFBF"/>
          <w:insideH w:val="double" w:sz="6" w:space="0" w:color="BFBFBF"/>
          <w:insideV w:val="double" w:sz="6" w:space="0" w:color="BFBFBF"/>
        </w:tblBorders>
        <w:tblLook w:val="04A0"/>
      </w:tblPr>
      <w:tblGrid>
        <w:gridCol w:w="1350"/>
        <w:gridCol w:w="1574"/>
        <w:gridCol w:w="1072"/>
        <w:gridCol w:w="1038"/>
        <w:gridCol w:w="992"/>
        <w:gridCol w:w="1417"/>
        <w:gridCol w:w="1134"/>
      </w:tblGrid>
      <w:tr w:rsidR="00B80190" w:rsidRPr="00410EDF" w:rsidTr="006157E7">
        <w:trPr>
          <w:trHeight w:val="384"/>
          <w:jc w:val="center"/>
        </w:trPr>
        <w:tc>
          <w:tcPr>
            <w:tcW w:w="1350" w:type="dxa"/>
            <w:vMerge w:val="restart"/>
            <w:shd w:val="clear" w:color="auto" w:fill="EEECE1" w:themeFill="background2"/>
            <w:vAlign w:val="center"/>
            <w:hideMark/>
          </w:tcPr>
          <w:p w:rsidR="00B80190" w:rsidRPr="00410EDF" w:rsidRDefault="00B80190" w:rsidP="00C625DB">
            <w:pPr>
              <w:spacing w:after="0" w:line="240" w:lineRule="auto"/>
              <w:jc w:val="center"/>
              <w:rPr>
                <w:rFonts w:ascii="Arial" w:eastAsia="SimSun" w:hAnsi="Arial" w:cs="Arial"/>
                <w:sz w:val="24"/>
                <w:szCs w:val="24"/>
              </w:rPr>
            </w:pPr>
            <w:r w:rsidRPr="00410EDF">
              <w:rPr>
                <w:rFonts w:ascii="Arial" w:hAnsi="Arial" w:cs="Arial"/>
                <w:sz w:val="24"/>
                <w:szCs w:val="24"/>
              </w:rPr>
              <w:t>Denumire depozit</w:t>
            </w:r>
          </w:p>
        </w:tc>
        <w:tc>
          <w:tcPr>
            <w:tcW w:w="1574" w:type="dxa"/>
            <w:vMerge w:val="restart"/>
            <w:shd w:val="clear" w:color="auto" w:fill="EEECE1" w:themeFill="background2"/>
            <w:vAlign w:val="center"/>
            <w:hideMark/>
          </w:tcPr>
          <w:p w:rsidR="00B80190" w:rsidRPr="00410EDF" w:rsidRDefault="00B80190" w:rsidP="00C625DB">
            <w:pPr>
              <w:spacing w:after="0" w:line="240" w:lineRule="auto"/>
              <w:jc w:val="center"/>
              <w:rPr>
                <w:rFonts w:ascii="Arial" w:eastAsia="SimSun" w:hAnsi="Arial" w:cs="Arial"/>
                <w:sz w:val="24"/>
                <w:szCs w:val="24"/>
              </w:rPr>
            </w:pPr>
            <w:r w:rsidRPr="00410EDF">
              <w:rPr>
                <w:rFonts w:ascii="Arial" w:hAnsi="Arial" w:cs="Arial"/>
                <w:sz w:val="24"/>
                <w:szCs w:val="24"/>
              </w:rPr>
              <w:t>Operator</w:t>
            </w:r>
          </w:p>
        </w:tc>
        <w:tc>
          <w:tcPr>
            <w:tcW w:w="4519" w:type="dxa"/>
            <w:gridSpan w:val="4"/>
            <w:shd w:val="clear" w:color="auto" w:fill="EEECE1" w:themeFill="background2"/>
            <w:vAlign w:val="center"/>
            <w:hideMark/>
          </w:tcPr>
          <w:p w:rsidR="00B80190" w:rsidRPr="00410EDF" w:rsidRDefault="00B80190" w:rsidP="00C625DB">
            <w:pPr>
              <w:spacing w:after="0" w:line="240" w:lineRule="auto"/>
              <w:jc w:val="center"/>
              <w:rPr>
                <w:rFonts w:ascii="Arial" w:eastAsia="SimSun" w:hAnsi="Arial" w:cs="Arial"/>
                <w:sz w:val="24"/>
                <w:szCs w:val="24"/>
              </w:rPr>
            </w:pPr>
            <w:r w:rsidRPr="00410EDF">
              <w:rPr>
                <w:rFonts w:ascii="Arial" w:hAnsi="Arial" w:cs="Arial"/>
                <w:sz w:val="24"/>
                <w:szCs w:val="24"/>
              </w:rPr>
              <w:t>Cantitatea de deşeuri depozitată</w:t>
            </w:r>
          </w:p>
        </w:tc>
        <w:tc>
          <w:tcPr>
            <w:tcW w:w="1134" w:type="dxa"/>
            <w:shd w:val="clear" w:color="auto" w:fill="EEECE1" w:themeFill="background2"/>
          </w:tcPr>
          <w:p w:rsidR="00B80190" w:rsidRPr="00410EDF" w:rsidRDefault="00B80190" w:rsidP="00C625DB">
            <w:pPr>
              <w:spacing w:after="0" w:line="240" w:lineRule="auto"/>
              <w:jc w:val="center"/>
              <w:rPr>
                <w:rFonts w:ascii="Arial" w:hAnsi="Arial" w:cs="Arial"/>
                <w:sz w:val="24"/>
                <w:szCs w:val="24"/>
              </w:rPr>
            </w:pPr>
          </w:p>
        </w:tc>
      </w:tr>
      <w:tr w:rsidR="00B80190" w:rsidRPr="00410EDF" w:rsidTr="006157E7">
        <w:trPr>
          <w:trHeight w:val="248"/>
          <w:jc w:val="center"/>
        </w:trPr>
        <w:tc>
          <w:tcPr>
            <w:tcW w:w="1350" w:type="dxa"/>
            <w:vMerge/>
            <w:shd w:val="clear" w:color="auto" w:fill="EEECE1" w:themeFill="background2"/>
            <w:vAlign w:val="center"/>
            <w:hideMark/>
          </w:tcPr>
          <w:p w:rsidR="00B80190" w:rsidRPr="00410EDF" w:rsidRDefault="00B80190" w:rsidP="00C625DB">
            <w:pPr>
              <w:spacing w:after="0" w:line="240" w:lineRule="auto"/>
              <w:jc w:val="center"/>
              <w:rPr>
                <w:rFonts w:ascii="Arial" w:hAnsi="Arial" w:cs="Arial"/>
                <w:b/>
                <w:sz w:val="24"/>
                <w:szCs w:val="24"/>
              </w:rPr>
            </w:pPr>
          </w:p>
        </w:tc>
        <w:tc>
          <w:tcPr>
            <w:tcW w:w="1574" w:type="dxa"/>
            <w:vMerge/>
            <w:shd w:val="clear" w:color="auto" w:fill="EEECE1" w:themeFill="background2"/>
            <w:vAlign w:val="center"/>
            <w:hideMark/>
          </w:tcPr>
          <w:p w:rsidR="00B80190" w:rsidRPr="00410EDF" w:rsidRDefault="00B80190" w:rsidP="00C625DB">
            <w:pPr>
              <w:spacing w:after="0" w:line="240" w:lineRule="auto"/>
              <w:jc w:val="center"/>
              <w:rPr>
                <w:rFonts w:ascii="Arial" w:hAnsi="Arial" w:cs="Arial"/>
                <w:b/>
                <w:sz w:val="24"/>
                <w:szCs w:val="24"/>
              </w:rPr>
            </w:pPr>
          </w:p>
        </w:tc>
        <w:tc>
          <w:tcPr>
            <w:tcW w:w="1072" w:type="dxa"/>
            <w:shd w:val="clear" w:color="auto" w:fill="EEECE1" w:themeFill="background2"/>
            <w:hideMark/>
          </w:tcPr>
          <w:p w:rsidR="00B80190" w:rsidRPr="00410EDF" w:rsidRDefault="00B80190" w:rsidP="00C625DB">
            <w:pPr>
              <w:spacing w:after="0" w:line="240" w:lineRule="auto"/>
              <w:jc w:val="center"/>
              <w:rPr>
                <w:rFonts w:ascii="Arial" w:hAnsi="Arial" w:cs="Arial"/>
                <w:sz w:val="24"/>
                <w:szCs w:val="24"/>
              </w:rPr>
            </w:pPr>
            <w:r w:rsidRPr="00410EDF">
              <w:rPr>
                <w:rFonts w:ascii="Arial" w:hAnsi="Arial" w:cs="Arial"/>
                <w:sz w:val="24"/>
                <w:szCs w:val="24"/>
              </w:rPr>
              <w:t>2011</w:t>
            </w:r>
          </w:p>
        </w:tc>
        <w:tc>
          <w:tcPr>
            <w:tcW w:w="1038" w:type="dxa"/>
            <w:shd w:val="clear" w:color="auto" w:fill="EEECE1" w:themeFill="background2"/>
            <w:hideMark/>
          </w:tcPr>
          <w:p w:rsidR="00B80190" w:rsidRPr="00410EDF" w:rsidRDefault="00B80190" w:rsidP="00C625DB">
            <w:pPr>
              <w:spacing w:after="0" w:line="240" w:lineRule="auto"/>
              <w:jc w:val="center"/>
              <w:rPr>
                <w:rFonts w:ascii="Arial" w:hAnsi="Arial" w:cs="Arial"/>
                <w:sz w:val="24"/>
                <w:szCs w:val="24"/>
              </w:rPr>
            </w:pPr>
            <w:r w:rsidRPr="00410EDF">
              <w:rPr>
                <w:rFonts w:ascii="Arial" w:hAnsi="Arial" w:cs="Arial"/>
                <w:sz w:val="24"/>
                <w:szCs w:val="24"/>
              </w:rPr>
              <w:t>2012</w:t>
            </w:r>
          </w:p>
        </w:tc>
        <w:tc>
          <w:tcPr>
            <w:tcW w:w="992" w:type="dxa"/>
            <w:shd w:val="clear" w:color="auto" w:fill="EEECE1" w:themeFill="background2"/>
            <w:hideMark/>
          </w:tcPr>
          <w:p w:rsidR="00B80190" w:rsidRPr="00410EDF" w:rsidRDefault="00B80190" w:rsidP="00C625DB">
            <w:pPr>
              <w:spacing w:after="0" w:line="240" w:lineRule="auto"/>
              <w:jc w:val="center"/>
              <w:rPr>
                <w:rFonts w:ascii="Arial" w:hAnsi="Arial" w:cs="Arial"/>
                <w:sz w:val="24"/>
                <w:szCs w:val="24"/>
              </w:rPr>
            </w:pPr>
            <w:r w:rsidRPr="00410EDF">
              <w:rPr>
                <w:rFonts w:ascii="Arial" w:hAnsi="Arial" w:cs="Arial"/>
                <w:sz w:val="24"/>
                <w:szCs w:val="24"/>
              </w:rPr>
              <w:t>2013</w:t>
            </w:r>
          </w:p>
        </w:tc>
        <w:tc>
          <w:tcPr>
            <w:tcW w:w="1417" w:type="dxa"/>
            <w:shd w:val="clear" w:color="auto" w:fill="EEECE1" w:themeFill="background2"/>
            <w:hideMark/>
          </w:tcPr>
          <w:p w:rsidR="00B80190" w:rsidRPr="00410EDF" w:rsidRDefault="00B80190" w:rsidP="00C625DB">
            <w:pPr>
              <w:spacing w:after="0" w:line="240" w:lineRule="auto"/>
              <w:jc w:val="center"/>
              <w:rPr>
                <w:rFonts w:ascii="Arial" w:hAnsi="Arial" w:cs="Arial"/>
                <w:sz w:val="24"/>
                <w:szCs w:val="24"/>
              </w:rPr>
            </w:pPr>
            <w:r w:rsidRPr="00410EDF">
              <w:rPr>
                <w:rFonts w:ascii="Arial" w:hAnsi="Arial" w:cs="Arial"/>
                <w:sz w:val="24"/>
                <w:szCs w:val="24"/>
              </w:rPr>
              <w:t>2014</w:t>
            </w:r>
          </w:p>
        </w:tc>
        <w:tc>
          <w:tcPr>
            <w:tcW w:w="1134" w:type="dxa"/>
            <w:shd w:val="clear" w:color="auto" w:fill="EEECE1" w:themeFill="background2"/>
          </w:tcPr>
          <w:p w:rsidR="00B80190" w:rsidRPr="00410EDF" w:rsidRDefault="00B80190" w:rsidP="00C625DB">
            <w:pPr>
              <w:spacing w:after="0" w:line="240" w:lineRule="auto"/>
              <w:jc w:val="center"/>
              <w:rPr>
                <w:rFonts w:ascii="Arial" w:hAnsi="Arial" w:cs="Arial"/>
                <w:sz w:val="24"/>
                <w:szCs w:val="24"/>
              </w:rPr>
            </w:pPr>
            <w:r w:rsidRPr="00410EDF">
              <w:rPr>
                <w:rFonts w:ascii="Arial" w:hAnsi="Arial" w:cs="Arial"/>
                <w:sz w:val="24"/>
                <w:szCs w:val="24"/>
              </w:rPr>
              <w:t>2015</w:t>
            </w:r>
          </w:p>
        </w:tc>
      </w:tr>
      <w:tr w:rsidR="00B80190" w:rsidRPr="00410EDF" w:rsidTr="006157E7">
        <w:trPr>
          <w:jc w:val="center"/>
        </w:trPr>
        <w:tc>
          <w:tcPr>
            <w:tcW w:w="1350" w:type="dxa"/>
            <w:vAlign w:val="center"/>
            <w:hideMark/>
          </w:tcPr>
          <w:p w:rsidR="00B80190" w:rsidRPr="00410EDF" w:rsidRDefault="00B80190" w:rsidP="00C625DB">
            <w:pPr>
              <w:spacing w:after="0" w:line="240" w:lineRule="auto"/>
              <w:jc w:val="center"/>
              <w:rPr>
                <w:rFonts w:ascii="Arial" w:eastAsia="SimSun" w:hAnsi="Arial" w:cs="Arial"/>
                <w:b/>
                <w:sz w:val="24"/>
                <w:szCs w:val="24"/>
              </w:rPr>
            </w:pPr>
            <w:r w:rsidRPr="00410EDF">
              <w:rPr>
                <w:rFonts w:ascii="Arial" w:hAnsi="Arial" w:cs="Arial"/>
                <w:sz w:val="24"/>
                <w:szCs w:val="24"/>
              </w:rPr>
              <w:t>Făurei</w:t>
            </w:r>
          </w:p>
        </w:tc>
        <w:tc>
          <w:tcPr>
            <w:tcW w:w="1574" w:type="dxa"/>
            <w:vAlign w:val="center"/>
            <w:hideMark/>
          </w:tcPr>
          <w:p w:rsidR="00B80190" w:rsidRPr="00410EDF" w:rsidRDefault="00B80190" w:rsidP="00C625DB">
            <w:pPr>
              <w:spacing w:after="0" w:line="240" w:lineRule="auto"/>
              <w:jc w:val="center"/>
              <w:rPr>
                <w:rFonts w:ascii="Arial" w:eastAsia="SimSun" w:hAnsi="Arial" w:cs="Arial"/>
                <w:b/>
                <w:sz w:val="24"/>
                <w:szCs w:val="24"/>
              </w:rPr>
            </w:pPr>
            <w:r w:rsidRPr="00410EDF">
              <w:rPr>
                <w:rFonts w:ascii="Arial" w:hAnsi="Arial" w:cs="Arial"/>
                <w:sz w:val="24"/>
                <w:szCs w:val="24"/>
              </w:rPr>
              <w:t>Direcţia Serviciilor Publice Făurei</w:t>
            </w:r>
          </w:p>
        </w:tc>
        <w:tc>
          <w:tcPr>
            <w:tcW w:w="1072" w:type="dxa"/>
            <w:vAlign w:val="center"/>
            <w:hideMark/>
          </w:tcPr>
          <w:p w:rsidR="00B80190" w:rsidRPr="00410EDF" w:rsidRDefault="00B80190" w:rsidP="00C625DB">
            <w:pPr>
              <w:spacing w:after="0" w:line="240" w:lineRule="auto"/>
              <w:jc w:val="center"/>
              <w:rPr>
                <w:rFonts w:ascii="Arial" w:eastAsia="SimSun" w:hAnsi="Arial" w:cs="Arial"/>
                <w:b/>
                <w:sz w:val="24"/>
                <w:szCs w:val="24"/>
              </w:rPr>
            </w:pPr>
            <w:r w:rsidRPr="00410EDF">
              <w:rPr>
                <w:rFonts w:ascii="Arial" w:hAnsi="Arial" w:cs="Arial"/>
                <w:sz w:val="24"/>
                <w:szCs w:val="24"/>
              </w:rPr>
              <w:t>627</w:t>
            </w:r>
          </w:p>
        </w:tc>
        <w:tc>
          <w:tcPr>
            <w:tcW w:w="1038" w:type="dxa"/>
            <w:vAlign w:val="center"/>
            <w:hideMark/>
          </w:tcPr>
          <w:p w:rsidR="00B80190" w:rsidRPr="00410EDF" w:rsidRDefault="00B80190" w:rsidP="00C625DB">
            <w:pPr>
              <w:spacing w:after="0" w:line="240" w:lineRule="auto"/>
              <w:jc w:val="center"/>
              <w:rPr>
                <w:rFonts w:ascii="Arial" w:eastAsia="SimSun" w:hAnsi="Arial" w:cs="Arial"/>
                <w:b/>
                <w:sz w:val="24"/>
                <w:szCs w:val="24"/>
              </w:rPr>
            </w:pPr>
            <w:r w:rsidRPr="00410EDF">
              <w:rPr>
                <w:rFonts w:ascii="Arial" w:hAnsi="Arial" w:cs="Arial"/>
                <w:sz w:val="24"/>
                <w:szCs w:val="24"/>
              </w:rPr>
              <w:t>295</w:t>
            </w:r>
          </w:p>
        </w:tc>
        <w:tc>
          <w:tcPr>
            <w:tcW w:w="992" w:type="dxa"/>
            <w:vAlign w:val="center"/>
            <w:hideMark/>
          </w:tcPr>
          <w:p w:rsidR="00B80190" w:rsidRPr="00410EDF" w:rsidRDefault="00B80190" w:rsidP="00C625DB">
            <w:pPr>
              <w:spacing w:after="0" w:line="240" w:lineRule="auto"/>
              <w:jc w:val="center"/>
              <w:rPr>
                <w:rFonts w:ascii="Arial" w:eastAsia="SimSun" w:hAnsi="Arial" w:cs="Arial"/>
                <w:b/>
                <w:sz w:val="24"/>
                <w:szCs w:val="24"/>
              </w:rPr>
            </w:pPr>
            <w:r w:rsidRPr="00410EDF">
              <w:rPr>
                <w:rFonts w:ascii="Arial" w:hAnsi="Arial" w:cs="Arial"/>
                <w:sz w:val="24"/>
                <w:szCs w:val="24"/>
              </w:rPr>
              <w:t>128,45</w:t>
            </w:r>
          </w:p>
        </w:tc>
        <w:tc>
          <w:tcPr>
            <w:tcW w:w="1417" w:type="dxa"/>
            <w:vAlign w:val="center"/>
            <w:hideMark/>
          </w:tcPr>
          <w:p w:rsidR="00B80190" w:rsidRPr="00410EDF" w:rsidRDefault="00B80190" w:rsidP="00C625DB">
            <w:pPr>
              <w:spacing w:after="0" w:line="240" w:lineRule="auto"/>
              <w:jc w:val="center"/>
              <w:rPr>
                <w:rFonts w:ascii="Arial" w:eastAsia="SimSun" w:hAnsi="Arial" w:cs="Arial"/>
                <w:b/>
                <w:sz w:val="24"/>
                <w:szCs w:val="24"/>
              </w:rPr>
            </w:pPr>
            <w:r w:rsidRPr="00410EDF">
              <w:rPr>
                <w:rFonts w:ascii="Arial" w:eastAsia="SimSun" w:hAnsi="Arial" w:cs="Arial"/>
                <w:sz w:val="24"/>
                <w:szCs w:val="24"/>
              </w:rPr>
              <w:t>120,13</w:t>
            </w:r>
          </w:p>
        </w:tc>
        <w:tc>
          <w:tcPr>
            <w:tcW w:w="1134" w:type="dxa"/>
            <w:vAlign w:val="center"/>
          </w:tcPr>
          <w:p w:rsidR="00B80190" w:rsidRPr="00410EDF" w:rsidRDefault="00B80190" w:rsidP="00C625DB">
            <w:pPr>
              <w:spacing w:after="0" w:line="240" w:lineRule="auto"/>
              <w:jc w:val="center"/>
              <w:rPr>
                <w:rFonts w:ascii="Arial" w:eastAsia="SimSun" w:hAnsi="Arial" w:cs="Arial"/>
                <w:sz w:val="24"/>
                <w:szCs w:val="24"/>
              </w:rPr>
            </w:pPr>
            <w:r w:rsidRPr="00410EDF">
              <w:rPr>
                <w:rFonts w:ascii="Arial" w:eastAsia="SimSun" w:hAnsi="Arial" w:cs="Arial"/>
                <w:sz w:val="24"/>
                <w:szCs w:val="24"/>
              </w:rPr>
              <w:t>138,15</w:t>
            </w:r>
          </w:p>
        </w:tc>
      </w:tr>
    </w:tbl>
    <w:p w:rsidR="00F065B7" w:rsidRPr="00410EDF" w:rsidRDefault="00F065B7" w:rsidP="00C625DB">
      <w:pPr>
        <w:spacing w:after="0" w:line="240" w:lineRule="auto"/>
        <w:rPr>
          <w:rFonts w:ascii="Arial" w:hAnsi="Arial" w:cs="Arial"/>
          <w:b/>
          <w:sz w:val="24"/>
          <w:szCs w:val="24"/>
        </w:rPr>
      </w:pPr>
    </w:p>
    <w:p w:rsidR="00B80190" w:rsidRPr="00410EDF" w:rsidRDefault="00B80190" w:rsidP="00C625DB">
      <w:pPr>
        <w:spacing w:after="0" w:line="240" w:lineRule="auto"/>
        <w:jc w:val="both"/>
        <w:rPr>
          <w:rFonts w:ascii="Arial" w:hAnsi="Arial" w:cs="Arial"/>
          <w:sz w:val="24"/>
          <w:szCs w:val="24"/>
        </w:rPr>
      </w:pPr>
    </w:p>
    <w:p w:rsidR="00B80190" w:rsidRPr="00410EDF" w:rsidRDefault="00B80190" w:rsidP="00C625DB">
      <w:pPr>
        <w:spacing w:after="0" w:line="240" w:lineRule="auto"/>
        <w:jc w:val="both"/>
        <w:rPr>
          <w:rFonts w:ascii="Arial" w:hAnsi="Arial" w:cs="Arial"/>
          <w:sz w:val="24"/>
          <w:szCs w:val="24"/>
        </w:rPr>
      </w:pPr>
      <w:r w:rsidRPr="00410EDF">
        <w:rPr>
          <w:rFonts w:ascii="Arial" w:hAnsi="Arial" w:cs="Arial"/>
          <w:b/>
          <w:noProof/>
          <w:lang w:eastAsia="ro-RO"/>
        </w:rPr>
        <w:drawing>
          <wp:inline distT="0" distB="0" distL="0" distR="0">
            <wp:extent cx="6456680" cy="2059305"/>
            <wp:effectExtent l="0" t="0" r="0" b="0"/>
            <wp:docPr id="140"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29217B" w:rsidRPr="00410EDF" w:rsidRDefault="0029217B" w:rsidP="0029217B">
      <w:pPr>
        <w:spacing w:after="0" w:line="240" w:lineRule="auto"/>
        <w:rPr>
          <w:rFonts w:ascii="Arial" w:hAnsi="Arial" w:cs="Arial"/>
          <w:b/>
          <w:sz w:val="24"/>
          <w:szCs w:val="24"/>
          <w:lang w:val="it-IT"/>
        </w:rPr>
      </w:pPr>
      <w:r>
        <w:rPr>
          <w:rFonts w:ascii="Arial" w:hAnsi="Arial" w:cs="Arial"/>
          <w:sz w:val="24"/>
          <w:szCs w:val="24"/>
          <w:lang w:val="it-IT"/>
        </w:rPr>
        <w:t xml:space="preserve">         </w:t>
      </w:r>
      <w:r w:rsidRPr="00410EDF">
        <w:rPr>
          <w:rFonts w:ascii="Arial" w:hAnsi="Arial" w:cs="Arial"/>
          <w:sz w:val="24"/>
          <w:szCs w:val="24"/>
          <w:lang w:val="it-IT"/>
        </w:rPr>
        <w:t xml:space="preserve">Fig </w:t>
      </w:r>
      <w:r w:rsidRPr="00410EDF">
        <w:rPr>
          <w:rFonts w:ascii="Arial" w:hAnsi="Arial" w:cs="Arial"/>
          <w:sz w:val="24"/>
          <w:szCs w:val="24"/>
        </w:rPr>
        <w:t xml:space="preserve">VII.1.1.16 </w:t>
      </w:r>
      <w:r w:rsidRPr="00410EDF">
        <w:rPr>
          <w:rFonts w:ascii="Arial" w:hAnsi="Arial" w:cs="Arial"/>
          <w:sz w:val="24"/>
          <w:szCs w:val="24"/>
          <w:lang w:val="it-IT"/>
        </w:rPr>
        <w:t xml:space="preserve"> Deşeuri municipale depozitate în depozite urbane neconforme </w:t>
      </w:r>
    </w:p>
    <w:p w:rsidR="00B80190" w:rsidRPr="00410EDF" w:rsidRDefault="00B80190" w:rsidP="00C625DB">
      <w:pPr>
        <w:spacing w:after="0" w:line="240" w:lineRule="auto"/>
        <w:jc w:val="both"/>
        <w:rPr>
          <w:rFonts w:ascii="Arial" w:hAnsi="Arial" w:cs="Arial"/>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În localitatea Ianca a funcţionat un depozit neconform care a sistat activitatea la 16 iulie 2009 iar lucrările de închidere au fost </w:t>
      </w:r>
      <w:r w:rsidR="00B80190" w:rsidRPr="00410EDF">
        <w:rPr>
          <w:rFonts w:ascii="Arial" w:hAnsi="Arial" w:cs="Arial"/>
          <w:sz w:val="24"/>
          <w:szCs w:val="24"/>
        </w:rPr>
        <w:t xml:space="preserve">realizate în cadrul proiectului ”Sistem de management </w:t>
      </w:r>
      <w:r w:rsidR="00B80190" w:rsidRPr="00410EDF">
        <w:rPr>
          <w:rFonts w:ascii="Arial" w:hAnsi="Arial" w:cs="Arial"/>
          <w:sz w:val="24"/>
          <w:szCs w:val="24"/>
        </w:rPr>
        <w:lastRenderedPageBreak/>
        <w:t xml:space="preserve">integrat al deșeurilor în județul </w:t>
      </w:r>
      <w:r w:rsidR="00217620">
        <w:rPr>
          <w:rFonts w:ascii="Arial" w:hAnsi="Arial" w:cs="Arial"/>
          <w:sz w:val="24"/>
          <w:szCs w:val="24"/>
        </w:rPr>
        <w:t>Brăila</w:t>
      </w:r>
      <w:r w:rsidR="00B80190" w:rsidRPr="00410EDF">
        <w:rPr>
          <w:rFonts w:ascii="Arial" w:hAnsi="Arial" w:cs="Arial"/>
          <w:sz w:val="24"/>
          <w:szCs w:val="24"/>
        </w:rPr>
        <w:t>”</w:t>
      </w:r>
      <w:r w:rsidR="00D60462" w:rsidRPr="00410EDF">
        <w:rPr>
          <w:rFonts w:ascii="Arial" w:hAnsi="Arial" w:cs="Arial"/>
          <w:sz w:val="24"/>
          <w:szCs w:val="24"/>
        </w:rPr>
        <w:t>, finalizate în 2015</w:t>
      </w:r>
      <w:r w:rsidRPr="00410EDF">
        <w:rPr>
          <w:rFonts w:ascii="Arial" w:hAnsi="Arial" w:cs="Arial"/>
          <w:sz w:val="24"/>
          <w:szCs w:val="24"/>
        </w:rPr>
        <w:t xml:space="preserve">. Consliul Local Ianca a încheiat contract pentru depozitarea deşeurilor menajere și asimilabile la </w:t>
      </w:r>
      <w:r w:rsidR="00B80190" w:rsidRPr="00410EDF">
        <w:rPr>
          <w:rFonts w:ascii="Arial" w:hAnsi="Arial" w:cs="Arial"/>
          <w:sz w:val="24"/>
          <w:szCs w:val="24"/>
        </w:rPr>
        <w:t xml:space="preserve">depozitul conform </w:t>
      </w:r>
      <w:r w:rsidRPr="00410EDF">
        <w:rPr>
          <w:rFonts w:ascii="Arial" w:hAnsi="Arial" w:cs="Arial"/>
          <w:sz w:val="24"/>
          <w:szCs w:val="24"/>
        </w:rPr>
        <w:t xml:space="preserve">Gălbinaşi </w:t>
      </w:r>
      <w:r w:rsidR="00B80190" w:rsidRPr="00410EDF">
        <w:rPr>
          <w:rFonts w:ascii="Arial" w:hAnsi="Arial" w:cs="Arial"/>
          <w:sz w:val="24"/>
          <w:szCs w:val="24"/>
        </w:rPr>
        <w:t xml:space="preserve">al </w:t>
      </w:r>
      <w:r w:rsidR="00D60462" w:rsidRPr="00410EDF">
        <w:rPr>
          <w:rFonts w:ascii="Arial" w:hAnsi="Arial" w:cs="Arial"/>
          <w:sz w:val="24"/>
          <w:szCs w:val="24"/>
        </w:rPr>
        <w:t xml:space="preserve">SC </w:t>
      </w:r>
      <w:r w:rsidR="00B80190" w:rsidRPr="00410EDF">
        <w:rPr>
          <w:rFonts w:ascii="Arial" w:hAnsi="Arial" w:cs="Arial"/>
          <w:sz w:val="24"/>
          <w:szCs w:val="24"/>
        </w:rPr>
        <w:t xml:space="preserve">RER Ecologic Service SRL </w:t>
      </w:r>
      <w:r w:rsidRPr="00410EDF">
        <w:rPr>
          <w:rFonts w:ascii="Arial" w:hAnsi="Arial" w:cs="Arial"/>
          <w:sz w:val="24"/>
          <w:szCs w:val="24"/>
        </w:rPr>
        <w:t xml:space="preserve"> Buzău.</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VII.1.2 Generarea şi gestionarea deşeurilor industriale</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Deşeurile industriale rezultă în urma desfăşurării diferitelor activităţi economice. Pot avea caracter periculos sau nepericulos. Cantităţiile de deşeuri de producţie generate sunt inconstante de la an la an, datorită variaţiei activităţii generatoare de deşeuri, a retehnologizării, a preocupării crescânde de a minimiza cantitatea de deşeuri generată. </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Evidenţa şi gestiunea deşeurilor industriale revine în sarcina agentului economic generator. Generatorii de deşeuri industriale îşi gestionează prin mijloace proprii sau prin contracte încheiate cu operatori economici specializaţi şi autorizaţi conform legii, valorificarea sau eliminarea prin depozitare/incinerare a deşeurilor produse. </w:t>
      </w: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Monitorizarea agenţilor economici care generează deşeuri de producţie se realizează lunar, semestrial sau anual în conformitate cu prevederile </w:t>
      </w:r>
      <w:r w:rsidR="00EE08BA" w:rsidRPr="00410EDF">
        <w:rPr>
          <w:rFonts w:ascii="Arial" w:hAnsi="Arial" w:cs="Arial"/>
          <w:sz w:val="24"/>
          <w:szCs w:val="24"/>
        </w:rPr>
        <w:t xml:space="preserve">Legii 211/2011 privind regimul deşeurilor, ale  </w:t>
      </w:r>
      <w:r w:rsidRPr="00410EDF">
        <w:rPr>
          <w:rFonts w:ascii="Arial" w:hAnsi="Arial" w:cs="Arial"/>
          <w:sz w:val="24"/>
          <w:szCs w:val="24"/>
        </w:rPr>
        <w:t>HG 856/2002</w:t>
      </w:r>
      <w:r w:rsidR="00EE08BA" w:rsidRPr="00410EDF">
        <w:rPr>
          <w:rFonts w:ascii="Arial" w:hAnsi="Arial" w:cs="Arial"/>
          <w:sz w:val="24"/>
          <w:szCs w:val="24"/>
        </w:rPr>
        <w:t xml:space="preserve"> privind evidenţa gestiunii deşeurilor şi pentru aprobarea listei cuprinzând deşeurile, inclusiv deşeurile periculoase, cu modificările ulterioare</w:t>
      </w:r>
      <w:r w:rsidRPr="00410EDF">
        <w:rPr>
          <w:rFonts w:ascii="Arial" w:hAnsi="Arial" w:cs="Arial"/>
          <w:sz w:val="24"/>
          <w:szCs w:val="24"/>
        </w:rPr>
        <w:t xml:space="preserve"> şi ale autorizaţiei de mediu. Cantităţiile de deşeuri de producţie generate anual sunt înregistrate şi raportate </w:t>
      </w:r>
      <w:r w:rsidR="00EE08BA" w:rsidRPr="00410EDF">
        <w:rPr>
          <w:rFonts w:ascii="Arial" w:hAnsi="Arial" w:cs="Arial"/>
          <w:sz w:val="24"/>
          <w:szCs w:val="24"/>
        </w:rPr>
        <w:t xml:space="preserve">on line </w:t>
      </w:r>
      <w:r w:rsidRPr="00410EDF">
        <w:rPr>
          <w:rFonts w:ascii="Arial" w:hAnsi="Arial" w:cs="Arial"/>
          <w:sz w:val="24"/>
          <w:szCs w:val="24"/>
        </w:rPr>
        <w:t xml:space="preserve">de către agenţii economici </w:t>
      </w:r>
      <w:r w:rsidR="00EE08BA" w:rsidRPr="00410EDF">
        <w:rPr>
          <w:rFonts w:ascii="Arial" w:hAnsi="Arial" w:cs="Arial"/>
          <w:sz w:val="24"/>
          <w:szCs w:val="24"/>
        </w:rPr>
        <w:t>prin</w:t>
      </w:r>
      <w:r w:rsidRPr="00410EDF">
        <w:rPr>
          <w:rFonts w:ascii="Arial" w:hAnsi="Arial" w:cs="Arial"/>
          <w:sz w:val="24"/>
          <w:szCs w:val="24"/>
        </w:rPr>
        <w:t xml:space="preserve"> chestionarel</w:t>
      </w:r>
      <w:r w:rsidR="00EE08BA" w:rsidRPr="00410EDF">
        <w:rPr>
          <w:rFonts w:ascii="Arial" w:hAnsi="Arial" w:cs="Arial"/>
          <w:sz w:val="24"/>
          <w:szCs w:val="24"/>
        </w:rPr>
        <w:t>e</w:t>
      </w:r>
      <w:r w:rsidRPr="00410EDF">
        <w:rPr>
          <w:rFonts w:ascii="Arial" w:hAnsi="Arial" w:cs="Arial"/>
          <w:sz w:val="24"/>
          <w:szCs w:val="24"/>
        </w:rPr>
        <w:t xml:space="preserve"> de anchetă statistică </w:t>
      </w:r>
      <w:r w:rsidR="00EE08BA" w:rsidRPr="00410EDF">
        <w:rPr>
          <w:rFonts w:ascii="Arial" w:hAnsi="Arial" w:cs="Arial"/>
          <w:sz w:val="24"/>
          <w:szCs w:val="24"/>
        </w:rPr>
        <w:t xml:space="preserve">în cadrul </w:t>
      </w:r>
      <w:r w:rsidRPr="00410EDF">
        <w:rPr>
          <w:rFonts w:ascii="Arial" w:hAnsi="Arial" w:cs="Arial"/>
          <w:sz w:val="24"/>
          <w:szCs w:val="24"/>
        </w:rPr>
        <w:t>aplicați</w:t>
      </w:r>
      <w:r w:rsidR="00EE08BA" w:rsidRPr="00410EDF">
        <w:rPr>
          <w:rFonts w:ascii="Arial" w:hAnsi="Arial" w:cs="Arial"/>
          <w:sz w:val="24"/>
          <w:szCs w:val="24"/>
        </w:rPr>
        <w:t>ei</w:t>
      </w:r>
      <w:r w:rsidRPr="00410EDF">
        <w:rPr>
          <w:rFonts w:ascii="Arial" w:hAnsi="Arial" w:cs="Arial"/>
          <w:sz w:val="24"/>
          <w:szCs w:val="24"/>
        </w:rPr>
        <w:t xml:space="preserve"> electronic</w:t>
      </w:r>
      <w:r w:rsidR="00EE08BA" w:rsidRPr="00410EDF">
        <w:rPr>
          <w:rFonts w:ascii="Arial" w:hAnsi="Arial" w:cs="Arial"/>
          <w:sz w:val="24"/>
          <w:szCs w:val="24"/>
        </w:rPr>
        <w:t>e</w:t>
      </w:r>
      <w:r w:rsidRPr="00410EDF">
        <w:rPr>
          <w:rFonts w:ascii="Arial" w:hAnsi="Arial" w:cs="Arial"/>
          <w:sz w:val="24"/>
          <w:szCs w:val="24"/>
        </w:rPr>
        <w:t xml:space="preserve"> S</w:t>
      </w:r>
      <w:r w:rsidR="00EE08BA" w:rsidRPr="00410EDF">
        <w:rPr>
          <w:rFonts w:ascii="Arial" w:hAnsi="Arial" w:cs="Arial"/>
          <w:sz w:val="24"/>
          <w:szCs w:val="24"/>
        </w:rPr>
        <w:t xml:space="preserve">istemul </w:t>
      </w:r>
      <w:r w:rsidRPr="00410EDF">
        <w:rPr>
          <w:rFonts w:ascii="Arial" w:hAnsi="Arial" w:cs="Arial"/>
          <w:sz w:val="24"/>
          <w:szCs w:val="24"/>
        </w:rPr>
        <w:t>I</w:t>
      </w:r>
      <w:r w:rsidR="00EE08BA" w:rsidRPr="00410EDF">
        <w:rPr>
          <w:rFonts w:ascii="Arial" w:hAnsi="Arial" w:cs="Arial"/>
          <w:sz w:val="24"/>
          <w:szCs w:val="24"/>
        </w:rPr>
        <w:t xml:space="preserve">ntegrat de </w:t>
      </w:r>
      <w:r w:rsidRPr="00410EDF">
        <w:rPr>
          <w:rFonts w:ascii="Arial" w:hAnsi="Arial" w:cs="Arial"/>
          <w:sz w:val="24"/>
          <w:szCs w:val="24"/>
        </w:rPr>
        <w:t>M</w:t>
      </w:r>
      <w:r w:rsidR="00EE08BA" w:rsidRPr="00410EDF">
        <w:rPr>
          <w:rFonts w:ascii="Arial" w:hAnsi="Arial" w:cs="Arial"/>
          <w:sz w:val="24"/>
          <w:szCs w:val="24"/>
        </w:rPr>
        <w:t>ediu</w:t>
      </w:r>
      <w:r w:rsidRPr="00410EDF">
        <w:rPr>
          <w:rFonts w:ascii="Arial" w:hAnsi="Arial" w:cs="Arial"/>
          <w:sz w:val="24"/>
          <w:szCs w:val="24"/>
        </w:rPr>
        <w:t>-</w:t>
      </w:r>
      <w:r w:rsidR="00EE08BA" w:rsidRPr="00410EDF">
        <w:rPr>
          <w:rFonts w:ascii="Arial" w:hAnsi="Arial" w:cs="Arial"/>
          <w:sz w:val="24"/>
          <w:szCs w:val="24"/>
        </w:rPr>
        <w:t xml:space="preserve"> </w:t>
      </w:r>
      <w:r w:rsidRPr="00410EDF">
        <w:rPr>
          <w:rFonts w:ascii="Arial" w:hAnsi="Arial" w:cs="Arial"/>
          <w:sz w:val="24"/>
          <w:szCs w:val="24"/>
        </w:rPr>
        <w:t>Statistica deșeurilor începând cu anul 2012. La nivel naţional se procedează la validarea acestor date, constituindu-se astfel baza de raportare a datelor către EUROSTAT.</w:t>
      </w:r>
    </w:p>
    <w:p w:rsidR="006908FA" w:rsidRPr="00410EDF" w:rsidRDefault="006908FA" w:rsidP="00C625DB">
      <w:pPr>
        <w:spacing w:after="0" w:line="240" w:lineRule="auto"/>
        <w:ind w:firstLine="708"/>
        <w:jc w:val="both"/>
        <w:rPr>
          <w:rFonts w:ascii="Arial" w:hAnsi="Arial" w:cs="Arial"/>
          <w:b/>
          <w:sz w:val="24"/>
          <w:szCs w:val="24"/>
        </w:rPr>
      </w:pPr>
    </w:p>
    <w:p w:rsidR="00F065B7" w:rsidRPr="00410EDF" w:rsidRDefault="00F065B7" w:rsidP="00C625DB">
      <w:pPr>
        <w:spacing w:after="0" w:line="240" w:lineRule="auto"/>
        <w:rPr>
          <w:rFonts w:ascii="Arial" w:hAnsi="Arial" w:cs="Arial"/>
          <w:b/>
          <w:sz w:val="24"/>
          <w:szCs w:val="24"/>
          <w:lang w:val="it-IT"/>
        </w:rPr>
      </w:pPr>
      <w:r w:rsidRPr="00410EDF">
        <w:rPr>
          <w:rFonts w:ascii="Arial" w:hAnsi="Arial" w:cs="Arial"/>
          <w:sz w:val="24"/>
          <w:szCs w:val="24"/>
        </w:rPr>
        <w:t xml:space="preserve">Tabel VII.1.2.1 </w:t>
      </w:r>
      <w:r w:rsidRPr="00410EDF">
        <w:rPr>
          <w:rFonts w:ascii="Arial" w:hAnsi="Arial" w:cs="Arial"/>
          <w:sz w:val="24"/>
          <w:szCs w:val="24"/>
          <w:lang w:val="it-IT"/>
        </w:rPr>
        <w:t>Deşeuri generate</w:t>
      </w:r>
      <w:r w:rsidR="00EE08BA" w:rsidRPr="00410EDF">
        <w:rPr>
          <w:rFonts w:ascii="Arial" w:hAnsi="Arial" w:cs="Arial"/>
          <w:sz w:val="24"/>
          <w:szCs w:val="24"/>
          <w:lang w:val="it-IT"/>
        </w:rPr>
        <w:t xml:space="preserve"> la nivelul județului </w:t>
      </w:r>
      <w:r w:rsidR="00217620">
        <w:rPr>
          <w:rFonts w:ascii="Arial" w:hAnsi="Arial" w:cs="Arial"/>
          <w:sz w:val="24"/>
          <w:szCs w:val="24"/>
          <w:lang w:val="it-IT"/>
        </w:rPr>
        <w:t>Brăila</w:t>
      </w:r>
      <w:r w:rsidRPr="00410EDF">
        <w:rPr>
          <w:rFonts w:ascii="Arial" w:hAnsi="Arial" w:cs="Arial"/>
          <w:sz w:val="24"/>
          <w:szCs w:val="24"/>
          <w:lang w:val="it-IT"/>
        </w:rPr>
        <w:t xml:space="preserve"> pe activităţi economice</w:t>
      </w:r>
    </w:p>
    <w:tbl>
      <w:tblPr>
        <w:tblW w:w="8898" w:type="dxa"/>
        <w:jc w:val="center"/>
        <w:tblInd w:w="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606"/>
        <w:gridCol w:w="1606"/>
        <w:gridCol w:w="1701"/>
        <w:gridCol w:w="1985"/>
      </w:tblGrid>
      <w:tr w:rsidR="000C7B40" w:rsidRPr="00410EDF" w:rsidTr="006157E7">
        <w:trPr>
          <w:trHeight w:val="858"/>
          <w:jc w:val="center"/>
        </w:trPr>
        <w:tc>
          <w:tcPr>
            <w:tcW w:w="3606" w:type="dxa"/>
            <w:shd w:val="clear" w:color="auto" w:fill="EEECE1" w:themeFill="background2"/>
            <w:vAlign w:val="center"/>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Activitate economică</w:t>
            </w:r>
          </w:p>
        </w:tc>
        <w:tc>
          <w:tcPr>
            <w:tcW w:w="1606" w:type="dxa"/>
            <w:shd w:val="clear" w:color="auto" w:fill="EEECE1" w:themeFill="background2"/>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Cantitate generată</w:t>
            </w:r>
          </w:p>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2013</w:t>
            </w:r>
          </w:p>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 t ]</w:t>
            </w:r>
          </w:p>
        </w:tc>
        <w:tc>
          <w:tcPr>
            <w:tcW w:w="1701" w:type="dxa"/>
            <w:shd w:val="clear" w:color="auto" w:fill="EEECE1" w:themeFill="background2"/>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Cantitate generată</w:t>
            </w:r>
          </w:p>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2014</w:t>
            </w:r>
          </w:p>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 t ]</w:t>
            </w:r>
          </w:p>
        </w:tc>
        <w:tc>
          <w:tcPr>
            <w:tcW w:w="1985" w:type="dxa"/>
            <w:shd w:val="clear" w:color="auto" w:fill="EEECE1" w:themeFill="background2"/>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Cantitate generată</w:t>
            </w:r>
          </w:p>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2015</w:t>
            </w:r>
          </w:p>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 t ]</w:t>
            </w:r>
          </w:p>
        </w:tc>
      </w:tr>
      <w:tr w:rsidR="00EE08BA" w:rsidRPr="00410EDF" w:rsidTr="006157E7">
        <w:trPr>
          <w:jc w:val="center"/>
        </w:trPr>
        <w:tc>
          <w:tcPr>
            <w:tcW w:w="3606" w:type="dxa"/>
          </w:tcPr>
          <w:p w:rsidR="00EE08BA" w:rsidRPr="00410EDF" w:rsidRDefault="00EE08BA" w:rsidP="00C625DB">
            <w:pPr>
              <w:spacing w:after="0" w:line="240" w:lineRule="auto"/>
              <w:rPr>
                <w:rFonts w:ascii="Arial" w:hAnsi="Arial" w:cs="Arial"/>
                <w:sz w:val="24"/>
                <w:szCs w:val="24"/>
              </w:rPr>
            </w:pPr>
            <w:r w:rsidRPr="00410EDF">
              <w:rPr>
                <w:rFonts w:ascii="Arial" w:hAnsi="Arial" w:cs="Arial"/>
                <w:sz w:val="24"/>
                <w:szCs w:val="24"/>
              </w:rPr>
              <w:t>Industria extractivă</w:t>
            </w:r>
          </w:p>
        </w:tc>
        <w:tc>
          <w:tcPr>
            <w:tcW w:w="1606"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20,46</w:t>
            </w:r>
          </w:p>
        </w:tc>
        <w:tc>
          <w:tcPr>
            <w:tcW w:w="1701"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3041,54</w:t>
            </w:r>
          </w:p>
        </w:tc>
        <w:tc>
          <w:tcPr>
            <w:tcW w:w="1985"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647218,20</w:t>
            </w:r>
          </w:p>
        </w:tc>
      </w:tr>
      <w:tr w:rsidR="00EE08BA" w:rsidRPr="00410EDF" w:rsidTr="006157E7">
        <w:trPr>
          <w:jc w:val="center"/>
        </w:trPr>
        <w:tc>
          <w:tcPr>
            <w:tcW w:w="3606" w:type="dxa"/>
          </w:tcPr>
          <w:p w:rsidR="00EE08BA" w:rsidRPr="00410EDF" w:rsidRDefault="00EE08BA" w:rsidP="00C625DB">
            <w:pPr>
              <w:spacing w:after="0" w:line="240" w:lineRule="auto"/>
              <w:rPr>
                <w:rFonts w:ascii="Arial" w:hAnsi="Arial" w:cs="Arial"/>
                <w:sz w:val="24"/>
                <w:szCs w:val="24"/>
              </w:rPr>
            </w:pPr>
            <w:r w:rsidRPr="00410EDF">
              <w:rPr>
                <w:rFonts w:ascii="Arial" w:hAnsi="Arial" w:cs="Arial"/>
                <w:sz w:val="24"/>
                <w:szCs w:val="24"/>
              </w:rPr>
              <w:t>Industria construcţiilor navale</w:t>
            </w:r>
          </w:p>
        </w:tc>
        <w:tc>
          <w:tcPr>
            <w:tcW w:w="1606"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6005,20</w:t>
            </w:r>
          </w:p>
        </w:tc>
        <w:tc>
          <w:tcPr>
            <w:tcW w:w="1701"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8200,15</w:t>
            </w:r>
          </w:p>
        </w:tc>
        <w:tc>
          <w:tcPr>
            <w:tcW w:w="1985"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4772,06</w:t>
            </w:r>
          </w:p>
        </w:tc>
      </w:tr>
      <w:tr w:rsidR="00EE08BA" w:rsidRPr="00410EDF" w:rsidTr="006157E7">
        <w:trPr>
          <w:jc w:val="center"/>
        </w:trPr>
        <w:tc>
          <w:tcPr>
            <w:tcW w:w="3606" w:type="dxa"/>
          </w:tcPr>
          <w:p w:rsidR="00EE08BA" w:rsidRPr="00410EDF" w:rsidRDefault="00EE08BA" w:rsidP="00C625DB">
            <w:pPr>
              <w:spacing w:after="0" w:line="240" w:lineRule="auto"/>
              <w:rPr>
                <w:rFonts w:ascii="Arial" w:hAnsi="Arial" w:cs="Arial"/>
                <w:sz w:val="24"/>
                <w:szCs w:val="24"/>
              </w:rPr>
            </w:pPr>
            <w:r w:rsidRPr="00410EDF">
              <w:rPr>
                <w:rFonts w:ascii="Arial" w:hAnsi="Arial" w:cs="Arial"/>
                <w:sz w:val="24"/>
                <w:szCs w:val="24"/>
              </w:rPr>
              <w:t>Industria constructoare de mașini</w:t>
            </w:r>
          </w:p>
        </w:tc>
        <w:tc>
          <w:tcPr>
            <w:tcW w:w="1606"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8349.96</w:t>
            </w:r>
          </w:p>
        </w:tc>
        <w:tc>
          <w:tcPr>
            <w:tcW w:w="1701"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7329,67</w:t>
            </w:r>
          </w:p>
        </w:tc>
        <w:tc>
          <w:tcPr>
            <w:tcW w:w="1985"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2587,68</w:t>
            </w:r>
          </w:p>
        </w:tc>
      </w:tr>
      <w:tr w:rsidR="000C7B40" w:rsidRPr="00410EDF" w:rsidTr="006157E7">
        <w:trPr>
          <w:jc w:val="center"/>
        </w:trPr>
        <w:tc>
          <w:tcPr>
            <w:tcW w:w="3606" w:type="dxa"/>
            <w:shd w:val="clear" w:color="auto" w:fill="auto"/>
            <w:vAlign w:val="center"/>
          </w:tcPr>
          <w:p w:rsidR="000C7B40" w:rsidRPr="00410EDF" w:rsidRDefault="000C7B40" w:rsidP="00C625DB">
            <w:pPr>
              <w:spacing w:after="0" w:line="240" w:lineRule="auto"/>
              <w:rPr>
                <w:rFonts w:ascii="Arial" w:hAnsi="Arial" w:cs="Arial"/>
                <w:sz w:val="24"/>
                <w:szCs w:val="24"/>
              </w:rPr>
            </w:pPr>
            <w:r w:rsidRPr="00410EDF">
              <w:rPr>
                <w:rFonts w:ascii="Arial" w:hAnsi="Arial" w:cs="Arial"/>
                <w:sz w:val="24"/>
                <w:szCs w:val="24"/>
              </w:rPr>
              <w:t>Industria metalurgică</w:t>
            </w:r>
          </w:p>
        </w:tc>
        <w:tc>
          <w:tcPr>
            <w:tcW w:w="1606" w:type="dxa"/>
            <w:shd w:val="clear" w:color="auto" w:fill="auto"/>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3080.86</w:t>
            </w:r>
          </w:p>
        </w:tc>
        <w:tc>
          <w:tcPr>
            <w:tcW w:w="1701" w:type="dxa"/>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1552,33</w:t>
            </w:r>
          </w:p>
        </w:tc>
        <w:tc>
          <w:tcPr>
            <w:tcW w:w="1985" w:type="dxa"/>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2099,30</w:t>
            </w:r>
          </w:p>
        </w:tc>
      </w:tr>
      <w:tr w:rsidR="00EE08BA" w:rsidRPr="00410EDF" w:rsidTr="006157E7">
        <w:trPr>
          <w:jc w:val="center"/>
        </w:trPr>
        <w:tc>
          <w:tcPr>
            <w:tcW w:w="3606" w:type="dxa"/>
          </w:tcPr>
          <w:p w:rsidR="00EE08BA" w:rsidRPr="00410EDF" w:rsidRDefault="00EE08BA" w:rsidP="00C625DB">
            <w:pPr>
              <w:spacing w:after="0" w:line="240" w:lineRule="auto"/>
              <w:rPr>
                <w:rFonts w:ascii="Arial" w:hAnsi="Arial" w:cs="Arial"/>
                <w:sz w:val="24"/>
                <w:szCs w:val="24"/>
              </w:rPr>
            </w:pPr>
            <w:r w:rsidRPr="00410EDF">
              <w:rPr>
                <w:rFonts w:ascii="Arial" w:hAnsi="Arial" w:cs="Arial"/>
                <w:sz w:val="24"/>
                <w:szCs w:val="24"/>
              </w:rPr>
              <w:t>Industria energetică</w:t>
            </w:r>
          </w:p>
        </w:tc>
        <w:tc>
          <w:tcPr>
            <w:tcW w:w="1606"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823,29</w:t>
            </w:r>
          </w:p>
        </w:tc>
        <w:tc>
          <w:tcPr>
            <w:tcW w:w="1701"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502,06</w:t>
            </w:r>
          </w:p>
        </w:tc>
        <w:tc>
          <w:tcPr>
            <w:tcW w:w="1985"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80,47</w:t>
            </w:r>
          </w:p>
        </w:tc>
      </w:tr>
      <w:tr w:rsidR="00EE08BA" w:rsidRPr="00410EDF" w:rsidTr="006157E7">
        <w:trPr>
          <w:jc w:val="center"/>
        </w:trPr>
        <w:tc>
          <w:tcPr>
            <w:tcW w:w="3606" w:type="dxa"/>
          </w:tcPr>
          <w:p w:rsidR="00EE08BA" w:rsidRPr="00410EDF" w:rsidRDefault="00EE08BA" w:rsidP="00C625DB">
            <w:pPr>
              <w:spacing w:after="0" w:line="240" w:lineRule="auto"/>
              <w:rPr>
                <w:rFonts w:ascii="Arial" w:hAnsi="Arial" w:cs="Arial"/>
                <w:sz w:val="24"/>
                <w:szCs w:val="24"/>
              </w:rPr>
            </w:pPr>
            <w:r w:rsidRPr="00410EDF">
              <w:rPr>
                <w:rFonts w:ascii="Arial" w:hAnsi="Arial" w:cs="Arial"/>
                <w:sz w:val="24"/>
                <w:szCs w:val="24"/>
              </w:rPr>
              <w:t>Industria uşoară</w:t>
            </w:r>
          </w:p>
        </w:tc>
        <w:tc>
          <w:tcPr>
            <w:tcW w:w="1606"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245,74</w:t>
            </w:r>
          </w:p>
        </w:tc>
        <w:tc>
          <w:tcPr>
            <w:tcW w:w="1701"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269,36</w:t>
            </w:r>
          </w:p>
        </w:tc>
        <w:tc>
          <w:tcPr>
            <w:tcW w:w="1985"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130,03</w:t>
            </w:r>
          </w:p>
        </w:tc>
      </w:tr>
      <w:tr w:rsidR="00EE08BA" w:rsidRPr="00410EDF" w:rsidTr="006157E7">
        <w:trPr>
          <w:jc w:val="center"/>
        </w:trPr>
        <w:tc>
          <w:tcPr>
            <w:tcW w:w="3606" w:type="dxa"/>
          </w:tcPr>
          <w:p w:rsidR="00EE08BA" w:rsidRPr="00410EDF" w:rsidRDefault="00EE08BA" w:rsidP="00C625DB">
            <w:pPr>
              <w:spacing w:after="0" w:line="240" w:lineRule="auto"/>
              <w:rPr>
                <w:rFonts w:ascii="Arial" w:hAnsi="Arial" w:cs="Arial"/>
                <w:sz w:val="24"/>
                <w:szCs w:val="24"/>
              </w:rPr>
            </w:pPr>
            <w:r w:rsidRPr="00410EDF">
              <w:rPr>
                <w:rFonts w:ascii="Arial" w:hAnsi="Arial" w:cs="Arial"/>
                <w:sz w:val="24"/>
                <w:szCs w:val="24"/>
              </w:rPr>
              <w:t>Comerţ</w:t>
            </w:r>
          </w:p>
        </w:tc>
        <w:tc>
          <w:tcPr>
            <w:tcW w:w="1606"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1014,38</w:t>
            </w:r>
          </w:p>
        </w:tc>
        <w:tc>
          <w:tcPr>
            <w:tcW w:w="1701"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2398,11</w:t>
            </w:r>
          </w:p>
        </w:tc>
        <w:tc>
          <w:tcPr>
            <w:tcW w:w="1985"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751,63</w:t>
            </w:r>
          </w:p>
        </w:tc>
      </w:tr>
      <w:tr w:rsidR="000C7B40" w:rsidRPr="00410EDF" w:rsidTr="006157E7">
        <w:trPr>
          <w:jc w:val="center"/>
        </w:trPr>
        <w:tc>
          <w:tcPr>
            <w:tcW w:w="3606" w:type="dxa"/>
          </w:tcPr>
          <w:p w:rsidR="000C7B40" w:rsidRPr="00410EDF" w:rsidRDefault="000C7B40" w:rsidP="00C625DB">
            <w:pPr>
              <w:spacing w:after="0" w:line="240" w:lineRule="auto"/>
              <w:rPr>
                <w:rFonts w:ascii="Arial" w:hAnsi="Arial" w:cs="Arial"/>
                <w:sz w:val="24"/>
                <w:szCs w:val="24"/>
              </w:rPr>
            </w:pPr>
            <w:r w:rsidRPr="00410EDF">
              <w:rPr>
                <w:rFonts w:ascii="Arial" w:hAnsi="Arial" w:cs="Arial"/>
                <w:sz w:val="24"/>
                <w:szCs w:val="24"/>
              </w:rPr>
              <w:t>Industria alimentară</w:t>
            </w:r>
          </w:p>
        </w:tc>
        <w:tc>
          <w:tcPr>
            <w:tcW w:w="1606" w:type="dxa"/>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31,83</w:t>
            </w:r>
          </w:p>
        </w:tc>
        <w:tc>
          <w:tcPr>
            <w:tcW w:w="1701" w:type="dxa"/>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41,45</w:t>
            </w:r>
          </w:p>
        </w:tc>
        <w:tc>
          <w:tcPr>
            <w:tcW w:w="1985" w:type="dxa"/>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7754,69</w:t>
            </w:r>
          </w:p>
        </w:tc>
      </w:tr>
      <w:tr w:rsidR="00EE08BA" w:rsidRPr="00410EDF" w:rsidTr="006157E7">
        <w:trPr>
          <w:jc w:val="center"/>
        </w:trPr>
        <w:tc>
          <w:tcPr>
            <w:tcW w:w="3606" w:type="dxa"/>
          </w:tcPr>
          <w:p w:rsidR="00EE08BA" w:rsidRPr="00410EDF" w:rsidRDefault="00EE08BA" w:rsidP="00C625DB">
            <w:pPr>
              <w:spacing w:after="0" w:line="240" w:lineRule="auto"/>
              <w:rPr>
                <w:rFonts w:ascii="Arial" w:hAnsi="Arial" w:cs="Arial"/>
                <w:sz w:val="24"/>
                <w:szCs w:val="24"/>
              </w:rPr>
            </w:pPr>
            <w:r w:rsidRPr="00410EDF">
              <w:rPr>
                <w:rFonts w:ascii="Arial" w:hAnsi="Arial" w:cs="Arial"/>
                <w:sz w:val="24"/>
                <w:szCs w:val="24"/>
              </w:rPr>
              <w:t>Zootehnie</w:t>
            </w:r>
          </w:p>
        </w:tc>
        <w:tc>
          <w:tcPr>
            <w:tcW w:w="1606"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12175,32</w:t>
            </w:r>
          </w:p>
        </w:tc>
        <w:tc>
          <w:tcPr>
            <w:tcW w:w="1701"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3845,30</w:t>
            </w:r>
          </w:p>
        </w:tc>
        <w:tc>
          <w:tcPr>
            <w:tcW w:w="1985" w:type="dxa"/>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1285,31</w:t>
            </w:r>
          </w:p>
        </w:tc>
      </w:tr>
      <w:tr w:rsidR="000C7B40" w:rsidRPr="00410EDF" w:rsidTr="006157E7">
        <w:trPr>
          <w:jc w:val="center"/>
        </w:trPr>
        <w:tc>
          <w:tcPr>
            <w:tcW w:w="3606" w:type="dxa"/>
          </w:tcPr>
          <w:p w:rsidR="000C7B40" w:rsidRPr="00410EDF" w:rsidRDefault="000C7B40" w:rsidP="00C625DB">
            <w:pPr>
              <w:spacing w:after="0" w:line="240" w:lineRule="auto"/>
              <w:rPr>
                <w:rFonts w:ascii="Arial" w:hAnsi="Arial" w:cs="Arial"/>
                <w:sz w:val="24"/>
                <w:szCs w:val="24"/>
              </w:rPr>
            </w:pPr>
            <w:r w:rsidRPr="00410EDF">
              <w:rPr>
                <w:rFonts w:ascii="Arial" w:hAnsi="Arial" w:cs="Arial"/>
                <w:sz w:val="24"/>
                <w:szCs w:val="24"/>
              </w:rPr>
              <w:t>Altele</w:t>
            </w:r>
          </w:p>
        </w:tc>
        <w:tc>
          <w:tcPr>
            <w:tcW w:w="1606" w:type="dxa"/>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244,44</w:t>
            </w:r>
          </w:p>
        </w:tc>
        <w:tc>
          <w:tcPr>
            <w:tcW w:w="1701" w:type="dxa"/>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26907,61</w:t>
            </w:r>
          </w:p>
        </w:tc>
        <w:tc>
          <w:tcPr>
            <w:tcW w:w="1985" w:type="dxa"/>
          </w:tcPr>
          <w:p w:rsidR="000C7B40" w:rsidRPr="00410EDF" w:rsidRDefault="000C7B40" w:rsidP="00C625DB">
            <w:pPr>
              <w:spacing w:after="0" w:line="240" w:lineRule="auto"/>
              <w:jc w:val="center"/>
              <w:rPr>
                <w:rFonts w:ascii="Arial" w:hAnsi="Arial" w:cs="Arial"/>
                <w:sz w:val="24"/>
                <w:szCs w:val="24"/>
              </w:rPr>
            </w:pPr>
            <w:r w:rsidRPr="00410EDF">
              <w:rPr>
                <w:rFonts w:ascii="Arial" w:hAnsi="Arial" w:cs="Arial"/>
                <w:sz w:val="24"/>
                <w:szCs w:val="24"/>
              </w:rPr>
              <w:t>13062,38</w:t>
            </w:r>
          </w:p>
        </w:tc>
      </w:tr>
    </w:tbl>
    <w:p w:rsidR="00F065B7" w:rsidRPr="00410EDF" w:rsidRDefault="00F065B7" w:rsidP="00C625DB">
      <w:pPr>
        <w:autoSpaceDE w:val="0"/>
        <w:autoSpaceDN w:val="0"/>
        <w:adjustRightInd w:val="0"/>
        <w:spacing w:after="0" w:line="240" w:lineRule="auto"/>
        <w:jc w:val="both"/>
        <w:rPr>
          <w:rFonts w:ascii="Arial" w:hAnsi="Arial" w:cs="Arial"/>
          <w:b/>
          <w:sz w:val="24"/>
          <w:szCs w:val="24"/>
        </w:rPr>
      </w:pPr>
    </w:p>
    <w:p w:rsidR="00F065B7" w:rsidRPr="00410EDF" w:rsidRDefault="00F065B7" w:rsidP="00C625DB">
      <w:pPr>
        <w:spacing w:after="0" w:line="240" w:lineRule="auto"/>
        <w:ind w:firstLine="708"/>
        <w:jc w:val="both"/>
        <w:rPr>
          <w:rFonts w:ascii="Arial" w:hAnsi="Arial" w:cs="Arial"/>
          <w:sz w:val="24"/>
          <w:szCs w:val="24"/>
        </w:rPr>
      </w:pPr>
      <w:r w:rsidRPr="00410EDF">
        <w:rPr>
          <w:rFonts w:ascii="Arial" w:hAnsi="Arial" w:cs="Arial"/>
          <w:sz w:val="24"/>
          <w:szCs w:val="24"/>
        </w:rPr>
        <w:t xml:space="preserve">Deşeurile generate de operatorii economici sunt depozitate temporar în vederea valorificării sau eliminării. </w:t>
      </w:r>
    </w:p>
    <w:p w:rsidR="00F065B7" w:rsidRPr="00410EDF" w:rsidRDefault="00F065B7" w:rsidP="00C625DB">
      <w:pPr>
        <w:spacing w:after="0" w:line="240" w:lineRule="auto"/>
        <w:jc w:val="both"/>
        <w:rPr>
          <w:rFonts w:ascii="Arial" w:hAnsi="Arial" w:cs="Arial"/>
          <w:b/>
          <w:sz w:val="24"/>
          <w:szCs w:val="24"/>
          <w:lang w:val="it-IT"/>
        </w:rPr>
      </w:pPr>
    </w:p>
    <w:p w:rsidR="00DC23A1" w:rsidRPr="00410EDF" w:rsidRDefault="00F065B7" w:rsidP="00C625DB">
      <w:pPr>
        <w:pStyle w:val="char0"/>
        <w:rPr>
          <w:rFonts w:ascii="Arial" w:hAnsi="Arial" w:cs="Arial"/>
          <w:b/>
          <w:lang w:val="ro-RO"/>
        </w:rPr>
      </w:pPr>
      <w:r w:rsidRPr="00410EDF">
        <w:rPr>
          <w:rFonts w:ascii="Arial" w:hAnsi="Arial" w:cs="Arial"/>
          <w:b/>
          <w:lang w:val="ro-RO"/>
        </w:rPr>
        <w:t>Generarea deşeurilor de producţie periculoase</w:t>
      </w:r>
    </w:p>
    <w:p w:rsidR="00F065B7" w:rsidRPr="00410EDF" w:rsidRDefault="00F065B7" w:rsidP="00C625DB">
      <w:pPr>
        <w:pStyle w:val="char0"/>
        <w:rPr>
          <w:rFonts w:ascii="Arial" w:hAnsi="Arial" w:cs="Arial"/>
          <w:b/>
          <w:lang w:val="ro-RO"/>
        </w:rPr>
      </w:pPr>
      <w:r w:rsidRPr="00410EDF">
        <w:rPr>
          <w:rFonts w:ascii="Arial" w:hAnsi="Arial" w:cs="Arial"/>
          <w:b/>
          <w:lang w:val="ro-RO"/>
        </w:rPr>
        <w:t xml:space="preserve"> </w:t>
      </w:r>
    </w:p>
    <w:p w:rsidR="00F065B7" w:rsidRPr="00410EDF" w:rsidRDefault="004524FE"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Așa cum rezultă din tabelul VII.1.2.1, cantitatea cea mai mare de deșeuri se generează în industria extractivă, fiind vorba de p</w:t>
      </w:r>
      <w:r w:rsidR="00F065B7" w:rsidRPr="00410EDF">
        <w:rPr>
          <w:rFonts w:ascii="Arial" w:hAnsi="Arial" w:cs="Arial"/>
          <w:sz w:val="24"/>
          <w:szCs w:val="24"/>
        </w:rPr>
        <w:t xml:space="preserve">rincipala categorie de deşeuri periculoase </w:t>
      </w:r>
      <w:r w:rsidRPr="00410EDF">
        <w:rPr>
          <w:rFonts w:ascii="Arial" w:hAnsi="Arial" w:cs="Arial"/>
          <w:sz w:val="24"/>
          <w:szCs w:val="24"/>
        </w:rPr>
        <w:t xml:space="preserve">, </w:t>
      </w:r>
      <w:r w:rsidR="00F065B7" w:rsidRPr="00410EDF">
        <w:rPr>
          <w:rFonts w:ascii="Arial" w:hAnsi="Arial" w:cs="Arial"/>
          <w:sz w:val="24"/>
          <w:szCs w:val="24"/>
        </w:rPr>
        <w:t xml:space="preserve">rezultată din activitatea de foraj şi extracţie petrol desfăşurată de </w:t>
      </w:r>
      <w:r w:rsidRPr="00410EDF">
        <w:rPr>
          <w:rFonts w:ascii="Arial" w:hAnsi="Arial" w:cs="Arial"/>
          <w:sz w:val="24"/>
          <w:szCs w:val="24"/>
        </w:rPr>
        <w:t>OMV</w:t>
      </w:r>
      <w:r w:rsidR="00F065B7" w:rsidRPr="00410EDF">
        <w:rPr>
          <w:rFonts w:ascii="Arial" w:hAnsi="Arial" w:cs="Arial"/>
          <w:sz w:val="24"/>
          <w:szCs w:val="24"/>
        </w:rPr>
        <w:t xml:space="preserve"> PETROM SA Sucursala </w:t>
      </w:r>
      <w:r w:rsidR="00217620">
        <w:rPr>
          <w:rFonts w:ascii="Arial" w:hAnsi="Arial" w:cs="Arial"/>
          <w:sz w:val="24"/>
          <w:szCs w:val="24"/>
        </w:rPr>
        <w:t>Brăila</w:t>
      </w:r>
      <w:r w:rsidR="00F065B7" w:rsidRPr="00410EDF">
        <w:rPr>
          <w:rFonts w:ascii="Arial" w:hAnsi="Arial" w:cs="Arial"/>
          <w:sz w:val="24"/>
          <w:szCs w:val="24"/>
        </w:rPr>
        <w:t xml:space="preserve"> pe structurile: Jugureanu </w:t>
      </w:r>
      <w:r w:rsidRPr="00410EDF">
        <w:rPr>
          <w:rFonts w:ascii="Arial" w:hAnsi="Arial" w:cs="Arial"/>
          <w:sz w:val="24"/>
          <w:szCs w:val="24"/>
        </w:rPr>
        <w:t>–</w:t>
      </w:r>
      <w:r w:rsidR="00F065B7" w:rsidRPr="00410EDF">
        <w:rPr>
          <w:rFonts w:ascii="Arial" w:hAnsi="Arial" w:cs="Arial"/>
          <w:sz w:val="24"/>
          <w:szCs w:val="24"/>
        </w:rPr>
        <w:t>Padina</w:t>
      </w:r>
      <w:r w:rsidRPr="00410EDF">
        <w:rPr>
          <w:rFonts w:ascii="Arial" w:hAnsi="Arial" w:cs="Arial"/>
          <w:sz w:val="24"/>
          <w:szCs w:val="24"/>
        </w:rPr>
        <w:t>,</w:t>
      </w:r>
      <w:r w:rsidR="00F065B7" w:rsidRPr="00410EDF">
        <w:rPr>
          <w:rFonts w:ascii="Arial" w:hAnsi="Arial" w:cs="Arial"/>
          <w:sz w:val="24"/>
          <w:szCs w:val="24"/>
        </w:rPr>
        <w:t xml:space="preserve"> Lişcoteanca</w:t>
      </w:r>
      <w:r w:rsidRPr="00410EDF">
        <w:rPr>
          <w:rFonts w:ascii="Arial" w:hAnsi="Arial" w:cs="Arial"/>
          <w:sz w:val="24"/>
          <w:szCs w:val="24"/>
        </w:rPr>
        <w:t>,</w:t>
      </w:r>
      <w:r w:rsidR="00F065B7" w:rsidRPr="00410EDF">
        <w:rPr>
          <w:rFonts w:ascii="Arial" w:hAnsi="Arial" w:cs="Arial"/>
          <w:sz w:val="24"/>
          <w:szCs w:val="24"/>
        </w:rPr>
        <w:t xml:space="preserve"> Stăncuţa</w:t>
      </w:r>
      <w:r w:rsidRPr="00410EDF">
        <w:rPr>
          <w:rFonts w:ascii="Arial" w:hAnsi="Arial" w:cs="Arial"/>
          <w:sz w:val="24"/>
          <w:szCs w:val="24"/>
        </w:rPr>
        <w:t>,</w:t>
      </w:r>
      <w:r w:rsidR="00F065B7" w:rsidRPr="00410EDF">
        <w:rPr>
          <w:rFonts w:ascii="Arial" w:hAnsi="Arial" w:cs="Arial"/>
          <w:sz w:val="24"/>
          <w:szCs w:val="24"/>
        </w:rPr>
        <w:t xml:space="preserve"> Bordei Verde şi Oprişeneşti.  </w:t>
      </w:r>
    </w:p>
    <w:p w:rsidR="000C7B40" w:rsidRPr="00410EDF" w:rsidRDefault="004524FE" w:rsidP="00C625DB">
      <w:pPr>
        <w:autoSpaceDE w:val="0"/>
        <w:autoSpaceDN w:val="0"/>
        <w:adjustRightInd w:val="0"/>
        <w:spacing w:after="0" w:line="240" w:lineRule="auto"/>
        <w:ind w:firstLine="708"/>
        <w:jc w:val="both"/>
        <w:rPr>
          <w:rFonts w:ascii="Arial" w:hAnsi="Arial" w:cs="Arial"/>
          <w:sz w:val="24"/>
          <w:szCs w:val="24"/>
        </w:rPr>
      </w:pPr>
      <w:r w:rsidRPr="00410EDF">
        <w:rPr>
          <w:rFonts w:ascii="Arial" w:hAnsi="Arial" w:cs="Arial"/>
          <w:sz w:val="24"/>
          <w:szCs w:val="24"/>
        </w:rPr>
        <w:t xml:space="preserve">Transportul deșeurilor periculoase de la generatori la instalațiile de valorificare sau eliminare este supravegheat prin aprobarea și înregistrarea fiecărui transport de către autoritățile teritoriale pentru protecția mediului, conform prevederilor H.G. nr. 1061/2008 privind </w:t>
      </w:r>
      <w:r w:rsidRPr="00410EDF">
        <w:rPr>
          <w:rFonts w:ascii="Arial" w:hAnsi="Arial" w:cs="Arial"/>
          <w:sz w:val="24"/>
          <w:szCs w:val="24"/>
        </w:rPr>
        <w:lastRenderedPageBreak/>
        <w:t>transportul deşeurilor periculoase şi nepericuloase pe teritoriul României. Astfel, în anul 20</w:t>
      </w:r>
      <w:r w:rsidR="000C7B40" w:rsidRPr="00410EDF">
        <w:rPr>
          <w:rFonts w:ascii="Arial" w:hAnsi="Arial" w:cs="Arial"/>
          <w:sz w:val="24"/>
          <w:szCs w:val="24"/>
        </w:rPr>
        <w:t xml:space="preserve">16, </w:t>
      </w:r>
      <w:r w:rsidR="0078523D" w:rsidRPr="00410EDF">
        <w:rPr>
          <w:rFonts w:ascii="Arial" w:hAnsi="Arial" w:cs="Arial"/>
          <w:sz w:val="24"/>
          <w:szCs w:val="24"/>
        </w:rPr>
        <w:t xml:space="preserve">au fost aprobate </w:t>
      </w:r>
      <w:r w:rsidR="000C7B40" w:rsidRPr="00410EDF">
        <w:rPr>
          <w:rFonts w:ascii="Arial" w:hAnsi="Arial" w:cs="Arial"/>
          <w:sz w:val="24"/>
          <w:szCs w:val="24"/>
        </w:rPr>
        <w:t>113 formulare pentru transport</w:t>
      </w:r>
      <w:r w:rsidR="0078523D" w:rsidRPr="00410EDF">
        <w:rPr>
          <w:rFonts w:ascii="Arial" w:hAnsi="Arial" w:cs="Arial"/>
          <w:sz w:val="24"/>
          <w:szCs w:val="24"/>
        </w:rPr>
        <w:t xml:space="preserve">:  </w:t>
      </w:r>
    </w:p>
    <w:p w:rsidR="000C7B40" w:rsidRPr="00410EDF" w:rsidRDefault="000C7B40" w:rsidP="00252ED3">
      <w:pPr>
        <w:numPr>
          <w:ilvl w:val="0"/>
          <w:numId w:val="69"/>
        </w:numPr>
        <w:spacing w:after="0" w:line="240" w:lineRule="auto"/>
        <w:rPr>
          <w:rFonts w:ascii="Arial" w:hAnsi="Arial" w:cs="Arial"/>
          <w:sz w:val="24"/>
          <w:szCs w:val="24"/>
        </w:rPr>
      </w:pPr>
      <w:r w:rsidRPr="00410EDF">
        <w:rPr>
          <w:rFonts w:ascii="Arial" w:hAnsi="Arial" w:cs="Arial"/>
          <w:sz w:val="24"/>
          <w:szCs w:val="24"/>
        </w:rPr>
        <w:t>90 formulare pentru SC SETCAR SA (</w:t>
      </w:r>
      <w:r w:rsidR="0078523D" w:rsidRPr="00410EDF">
        <w:rPr>
          <w:rFonts w:ascii="Arial" w:hAnsi="Arial" w:cs="Arial"/>
          <w:sz w:val="24"/>
          <w:szCs w:val="24"/>
        </w:rPr>
        <w:t xml:space="preserve">din care </w:t>
      </w:r>
      <w:r w:rsidRPr="00410EDF">
        <w:rPr>
          <w:rFonts w:ascii="Arial" w:hAnsi="Arial" w:cs="Arial"/>
          <w:sz w:val="24"/>
          <w:szCs w:val="24"/>
        </w:rPr>
        <w:t xml:space="preserve">4 pentru transportul echipamentelor cu conținut de PCB).  În baza acestor formulare aprobate SC SETCAR SA </w:t>
      </w:r>
      <w:r w:rsidR="00217620">
        <w:rPr>
          <w:rFonts w:ascii="Arial" w:hAnsi="Arial" w:cs="Arial"/>
          <w:sz w:val="24"/>
          <w:szCs w:val="24"/>
        </w:rPr>
        <w:t>Brăila</w:t>
      </w:r>
      <w:r w:rsidRPr="00410EDF">
        <w:rPr>
          <w:rFonts w:ascii="Arial" w:hAnsi="Arial" w:cs="Arial"/>
          <w:sz w:val="24"/>
          <w:szCs w:val="24"/>
        </w:rPr>
        <w:t xml:space="preserve"> a efectuat un număr de 177 transporturi pentru a duce pe amplasamentul propriu în vederea tratării, o cantitate de 516,18 tone deșeuri periculoase.</w:t>
      </w:r>
    </w:p>
    <w:p w:rsidR="000C7B40" w:rsidRPr="00410EDF" w:rsidRDefault="000C7B40" w:rsidP="00252ED3">
      <w:pPr>
        <w:numPr>
          <w:ilvl w:val="0"/>
          <w:numId w:val="69"/>
        </w:numPr>
        <w:spacing w:after="0" w:line="240" w:lineRule="auto"/>
        <w:rPr>
          <w:rFonts w:ascii="Arial" w:hAnsi="Arial" w:cs="Arial"/>
          <w:sz w:val="24"/>
          <w:szCs w:val="24"/>
        </w:rPr>
      </w:pPr>
      <w:r w:rsidRPr="00410EDF">
        <w:rPr>
          <w:rFonts w:ascii="Arial" w:hAnsi="Arial" w:cs="Arial"/>
          <w:sz w:val="24"/>
          <w:szCs w:val="24"/>
        </w:rPr>
        <w:t>18 fomulare de transport pentru SC OMV PETROM SA. În baza acestor fomulare a fost transportată o cantitate de 511,16 tone de deșeu de pământ și pietre cu conținut de substanțe periculoase (17 05 03*), în vederea bioremedierii.</w:t>
      </w:r>
    </w:p>
    <w:p w:rsidR="000C7B40" w:rsidRPr="00410EDF" w:rsidRDefault="000C7B40" w:rsidP="00252ED3">
      <w:pPr>
        <w:numPr>
          <w:ilvl w:val="0"/>
          <w:numId w:val="69"/>
        </w:numPr>
        <w:spacing w:after="0" w:line="240" w:lineRule="auto"/>
        <w:rPr>
          <w:rFonts w:ascii="Arial" w:hAnsi="Arial" w:cs="Arial"/>
          <w:sz w:val="24"/>
          <w:szCs w:val="24"/>
        </w:rPr>
      </w:pPr>
      <w:r w:rsidRPr="00410EDF">
        <w:rPr>
          <w:rFonts w:ascii="Arial" w:hAnsi="Arial" w:cs="Arial"/>
          <w:sz w:val="24"/>
          <w:szCs w:val="24"/>
        </w:rPr>
        <w:t>5 formulare de transport pentru SC IRMEX TRADING SRL, în baza cărora a efectuat un număr de 32 transporturi.</w:t>
      </w:r>
    </w:p>
    <w:p w:rsidR="0078523D" w:rsidRPr="00410EDF" w:rsidRDefault="0078523D" w:rsidP="00C625DB">
      <w:pPr>
        <w:spacing w:after="0" w:line="240" w:lineRule="auto"/>
        <w:jc w:val="both"/>
        <w:rPr>
          <w:rFonts w:ascii="Arial" w:hAnsi="Arial" w:cs="Arial"/>
        </w:rPr>
      </w:pPr>
    </w:p>
    <w:p w:rsidR="00EE08BA" w:rsidRPr="00410EDF" w:rsidRDefault="00EE08BA" w:rsidP="00C625DB">
      <w:pPr>
        <w:spacing w:after="0" w:line="240" w:lineRule="auto"/>
        <w:jc w:val="both"/>
        <w:rPr>
          <w:rFonts w:ascii="Arial" w:hAnsi="Arial" w:cs="Arial"/>
          <w:b/>
          <w:sz w:val="24"/>
          <w:szCs w:val="24"/>
          <w:lang w:val="it-IT"/>
        </w:rPr>
      </w:pPr>
      <w:r w:rsidRPr="00410EDF">
        <w:rPr>
          <w:rFonts w:ascii="Arial" w:hAnsi="Arial" w:cs="Arial"/>
          <w:sz w:val="24"/>
          <w:szCs w:val="24"/>
        </w:rPr>
        <w:t xml:space="preserve">Tabel VII.1.2.2 </w:t>
      </w:r>
      <w:r w:rsidRPr="00410EDF">
        <w:rPr>
          <w:rFonts w:ascii="Arial" w:hAnsi="Arial" w:cs="Arial"/>
          <w:sz w:val="24"/>
          <w:szCs w:val="24"/>
          <w:lang w:val="it-IT"/>
        </w:rPr>
        <w:t xml:space="preserve">Deşeuri de producţie generate şi valorificate </w:t>
      </w:r>
    </w:p>
    <w:tbl>
      <w:tblPr>
        <w:tblW w:w="9072"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711"/>
        <w:gridCol w:w="1461"/>
        <w:gridCol w:w="1516"/>
        <w:gridCol w:w="1459"/>
        <w:gridCol w:w="1464"/>
        <w:gridCol w:w="1461"/>
      </w:tblGrid>
      <w:tr w:rsidR="00EE08BA" w:rsidRPr="00410EDF" w:rsidTr="00A20DD3">
        <w:tc>
          <w:tcPr>
            <w:tcW w:w="1711" w:type="dxa"/>
            <w:shd w:val="clear" w:color="auto" w:fill="F2F2F2" w:themeFill="background1" w:themeFillShade="F2"/>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Anul</w:t>
            </w:r>
          </w:p>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2015</w:t>
            </w:r>
          </w:p>
        </w:tc>
        <w:tc>
          <w:tcPr>
            <w:tcW w:w="1461" w:type="dxa"/>
            <w:shd w:val="clear" w:color="auto" w:fill="F2F2F2" w:themeFill="background1" w:themeFillShade="F2"/>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Stoc</w:t>
            </w:r>
          </w:p>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Inițial</w:t>
            </w:r>
          </w:p>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 t ]</w:t>
            </w:r>
          </w:p>
        </w:tc>
        <w:tc>
          <w:tcPr>
            <w:tcW w:w="1516" w:type="dxa"/>
            <w:shd w:val="clear" w:color="auto" w:fill="F2F2F2" w:themeFill="background1" w:themeFillShade="F2"/>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Cantităţi generate</w:t>
            </w:r>
          </w:p>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 t ]</w:t>
            </w:r>
          </w:p>
        </w:tc>
        <w:tc>
          <w:tcPr>
            <w:tcW w:w="1459" w:type="dxa"/>
            <w:shd w:val="clear" w:color="auto" w:fill="F2F2F2" w:themeFill="background1" w:themeFillShade="F2"/>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 xml:space="preserve">Cantităţi valorificate </w:t>
            </w:r>
          </w:p>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 t ]</w:t>
            </w:r>
          </w:p>
        </w:tc>
        <w:tc>
          <w:tcPr>
            <w:tcW w:w="1464" w:type="dxa"/>
            <w:shd w:val="clear" w:color="auto" w:fill="F2F2F2" w:themeFill="background1" w:themeFillShade="F2"/>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 xml:space="preserve">Cantităţi eliminate </w:t>
            </w:r>
          </w:p>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 t ]</w:t>
            </w:r>
          </w:p>
        </w:tc>
        <w:tc>
          <w:tcPr>
            <w:tcW w:w="1461" w:type="dxa"/>
            <w:shd w:val="clear" w:color="auto" w:fill="F2F2F2" w:themeFill="background1" w:themeFillShade="F2"/>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Stoc</w:t>
            </w:r>
          </w:p>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final</w:t>
            </w:r>
          </w:p>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 t ]</w:t>
            </w:r>
          </w:p>
        </w:tc>
      </w:tr>
      <w:tr w:rsidR="00EE08BA" w:rsidRPr="00410EDF" w:rsidTr="00A20DD3">
        <w:tc>
          <w:tcPr>
            <w:tcW w:w="1711"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Deșeuri nepericuloase</w:t>
            </w:r>
          </w:p>
        </w:tc>
        <w:tc>
          <w:tcPr>
            <w:tcW w:w="1461"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1945,96</w:t>
            </w:r>
          </w:p>
        </w:tc>
        <w:tc>
          <w:tcPr>
            <w:tcW w:w="1516"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586774,90</w:t>
            </w:r>
          </w:p>
        </w:tc>
        <w:tc>
          <w:tcPr>
            <w:tcW w:w="1459"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40209,91</w:t>
            </w:r>
          </w:p>
        </w:tc>
        <w:tc>
          <w:tcPr>
            <w:tcW w:w="1464"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546981,70</w:t>
            </w:r>
          </w:p>
        </w:tc>
        <w:tc>
          <w:tcPr>
            <w:tcW w:w="1461"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1529,34</w:t>
            </w:r>
          </w:p>
        </w:tc>
      </w:tr>
      <w:tr w:rsidR="00EE08BA" w:rsidRPr="00410EDF" w:rsidTr="00A20DD3">
        <w:tc>
          <w:tcPr>
            <w:tcW w:w="1711"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Deșeuri periculoase</w:t>
            </w:r>
          </w:p>
        </w:tc>
        <w:tc>
          <w:tcPr>
            <w:tcW w:w="1461"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2670,28</w:t>
            </w:r>
          </w:p>
        </w:tc>
        <w:tc>
          <w:tcPr>
            <w:tcW w:w="1516"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92966,84</w:t>
            </w:r>
          </w:p>
        </w:tc>
        <w:tc>
          <w:tcPr>
            <w:tcW w:w="1459"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2541,41</w:t>
            </w:r>
          </w:p>
        </w:tc>
        <w:tc>
          <w:tcPr>
            <w:tcW w:w="1464"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90397,86</w:t>
            </w:r>
          </w:p>
        </w:tc>
        <w:tc>
          <w:tcPr>
            <w:tcW w:w="1461"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2697,85</w:t>
            </w:r>
          </w:p>
        </w:tc>
      </w:tr>
      <w:tr w:rsidR="00EE08BA" w:rsidRPr="00410EDF" w:rsidTr="00A20DD3">
        <w:tc>
          <w:tcPr>
            <w:tcW w:w="1711"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Total deșeuri generate</w:t>
            </w:r>
          </w:p>
        </w:tc>
        <w:tc>
          <w:tcPr>
            <w:tcW w:w="1461"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4616,24</w:t>
            </w:r>
          </w:p>
        </w:tc>
        <w:tc>
          <w:tcPr>
            <w:tcW w:w="1516"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679741,80</w:t>
            </w:r>
          </w:p>
        </w:tc>
        <w:tc>
          <w:tcPr>
            <w:tcW w:w="1459"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42751,32</w:t>
            </w:r>
          </w:p>
        </w:tc>
        <w:tc>
          <w:tcPr>
            <w:tcW w:w="1464"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637379,50</w:t>
            </w:r>
          </w:p>
        </w:tc>
        <w:tc>
          <w:tcPr>
            <w:tcW w:w="1461" w:type="dxa"/>
            <w:vAlign w:val="center"/>
          </w:tcPr>
          <w:p w:rsidR="00EE08BA" w:rsidRPr="00410EDF" w:rsidRDefault="00EE08BA" w:rsidP="00C625DB">
            <w:pPr>
              <w:spacing w:after="0" w:line="240" w:lineRule="auto"/>
              <w:jc w:val="center"/>
              <w:rPr>
                <w:rFonts w:ascii="Arial" w:hAnsi="Arial" w:cs="Arial"/>
                <w:sz w:val="24"/>
                <w:szCs w:val="24"/>
              </w:rPr>
            </w:pPr>
            <w:r w:rsidRPr="00410EDF">
              <w:rPr>
                <w:rFonts w:ascii="Arial" w:hAnsi="Arial" w:cs="Arial"/>
                <w:sz w:val="24"/>
                <w:szCs w:val="24"/>
              </w:rPr>
              <w:t>4227,19</w:t>
            </w:r>
          </w:p>
        </w:tc>
      </w:tr>
    </w:tbl>
    <w:p w:rsidR="00DC23A1" w:rsidRPr="00410EDF" w:rsidRDefault="00DC23A1" w:rsidP="00C625DB">
      <w:pPr>
        <w:pStyle w:val="Implicit"/>
        <w:tabs>
          <w:tab w:val="left" w:pos="1440"/>
        </w:tabs>
        <w:spacing w:after="0" w:line="240" w:lineRule="auto"/>
        <w:jc w:val="both"/>
        <w:rPr>
          <w:rFonts w:ascii="Arial" w:hAnsi="Arial" w:cs="Arial"/>
          <w:b/>
          <w:color w:val="auto"/>
          <w:lang w:val="ro-RO"/>
        </w:rPr>
      </w:pPr>
    </w:p>
    <w:p w:rsidR="0078523D" w:rsidRPr="00410EDF" w:rsidRDefault="0078523D" w:rsidP="00C625DB">
      <w:pPr>
        <w:autoSpaceDE w:val="0"/>
        <w:autoSpaceDN w:val="0"/>
        <w:adjustRightInd w:val="0"/>
        <w:spacing w:after="0" w:line="240" w:lineRule="auto"/>
        <w:ind w:firstLine="708"/>
        <w:jc w:val="both"/>
        <w:rPr>
          <w:rFonts w:ascii="Arial" w:hAnsi="Arial" w:cs="Arial"/>
          <w:sz w:val="24"/>
          <w:szCs w:val="24"/>
        </w:rPr>
      </w:pPr>
      <w:r w:rsidRPr="00410EDF">
        <w:rPr>
          <w:rFonts w:ascii="Arial" w:hAnsi="Arial" w:cs="Arial"/>
          <w:sz w:val="24"/>
          <w:szCs w:val="24"/>
        </w:rPr>
        <w:t xml:space="preserve">Așa cum rezultă din tabelul VII.1.2.2, pentru anul 2015 majoritatea deșeurilor de producție generate au fost eliminate (peste 93%), într-o proporție mai mare au fost valorificate deșeurile nepericuloase (6, 85% față de 2,73% pentru deșeurile periculoase). La sfârşitul anului nu existau stocuri semnificative de deşeuri de producţie în cadrul societăţilor generatoare, acestea fiind eliminate pe parcursul anului.      </w:t>
      </w:r>
    </w:p>
    <w:p w:rsidR="0078523D" w:rsidRPr="00410EDF" w:rsidRDefault="0078523D" w:rsidP="00C625DB">
      <w:pPr>
        <w:spacing w:after="0" w:line="240" w:lineRule="auto"/>
        <w:jc w:val="both"/>
        <w:rPr>
          <w:rFonts w:ascii="Arial" w:hAnsi="Arial" w:cs="Arial"/>
          <w:b/>
          <w:sz w:val="24"/>
          <w:szCs w:val="24"/>
          <w:lang w:val="fr-FR"/>
        </w:rPr>
      </w:pPr>
    </w:p>
    <w:p w:rsidR="00F065B7" w:rsidRPr="00410EDF" w:rsidRDefault="00F065B7" w:rsidP="00C625DB">
      <w:pPr>
        <w:spacing w:after="0" w:line="240" w:lineRule="auto"/>
        <w:jc w:val="both"/>
        <w:rPr>
          <w:rFonts w:ascii="Arial" w:hAnsi="Arial" w:cs="Arial"/>
          <w:b/>
          <w:sz w:val="24"/>
          <w:szCs w:val="24"/>
          <w:lang w:val="fr-FR"/>
        </w:rPr>
      </w:pPr>
      <w:r w:rsidRPr="00410EDF">
        <w:rPr>
          <w:rFonts w:ascii="Arial" w:hAnsi="Arial" w:cs="Arial"/>
          <w:b/>
          <w:sz w:val="24"/>
          <w:szCs w:val="24"/>
          <w:lang w:val="fr-FR"/>
        </w:rPr>
        <w:t>Eliminarea deşeurilor de producţie</w:t>
      </w:r>
    </w:p>
    <w:p w:rsidR="0078523D" w:rsidRPr="00410EDF" w:rsidRDefault="00F065B7" w:rsidP="00C625DB">
      <w:pPr>
        <w:autoSpaceDE w:val="0"/>
        <w:autoSpaceDN w:val="0"/>
        <w:adjustRightInd w:val="0"/>
        <w:spacing w:after="0" w:line="240" w:lineRule="auto"/>
        <w:ind w:firstLine="708"/>
        <w:jc w:val="both"/>
        <w:rPr>
          <w:rFonts w:ascii="Arial" w:hAnsi="Arial" w:cs="Arial"/>
          <w:sz w:val="24"/>
          <w:szCs w:val="24"/>
        </w:rPr>
      </w:pPr>
      <w:r w:rsidRPr="00410EDF">
        <w:rPr>
          <w:rFonts w:ascii="Arial" w:hAnsi="Arial" w:cs="Arial"/>
          <w:sz w:val="24"/>
          <w:szCs w:val="24"/>
        </w:rPr>
        <w:t>Deşeuril</w:t>
      </w:r>
      <w:r w:rsidR="0078523D" w:rsidRPr="00410EDF">
        <w:rPr>
          <w:rFonts w:ascii="Arial" w:hAnsi="Arial" w:cs="Arial"/>
          <w:sz w:val="24"/>
          <w:szCs w:val="24"/>
        </w:rPr>
        <w:t xml:space="preserve">e </w:t>
      </w:r>
      <w:r w:rsidRPr="00410EDF">
        <w:rPr>
          <w:rFonts w:ascii="Arial" w:hAnsi="Arial" w:cs="Arial"/>
          <w:sz w:val="24"/>
          <w:szCs w:val="24"/>
        </w:rPr>
        <w:t xml:space="preserve">de producţie nepericuloase, provenite de la operatorii economici, asimilabile cu cele menajere sunt eliminate la depozitul ecologic Muchea al SC Tracon SA </w:t>
      </w:r>
      <w:r w:rsidR="00217620">
        <w:rPr>
          <w:rFonts w:ascii="Arial" w:hAnsi="Arial" w:cs="Arial"/>
          <w:sz w:val="24"/>
          <w:szCs w:val="24"/>
        </w:rPr>
        <w:t>Brăila</w:t>
      </w:r>
      <w:r w:rsidRPr="00410EDF">
        <w:rPr>
          <w:rFonts w:ascii="Arial" w:hAnsi="Arial" w:cs="Arial"/>
          <w:sz w:val="24"/>
          <w:szCs w:val="24"/>
        </w:rPr>
        <w:t xml:space="preserve">. </w:t>
      </w:r>
      <w:r w:rsidR="0078523D" w:rsidRPr="00410EDF">
        <w:rPr>
          <w:rFonts w:ascii="Arial" w:hAnsi="Arial" w:cs="Arial"/>
          <w:sz w:val="24"/>
          <w:szCs w:val="24"/>
        </w:rPr>
        <w:t xml:space="preserve">Deșeurile periculoase se elimină pe depozite autorizate de deșeuri periculoase sau prin alte metode, ca de exemplu incinerarea. În judeţul </w:t>
      </w:r>
      <w:r w:rsidR="00217620">
        <w:rPr>
          <w:rFonts w:ascii="Arial" w:hAnsi="Arial" w:cs="Arial"/>
          <w:sz w:val="24"/>
          <w:szCs w:val="24"/>
        </w:rPr>
        <w:t>Brăila</w:t>
      </w:r>
      <w:r w:rsidR="0078523D" w:rsidRPr="00410EDF">
        <w:rPr>
          <w:rFonts w:ascii="Arial" w:hAnsi="Arial" w:cs="Arial"/>
          <w:sz w:val="24"/>
          <w:szCs w:val="24"/>
        </w:rPr>
        <w:t xml:space="preserve"> există numai instalaţii de incinerare pentru deşeuri nepericuloase de origine animală provenite din zootehnie şi de la instalaţiile de procesare carne: trei incineratoare aferente unor ferme și alte trei instalații care deservesc linii de prelucrare carne. Acstea incinerează deci numai deșeurile proprii.</w:t>
      </w:r>
    </w:p>
    <w:p w:rsidR="0078523D" w:rsidRPr="00410EDF" w:rsidRDefault="0078523D" w:rsidP="00C625DB">
      <w:pPr>
        <w:autoSpaceDE w:val="0"/>
        <w:autoSpaceDN w:val="0"/>
        <w:adjustRightInd w:val="0"/>
        <w:spacing w:after="0" w:line="240" w:lineRule="auto"/>
        <w:ind w:firstLine="708"/>
        <w:jc w:val="both"/>
        <w:rPr>
          <w:rFonts w:ascii="Arial" w:hAnsi="Arial" w:cs="Arial"/>
          <w:sz w:val="24"/>
          <w:szCs w:val="24"/>
        </w:rPr>
      </w:pPr>
    </w:p>
    <w:p w:rsidR="00D60462" w:rsidRPr="00410EDF" w:rsidRDefault="00D60462" w:rsidP="00C625DB">
      <w:pPr>
        <w:autoSpaceDE w:val="0"/>
        <w:autoSpaceDN w:val="0"/>
        <w:adjustRightInd w:val="0"/>
        <w:spacing w:after="0" w:line="240" w:lineRule="auto"/>
        <w:ind w:firstLine="708"/>
        <w:jc w:val="both"/>
        <w:rPr>
          <w:rFonts w:ascii="Arial" w:hAnsi="Arial" w:cs="Arial"/>
          <w:sz w:val="24"/>
          <w:szCs w:val="24"/>
        </w:rPr>
      </w:pPr>
      <w:r w:rsidRPr="00410EDF">
        <w:rPr>
          <w:rFonts w:ascii="Arial" w:hAnsi="Arial" w:cs="Arial"/>
          <w:sz w:val="24"/>
          <w:szCs w:val="24"/>
        </w:rPr>
        <w:t>Depozitul neconform pentru deşeuri industriale nepericuloase al SC Celhart Donaris SA</w:t>
      </w:r>
      <w:r w:rsidR="002B6803" w:rsidRPr="00410EDF">
        <w:rPr>
          <w:rFonts w:ascii="Arial" w:hAnsi="Arial" w:cs="Arial"/>
          <w:sz w:val="24"/>
          <w:szCs w:val="24"/>
        </w:rPr>
        <w:t xml:space="preserve">, </w:t>
      </w:r>
      <w:r w:rsidR="0078523D" w:rsidRPr="00410EDF">
        <w:rPr>
          <w:rFonts w:ascii="Arial" w:hAnsi="Arial" w:cs="Arial"/>
          <w:sz w:val="24"/>
          <w:szCs w:val="24"/>
        </w:rPr>
        <w:t>a</w:t>
      </w:r>
      <w:r w:rsidR="002B6803" w:rsidRPr="00410EDF">
        <w:rPr>
          <w:rFonts w:ascii="Arial" w:hAnsi="Arial" w:cs="Arial"/>
          <w:sz w:val="24"/>
          <w:szCs w:val="24"/>
        </w:rPr>
        <w:t xml:space="preserve"> sistat activitatea în 2009, cu plan de închidere care trebuie finalizată în 2018, </w:t>
      </w:r>
      <w:r w:rsidRPr="00410EDF">
        <w:rPr>
          <w:rFonts w:ascii="Arial" w:hAnsi="Arial" w:cs="Arial"/>
          <w:sz w:val="24"/>
          <w:szCs w:val="24"/>
        </w:rPr>
        <w:t>nu a respectat graficul de lucrări stabilite pentru anii 2014-2016.</w:t>
      </w:r>
    </w:p>
    <w:p w:rsidR="00DC23A1" w:rsidRPr="00410EDF" w:rsidRDefault="00DC23A1" w:rsidP="00C625DB">
      <w:pPr>
        <w:autoSpaceDE w:val="0"/>
        <w:autoSpaceDN w:val="0"/>
        <w:adjustRightInd w:val="0"/>
        <w:spacing w:after="0" w:line="240" w:lineRule="auto"/>
        <w:jc w:val="both"/>
        <w:rPr>
          <w:rFonts w:ascii="Arial" w:hAnsi="Arial" w:cs="Arial"/>
          <w:b/>
          <w:sz w:val="24"/>
          <w:szCs w:val="24"/>
          <w:lang w:val="fr-FR"/>
        </w:rPr>
      </w:pPr>
    </w:p>
    <w:p w:rsidR="00F065B7" w:rsidRPr="00410EDF" w:rsidRDefault="00F065B7" w:rsidP="00C625DB">
      <w:pPr>
        <w:spacing w:after="0" w:line="240" w:lineRule="auto"/>
        <w:jc w:val="both"/>
        <w:rPr>
          <w:rFonts w:ascii="Arial" w:hAnsi="Arial" w:cs="Arial"/>
          <w:b/>
          <w:sz w:val="24"/>
          <w:szCs w:val="24"/>
          <w:lang w:val="fr-FR"/>
        </w:rPr>
      </w:pPr>
      <w:r w:rsidRPr="00410EDF">
        <w:rPr>
          <w:rFonts w:ascii="Arial" w:hAnsi="Arial" w:cs="Arial"/>
          <w:b/>
          <w:sz w:val="24"/>
          <w:szCs w:val="24"/>
          <w:lang w:val="fr-FR"/>
        </w:rPr>
        <w:t xml:space="preserve">Eliminarea deşeurilor de producţie periculoase </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xml:space="preserve">În județul </w:t>
      </w:r>
      <w:r w:rsidR="00217620">
        <w:rPr>
          <w:rFonts w:ascii="Arial" w:hAnsi="Arial" w:cs="Arial"/>
          <w:sz w:val="24"/>
          <w:szCs w:val="24"/>
        </w:rPr>
        <w:t>Brăila</w:t>
      </w:r>
      <w:r w:rsidRPr="00410EDF">
        <w:rPr>
          <w:rFonts w:ascii="Arial" w:hAnsi="Arial" w:cs="Arial"/>
          <w:sz w:val="24"/>
          <w:szCs w:val="24"/>
        </w:rPr>
        <w:t xml:space="preserve"> nu </w:t>
      </w:r>
      <w:r w:rsidR="0078523D" w:rsidRPr="00410EDF">
        <w:rPr>
          <w:rFonts w:ascii="Arial" w:hAnsi="Arial" w:cs="Arial"/>
          <w:sz w:val="24"/>
          <w:szCs w:val="24"/>
        </w:rPr>
        <w:t xml:space="preserve">mai </w:t>
      </w:r>
      <w:r w:rsidRPr="00410EDF">
        <w:rPr>
          <w:rFonts w:ascii="Arial" w:hAnsi="Arial" w:cs="Arial"/>
          <w:sz w:val="24"/>
          <w:szCs w:val="24"/>
        </w:rPr>
        <w:t>există depozite de deşeuri industriale periculoase</w:t>
      </w:r>
      <w:r w:rsidR="0078523D" w:rsidRPr="00410EDF">
        <w:rPr>
          <w:rFonts w:ascii="Arial" w:hAnsi="Arial" w:cs="Arial"/>
          <w:sz w:val="24"/>
          <w:szCs w:val="24"/>
        </w:rPr>
        <w:t>.</w:t>
      </w:r>
      <w:r w:rsidRPr="00410EDF">
        <w:rPr>
          <w:rFonts w:ascii="Arial" w:hAnsi="Arial" w:cs="Arial"/>
          <w:sz w:val="24"/>
          <w:szCs w:val="24"/>
        </w:rPr>
        <w:t xml:space="preserve"> </w:t>
      </w:r>
      <w:r w:rsidR="0078523D" w:rsidRPr="00410EDF">
        <w:rPr>
          <w:rFonts w:ascii="Arial" w:hAnsi="Arial" w:cs="Arial"/>
          <w:sz w:val="24"/>
          <w:szCs w:val="24"/>
        </w:rPr>
        <w:t xml:space="preserve">În localitatea Oprişeneşti au funcționat două bataluri pentru eliminarea </w:t>
      </w:r>
      <w:r w:rsidRPr="00410EDF">
        <w:rPr>
          <w:rFonts w:ascii="Arial" w:hAnsi="Arial" w:cs="Arial"/>
          <w:sz w:val="24"/>
          <w:szCs w:val="24"/>
        </w:rPr>
        <w:t>deşeuril</w:t>
      </w:r>
      <w:r w:rsidR="0078523D" w:rsidRPr="00410EDF">
        <w:rPr>
          <w:rFonts w:ascii="Arial" w:hAnsi="Arial" w:cs="Arial"/>
          <w:sz w:val="24"/>
          <w:szCs w:val="24"/>
        </w:rPr>
        <w:t xml:space="preserve">or </w:t>
      </w:r>
      <w:r w:rsidRPr="00410EDF">
        <w:rPr>
          <w:rFonts w:ascii="Arial" w:hAnsi="Arial" w:cs="Arial"/>
          <w:sz w:val="24"/>
          <w:szCs w:val="24"/>
        </w:rPr>
        <w:t xml:space="preserve">de şlam petrolier </w:t>
      </w:r>
      <w:r w:rsidR="0078523D" w:rsidRPr="00410EDF">
        <w:rPr>
          <w:rFonts w:ascii="Arial" w:hAnsi="Arial" w:cs="Arial"/>
          <w:sz w:val="24"/>
          <w:szCs w:val="24"/>
        </w:rPr>
        <w:t xml:space="preserve">care </w:t>
      </w:r>
      <w:r w:rsidRPr="00410EDF">
        <w:rPr>
          <w:rFonts w:ascii="Arial" w:hAnsi="Arial" w:cs="Arial"/>
          <w:sz w:val="24"/>
          <w:szCs w:val="24"/>
        </w:rPr>
        <w:t xml:space="preserve">au sistat activitatea la sfârşitul anului 2006 conform calendarului de închidere a depozitelor de deşeuri periculoase din industria extractivă a petrolului, prevăzut de HG 349/2005 privind depozitarea deşeurilor. </w:t>
      </w:r>
      <w:r w:rsidR="0078523D" w:rsidRPr="00410EDF">
        <w:rPr>
          <w:rFonts w:ascii="Arial" w:hAnsi="Arial" w:cs="Arial"/>
          <w:sz w:val="24"/>
          <w:szCs w:val="24"/>
        </w:rPr>
        <w:t xml:space="preserve">Unul </w:t>
      </w:r>
      <w:r w:rsidRPr="00410EDF">
        <w:rPr>
          <w:rFonts w:ascii="Arial" w:hAnsi="Arial" w:cs="Arial"/>
          <w:sz w:val="24"/>
          <w:szCs w:val="24"/>
        </w:rPr>
        <w:t>s-a desfiinţat și s-a finalizat proiectul de umplere și remediere</w:t>
      </w:r>
      <w:r w:rsidR="0078523D" w:rsidRPr="00410EDF">
        <w:rPr>
          <w:rFonts w:ascii="Arial" w:hAnsi="Arial" w:cs="Arial"/>
          <w:sz w:val="24"/>
          <w:szCs w:val="24"/>
        </w:rPr>
        <w:t xml:space="preserve">, la celălalt </w:t>
      </w:r>
      <w:r w:rsidRPr="00410EDF">
        <w:rPr>
          <w:rFonts w:ascii="Arial" w:hAnsi="Arial" w:cs="Arial"/>
          <w:sz w:val="24"/>
          <w:szCs w:val="24"/>
        </w:rPr>
        <w:t>au fost procesate deșeurile însă nu au fost încă</w:t>
      </w:r>
      <w:r w:rsidR="0078523D" w:rsidRPr="00410EDF">
        <w:rPr>
          <w:rFonts w:ascii="Arial" w:hAnsi="Arial" w:cs="Arial"/>
          <w:sz w:val="24"/>
          <w:szCs w:val="24"/>
        </w:rPr>
        <w:t xml:space="preserve"> realizate </w:t>
      </w:r>
      <w:r w:rsidRPr="00410EDF">
        <w:rPr>
          <w:rFonts w:ascii="Arial" w:hAnsi="Arial" w:cs="Arial"/>
          <w:sz w:val="24"/>
          <w:szCs w:val="24"/>
        </w:rPr>
        <w:t>lucrări de remediere</w:t>
      </w:r>
      <w:r w:rsidR="0078523D" w:rsidRPr="00410EDF">
        <w:rPr>
          <w:rFonts w:ascii="Arial" w:hAnsi="Arial" w:cs="Arial"/>
          <w:sz w:val="24"/>
          <w:szCs w:val="24"/>
        </w:rPr>
        <w:t xml:space="preserve"> a amplasamentului</w:t>
      </w:r>
      <w:r w:rsidRPr="00410EDF">
        <w:rPr>
          <w:rFonts w:ascii="Arial" w:hAnsi="Arial" w:cs="Arial"/>
          <w:sz w:val="24"/>
          <w:szCs w:val="24"/>
        </w:rPr>
        <w:t xml:space="preserve">. </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xml:space="preserve">Pentru tratarea deşeurilor cu conţinut de produse petroliere, funcționează din 2010 o staţie de bioremediere în localitatea Oprişeneşti administrată de OMV Petrom. Deşeurile ce pot </w:t>
      </w:r>
      <w:r w:rsidRPr="00410EDF">
        <w:rPr>
          <w:rFonts w:ascii="Arial" w:hAnsi="Arial" w:cs="Arial"/>
          <w:sz w:val="24"/>
          <w:szCs w:val="24"/>
        </w:rPr>
        <w:lastRenderedPageBreak/>
        <w:t xml:space="preserve">fi tratate în staţia de bioremediere sunt: sol rezultat din lucrări de dezafectare/decontaminare, din contaminări accidentale (scurgeri de ţiţei), sediment din procesarea mecanică a şlamului petrolier şi alte deşeuri cu conţinut de substanţe periculoase din constrcţii şi demolări. Tratarea constă în biodegradarea aerobă iar materialul bioremediat poate fi folosit pentru umpluturi în lucrări de excavaţii din care a fost preluat solul contaminat iar cel ce nu se încadrează în limitele stabilite de Ord. 757/1997 se elimină pe un depozit de deşeuri nepericuloase. </w:t>
      </w:r>
    </w:p>
    <w:p w:rsidR="00DC23A1" w:rsidRPr="00410EDF" w:rsidRDefault="00DC23A1" w:rsidP="00C625DB">
      <w:pPr>
        <w:autoSpaceDE w:val="0"/>
        <w:autoSpaceDN w:val="0"/>
        <w:adjustRightInd w:val="0"/>
        <w:spacing w:after="0" w:line="240" w:lineRule="auto"/>
        <w:ind w:firstLine="708"/>
        <w:jc w:val="both"/>
        <w:rPr>
          <w:rFonts w:ascii="Arial" w:hAnsi="Arial" w:cs="Arial"/>
          <w:b/>
          <w:sz w:val="24"/>
          <w:szCs w:val="24"/>
        </w:rPr>
      </w:pPr>
    </w:p>
    <w:p w:rsidR="00F065B7" w:rsidRPr="00410EDF" w:rsidRDefault="00DC23A1" w:rsidP="00C625DB">
      <w:pPr>
        <w:spacing w:after="0" w:line="240" w:lineRule="auto"/>
        <w:jc w:val="both"/>
        <w:rPr>
          <w:rFonts w:ascii="Arial" w:hAnsi="Arial" w:cs="Arial"/>
          <w:sz w:val="24"/>
          <w:szCs w:val="24"/>
        </w:rPr>
      </w:pPr>
      <w:r w:rsidRPr="00410EDF">
        <w:rPr>
          <w:rFonts w:ascii="Arial" w:hAnsi="Arial" w:cs="Arial"/>
          <w:b/>
          <w:sz w:val="24"/>
          <w:szCs w:val="24"/>
        </w:rPr>
        <w:t xml:space="preserve">    </w:t>
      </w:r>
      <w:r w:rsidR="00F065B7" w:rsidRPr="00410EDF">
        <w:rPr>
          <w:rFonts w:ascii="Arial" w:hAnsi="Arial" w:cs="Arial"/>
          <w:b/>
          <w:sz w:val="24"/>
          <w:szCs w:val="24"/>
        </w:rPr>
        <w:t xml:space="preserve">VII.1.3 </w:t>
      </w:r>
      <w:r w:rsidR="00F065B7" w:rsidRPr="00410EDF">
        <w:rPr>
          <w:rFonts w:ascii="Arial" w:hAnsi="Arial" w:cs="Arial"/>
          <w:b/>
          <w:i/>
          <w:sz w:val="24"/>
          <w:szCs w:val="24"/>
        </w:rPr>
        <w:t>Fluxuri speciale de deşeuri</w:t>
      </w:r>
    </w:p>
    <w:p w:rsidR="00F065B7" w:rsidRPr="00410EDF" w:rsidRDefault="00DC23A1" w:rsidP="00C625DB">
      <w:pPr>
        <w:spacing w:after="0" w:line="240" w:lineRule="auto"/>
        <w:jc w:val="both"/>
        <w:rPr>
          <w:rFonts w:ascii="Arial" w:hAnsi="Arial" w:cs="Arial"/>
          <w:sz w:val="24"/>
          <w:szCs w:val="24"/>
        </w:rPr>
      </w:pPr>
      <w:r w:rsidRPr="00410EDF">
        <w:rPr>
          <w:rFonts w:ascii="Arial" w:hAnsi="Arial" w:cs="Arial"/>
          <w:b/>
          <w:sz w:val="24"/>
          <w:szCs w:val="24"/>
        </w:rPr>
        <w:t xml:space="preserve">         </w:t>
      </w:r>
      <w:r w:rsidR="00F065B7" w:rsidRPr="00410EDF">
        <w:rPr>
          <w:rFonts w:ascii="Arial" w:hAnsi="Arial" w:cs="Arial"/>
          <w:b/>
          <w:sz w:val="24"/>
          <w:szCs w:val="24"/>
        </w:rPr>
        <w:t>VII.1.3.1 Deșeuri de echipamente electrice și electronice (DEEE)</w:t>
      </w:r>
    </w:p>
    <w:p w:rsidR="00F065B7" w:rsidRPr="00410EDF" w:rsidRDefault="00F065B7" w:rsidP="00C625DB">
      <w:pPr>
        <w:autoSpaceDE w:val="0"/>
        <w:autoSpaceDN w:val="0"/>
        <w:adjustRightInd w:val="0"/>
        <w:spacing w:after="0" w:line="240" w:lineRule="auto"/>
        <w:jc w:val="both"/>
        <w:rPr>
          <w:rFonts w:ascii="Arial" w:hAnsi="Arial" w:cs="Arial"/>
          <w:b/>
          <w:sz w:val="24"/>
          <w:szCs w:val="24"/>
        </w:rPr>
      </w:pPr>
      <w:r w:rsidRPr="00410EDF">
        <w:rPr>
          <w:rFonts w:ascii="Arial" w:hAnsi="Arial" w:cs="Arial"/>
          <w:sz w:val="24"/>
          <w:szCs w:val="24"/>
        </w:rPr>
        <w:t xml:space="preserve">  </w:t>
      </w:r>
      <w:r w:rsidR="00DC23A1" w:rsidRPr="00410EDF">
        <w:rPr>
          <w:rFonts w:ascii="Arial" w:hAnsi="Arial" w:cs="Arial"/>
          <w:sz w:val="24"/>
          <w:szCs w:val="24"/>
        </w:rPr>
        <w:tab/>
      </w:r>
      <w:r w:rsidRPr="00410EDF">
        <w:rPr>
          <w:rFonts w:ascii="Arial" w:hAnsi="Arial" w:cs="Arial"/>
          <w:sz w:val="24"/>
          <w:szCs w:val="24"/>
        </w:rPr>
        <w:t xml:space="preserve">În prezent, deşeurile de echipamente electrice şi electronice (DEEE) sunt considerate a fi unele dintre categoriile de deşeuri cu cea mai rapidă creştere. DEEE conţin o serie de substanţe periculoase care sunt în acelaşi timp şi materiale valoroase. Reglementările în vigoare stabilesc măsuri pentru a reduce generarea de DEEE şi pentru a spori gradul de colectare, reutilizare, reciclare şi valorificare prin responsabilizarea producătorului. </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xml:space="preserve">Gestionarea deşeurilor de echipamente electrice şi electronice intră sub incidenţa Directivei 2002/96/CE a Parlamentului şi Consiliului European din 27 ianuarie 2003 care a fost transpusă în legislaţia românească prin OUG nr. 5/2015 privind deșeurile de echipamente electrice și electronice Aceasta are ca obiectiv prevenirea producerii deşeurilor de echipamente electrice şi electronice, precum şi reutilizarea, reciclarea şi alte forme de valorificare a acestora, astfel încât să se reducă volumul de deşeuri eliminate. </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xml:space="preserve">Colectarea separată a deşeurilor de echipamente electrice şi electronice, recuperarea şi tratarea ulterioară într-un mod ecologic contribuie la reducerea impactului asupra mediului precum şi la o mai bună eficienţă a resurselor. </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Producătorii de echipamente electrice şi electronice trebuie să se înscrie în Registrul naţional al producătorilor de echipamente electrice şi electronice, care este gestionat de Agenţia Naţională pentru Protecţia Mediului, procedură care a demarat în anul 2006. Producătorii care nu deţin număr de înregistrare valabil nu pot introduce pe piaţă echipamente electrice şi electronice.</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xml:space="preserve">Începând cu data de 31.12.2008 rata minimă de colectare </w:t>
      </w:r>
      <w:r w:rsidR="00C55310" w:rsidRPr="00410EDF">
        <w:rPr>
          <w:rFonts w:ascii="Arial" w:hAnsi="Arial" w:cs="Arial"/>
          <w:sz w:val="24"/>
          <w:szCs w:val="24"/>
        </w:rPr>
        <w:t xml:space="preserve">a DEEE </w:t>
      </w:r>
      <w:r w:rsidRPr="00410EDF">
        <w:rPr>
          <w:rFonts w:ascii="Arial" w:hAnsi="Arial" w:cs="Arial"/>
          <w:sz w:val="24"/>
          <w:szCs w:val="24"/>
        </w:rPr>
        <w:t xml:space="preserve">trebuia să fie de cel puţin </w:t>
      </w:r>
      <w:smartTag w:uri="urn:schemas-microsoft-com:office:smarttags" w:element="metricconverter">
        <w:smartTagPr>
          <w:attr w:name="ProductID" w:val="4 kg"/>
        </w:smartTagPr>
        <w:r w:rsidRPr="00410EDF">
          <w:rPr>
            <w:rFonts w:ascii="Arial" w:hAnsi="Arial" w:cs="Arial"/>
            <w:sz w:val="24"/>
            <w:szCs w:val="24"/>
          </w:rPr>
          <w:t>4 kg</w:t>
        </w:r>
      </w:smartTag>
      <w:r w:rsidRPr="00410EDF">
        <w:rPr>
          <w:rFonts w:ascii="Arial" w:hAnsi="Arial" w:cs="Arial"/>
          <w:sz w:val="24"/>
          <w:szCs w:val="24"/>
        </w:rPr>
        <w:t xml:space="preserve"> DEEE/locuitor, fiind stabilite şi obiective de valorificare/reciclare a DEEE, pe tip de echipament.Pentru colectarea separată a DEEE şi atingerea obiectivelor naţionale de colectare, au fost înfiinţate puncte de colectare selectivă a acestor deşeuri. În acelaşi timp </w:t>
      </w:r>
      <w:r w:rsidRPr="00410EDF">
        <w:rPr>
          <w:rFonts w:ascii="Arial" w:hAnsi="Arial" w:cs="Arial"/>
          <w:bCs/>
          <w:sz w:val="24"/>
          <w:szCs w:val="24"/>
        </w:rPr>
        <w:t>distribuitorii</w:t>
      </w:r>
      <w:r w:rsidR="00C55310" w:rsidRPr="00410EDF">
        <w:rPr>
          <w:rFonts w:ascii="Arial" w:hAnsi="Arial" w:cs="Arial"/>
          <w:bCs/>
          <w:sz w:val="24"/>
          <w:szCs w:val="24"/>
        </w:rPr>
        <w:t>,</w:t>
      </w:r>
      <w:r w:rsidRPr="00410EDF">
        <w:rPr>
          <w:rFonts w:ascii="Arial" w:hAnsi="Arial" w:cs="Arial"/>
          <w:bCs/>
          <w:sz w:val="24"/>
          <w:szCs w:val="24"/>
        </w:rPr>
        <w:t xml:space="preserve"> </w:t>
      </w:r>
      <w:r w:rsidRPr="00410EDF">
        <w:rPr>
          <w:rFonts w:ascii="Arial" w:hAnsi="Arial" w:cs="Arial"/>
          <w:sz w:val="24"/>
          <w:szCs w:val="24"/>
        </w:rPr>
        <w:t>la furnizarea unui produs nou, la solicitarea cumpărătorului, sunt obligaţi să preia DEEE în sistem unul la unul, fără a solicita plata, în aceleaşi condiţii precum cele de livrare a produsului nou, dacă echipamentul este de tip echivalent şi a îndeplinit aceleaşi funcţii ca şi echipamentul nou furnizat.</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lang w:val="it-IT"/>
        </w:rPr>
      </w:pPr>
      <w:r w:rsidRPr="00410EDF">
        <w:rPr>
          <w:rFonts w:ascii="Arial" w:hAnsi="Arial" w:cs="Arial"/>
          <w:sz w:val="24"/>
          <w:szCs w:val="24"/>
        </w:rPr>
        <w:t>Pentru anul 201</w:t>
      </w:r>
      <w:r w:rsidR="00C55310" w:rsidRPr="00410EDF">
        <w:rPr>
          <w:rFonts w:ascii="Arial" w:hAnsi="Arial" w:cs="Arial"/>
          <w:sz w:val="24"/>
          <w:szCs w:val="24"/>
        </w:rPr>
        <w:t>6</w:t>
      </w:r>
      <w:r w:rsidRPr="00410EDF">
        <w:rPr>
          <w:rFonts w:ascii="Arial" w:hAnsi="Arial" w:cs="Arial"/>
          <w:sz w:val="24"/>
          <w:szCs w:val="24"/>
        </w:rPr>
        <w:t xml:space="preserve"> în judeţul </w:t>
      </w:r>
      <w:r w:rsidR="00217620">
        <w:rPr>
          <w:rFonts w:ascii="Arial" w:hAnsi="Arial" w:cs="Arial"/>
          <w:sz w:val="24"/>
          <w:szCs w:val="24"/>
        </w:rPr>
        <w:t>Brăila</w:t>
      </w:r>
      <w:r w:rsidRPr="00410EDF">
        <w:rPr>
          <w:rFonts w:ascii="Arial" w:hAnsi="Arial" w:cs="Arial"/>
          <w:sz w:val="24"/>
          <w:szCs w:val="24"/>
        </w:rPr>
        <w:t xml:space="preserve"> au funcționat </w:t>
      </w:r>
      <w:r w:rsidR="00C55310" w:rsidRPr="00410EDF">
        <w:rPr>
          <w:rFonts w:ascii="Arial" w:hAnsi="Arial" w:cs="Arial"/>
          <w:sz w:val="24"/>
          <w:szCs w:val="24"/>
        </w:rPr>
        <w:t>9</w:t>
      </w:r>
      <w:r w:rsidRPr="00410EDF">
        <w:rPr>
          <w:rFonts w:ascii="Arial" w:hAnsi="Arial" w:cs="Arial"/>
          <w:sz w:val="24"/>
          <w:szCs w:val="24"/>
        </w:rPr>
        <w:t xml:space="preserve"> operatori economici autorizaţi pentru a desfăşura activitatea de colectare a DEEE</w:t>
      </w:r>
      <w:r w:rsidR="00C55310" w:rsidRPr="00410EDF">
        <w:rPr>
          <w:rFonts w:ascii="Arial" w:hAnsi="Arial" w:cs="Arial"/>
          <w:sz w:val="24"/>
          <w:szCs w:val="24"/>
        </w:rPr>
        <w:t>.</w:t>
      </w:r>
    </w:p>
    <w:p w:rsidR="00F065B7" w:rsidRPr="00410EDF" w:rsidRDefault="00F065B7" w:rsidP="00C625DB">
      <w:pPr>
        <w:autoSpaceDE w:val="0"/>
        <w:autoSpaceDN w:val="0"/>
        <w:adjustRightInd w:val="0"/>
        <w:spacing w:after="0" w:line="240" w:lineRule="auto"/>
        <w:ind w:firstLine="737"/>
        <w:jc w:val="both"/>
        <w:rPr>
          <w:rFonts w:ascii="Arial" w:hAnsi="Arial" w:cs="Arial"/>
          <w:b/>
          <w:sz w:val="24"/>
          <w:szCs w:val="24"/>
          <w:lang w:val="it-IT"/>
        </w:rPr>
      </w:pPr>
      <w:r w:rsidRPr="00410EDF">
        <w:rPr>
          <w:rFonts w:ascii="Arial" w:hAnsi="Arial" w:cs="Arial"/>
          <w:sz w:val="24"/>
          <w:szCs w:val="24"/>
        </w:rPr>
        <w:t>În tabelul de mai jos sunt redate cantitățile de DEEE colectate și trimise la tratare în anul 201</w:t>
      </w:r>
      <w:r w:rsidR="00C55310" w:rsidRPr="00410EDF">
        <w:rPr>
          <w:rFonts w:ascii="Arial" w:hAnsi="Arial" w:cs="Arial"/>
          <w:sz w:val="24"/>
          <w:szCs w:val="24"/>
        </w:rPr>
        <w:t>6</w:t>
      </w:r>
      <w:r w:rsidRPr="00410EDF">
        <w:rPr>
          <w:rFonts w:ascii="Arial" w:hAnsi="Arial" w:cs="Arial"/>
          <w:sz w:val="24"/>
          <w:szCs w:val="24"/>
        </w:rPr>
        <w:t xml:space="preserve"> de agenți economici autorizați pentru colectarea acestor deșeuri.</w:t>
      </w:r>
    </w:p>
    <w:p w:rsidR="00C55310" w:rsidRPr="00410EDF" w:rsidRDefault="00DC23A1" w:rsidP="00C625DB">
      <w:pPr>
        <w:spacing w:after="0" w:line="240" w:lineRule="auto"/>
        <w:rPr>
          <w:rFonts w:ascii="Arial" w:hAnsi="Arial" w:cs="Arial"/>
          <w:sz w:val="24"/>
          <w:szCs w:val="24"/>
          <w:lang w:val="it-IT"/>
        </w:rPr>
      </w:pPr>
      <w:r w:rsidRPr="00410EDF">
        <w:rPr>
          <w:rFonts w:ascii="Arial" w:hAnsi="Arial" w:cs="Arial"/>
          <w:sz w:val="24"/>
          <w:szCs w:val="24"/>
          <w:lang w:val="it-IT"/>
        </w:rPr>
        <w:t xml:space="preserve">       </w:t>
      </w:r>
    </w:p>
    <w:p w:rsidR="00F065B7" w:rsidRPr="00410EDF" w:rsidRDefault="00F065B7" w:rsidP="00C625DB">
      <w:pPr>
        <w:spacing w:after="0" w:line="240" w:lineRule="auto"/>
        <w:rPr>
          <w:rFonts w:ascii="Arial" w:hAnsi="Arial" w:cs="Arial"/>
          <w:sz w:val="24"/>
          <w:szCs w:val="24"/>
        </w:rPr>
      </w:pPr>
      <w:r w:rsidRPr="00410EDF">
        <w:rPr>
          <w:rFonts w:ascii="Arial" w:hAnsi="Arial" w:cs="Arial"/>
          <w:sz w:val="24"/>
          <w:szCs w:val="24"/>
          <w:lang w:val="it-IT"/>
        </w:rPr>
        <w:t xml:space="preserve">Tabel nr. VII.1.3.1.- 2 </w:t>
      </w:r>
      <w:r w:rsidRPr="00410EDF">
        <w:rPr>
          <w:rFonts w:ascii="Arial" w:hAnsi="Arial" w:cs="Arial"/>
          <w:sz w:val="24"/>
          <w:szCs w:val="24"/>
        </w:rPr>
        <w:t xml:space="preserve">Cantități de DEEE colectate în județul </w:t>
      </w:r>
      <w:r w:rsidR="00217620">
        <w:rPr>
          <w:rFonts w:ascii="Arial" w:hAnsi="Arial" w:cs="Arial"/>
          <w:sz w:val="24"/>
          <w:szCs w:val="24"/>
        </w:rPr>
        <w:t>Brăila</w:t>
      </w:r>
      <w:r w:rsidRPr="00410EDF">
        <w:rPr>
          <w:rFonts w:ascii="Arial" w:hAnsi="Arial" w:cs="Arial"/>
          <w:sz w:val="24"/>
          <w:szCs w:val="24"/>
        </w:rPr>
        <w:t xml:space="preserve"> în perioada 2010-2015</w:t>
      </w:r>
    </w:p>
    <w:tbl>
      <w:tblPr>
        <w:tblW w:w="9533" w:type="dxa"/>
        <w:jc w:val="center"/>
        <w:tblLayout w:type="fixed"/>
        <w:tblLook w:val="04A0"/>
      </w:tblPr>
      <w:tblGrid>
        <w:gridCol w:w="3293"/>
        <w:gridCol w:w="992"/>
        <w:gridCol w:w="992"/>
        <w:gridCol w:w="1012"/>
        <w:gridCol w:w="1200"/>
        <w:gridCol w:w="960"/>
        <w:gridCol w:w="1084"/>
      </w:tblGrid>
      <w:tr w:rsidR="00C55310" w:rsidRPr="00410EDF" w:rsidTr="00E046A5">
        <w:trPr>
          <w:trHeight w:val="300"/>
          <w:jc w:val="center"/>
        </w:trPr>
        <w:tc>
          <w:tcPr>
            <w:tcW w:w="3293"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Anul</w:t>
            </w:r>
          </w:p>
        </w:tc>
        <w:tc>
          <w:tcPr>
            <w:tcW w:w="992" w:type="dxa"/>
            <w:tcBorders>
              <w:top w:val="single" w:sz="4" w:space="0" w:color="auto"/>
              <w:left w:val="nil"/>
              <w:bottom w:val="single" w:sz="4" w:space="0" w:color="auto"/>
              <w:right w:val="single" w:sz="4" w:space="0" w:color="auto"/>
            </w:tcBorders>
            <w:shd w:val="clear" w:color="auto" w:fill="BFBFBF"/>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2011</w:t>
            </w:r>
          </w:p>
        </w:tc>
        <w:tc>
          <w:tcPr>
            <w:tcW w:w="992" w:type="dxa"/>
            <w:tcBorders>
              <w:top w:val="single" w:sz="4" w:space="0" w:color="auto"/>
              <w:left w:val="nil"/>
              <w:bottom w:val="single" w:sz="4" w:space="0" w:color="auto"/>
              <w:right w:val="single" w:sz="4" w:space="0" w:color="auto"/>
            </w:tcBorders>
            <w:shd w:val="clear" w:color="auto" w:fill="BFBFBF"/>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2012</w:t>
            </w:r>
          </w:p>
        </w:tc>
        <w:tc>
          <w:tcPr>
            <w:tcW w:w="1012" w:type="dxa"/>
            <w:tcBorders>
              <w:top w:val="single" w:sz="4" w:space="0" w:color="auto"/>
              <w:left w:val="nil"/>
              <w:bottom w:val="single" w:sz="4" w:space="0" w:color="auto"/>
              <w:right w:val="single" w:sz="4" w:space="0" w:color="auto"/>
            </w:tcBorders>
            <w:shd w:val="clear" w:color="auto" w:fill="BFBFBF"/>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2013</w:t>
            </w:r>
          </w:p>
        </w:tc>
        <w:tc>
          <w:tcPr>
            <w:tcW w:w="1200" w:type="dxa"/>
            <w:tcBorders>
              <w:top w:val="single" w:sz="4" w:space="0" w:color="auto"/>
              <w:left w:val="nil"/>
              <w:bottom w:val="single" w:sz="4" w:space="0" w:color="auto"/>
              <w:right w:val="single" w:sz="4" w:space="0" w:color="auto"/>
            </w:tcBorders>
            <w:shd w:val="clear" w:color="auto" w:fill="BFBFBF"/>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2014</w:t>
            </w:r>
          </w:p>
        </w:tc>
        <w:tc>
          <w:tcPr>
            <w:tcW w:w="960" w:type="dxa"/>
            <w:tcBorders>
              <w:top w:val="single" w:sz="4" w:space="0" w:color="auto"/>
              <w:left w:val="nil"/>
              <w:bottom w:val="single" w:sz="4" w:space="0" w:color="auto"/>
              <w:right w:val="single" w:sz="4" w:space="0" w:color="auto"/>
            </w:tcBorders>
            <w:shd w:val="clear" w:color="auto" w:fill="BFBFBF"/>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2015</w:t>
            </w:r>
          </w:p>
        </w:tc>
        <w:tc>
          <w:tcPr>
            <w:tcW w:w="1084" w:type="dxa"/>
            <w:tcBorders>
              <w:top w:val="single" w:sz="4" w:space="0" w:color="auto"/>
              <w:left w:val="nil"/>
              <w:bottom w:val="single" w:sz="4" w:space="0" w:color="auto"/>
              <w:right w:val="single" w:sz="4" w:space="0" w:color="auto"/>
            </w:tcBorders>
            <w:shd w:val="clear" w:color="auto" w:fill="BFBFBF"/>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2016</w:t>
            </w:r>
          </w:p>
        </w:tc>
      </w:tr>
      <w:tr w:rsidR="00C55310" w:rsidRPr="00410EDF" w:rsidTr="00E046A5">
        <w:trPr>
          <w:trHeight w:val="300"/>
          <w:jc w:val="center"/>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Cantitatea de deșeuri DEEE colectată</w:t>
            </w:r>
          </w:p>
        </w:tc>
        <w:tc>
          <w:tcPr>
            <w:tcW w:w="992" w:type="dxa"/>
            <w:tcBorders>
              <w:top w:val="nil"/>
              <w:left w:val="nil"/>
              <w:bottom w:val="single" w:sz="4" w:space="0" w:color="auto"/>
              <w:right w:val="single" w:sz="4" w:space="0" w:color="auto"/>
            </w:tcBorders>
            <w:shd w:val="clear" w:color="auto" w:fill="auto"/>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114,32</w:t>
            </w:r>
          </w:p>
        </w:tc>
        <w:tc>
          <w:tcPr>
            <w:tcW w:w="992" w:type="dxa"/>
            <w:tcBorders>
              <w:top w:val="nil"/>
              <w:left w:val="nil"/>
              <w:bottom w:val="single" w:sz="4" w:space="0" w:color="auto"/>
              <w:right w:val="single" w:sz="4" w:space="0" w:color="auto"/>
            </w:tcBorders>
            <w:shd w:val="clear" w:color="auto" w:fill="auto"/>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108,81</w:t>
            </w:r>
          </w:p>
        </w:tc>
        <w:tc>
          <w:tcPr>
            <w:tcW w:w="1012" w:type="dxa"/>
            <w:tcBorders>
              <w:top w:val="nil"/>
              <w:left w:val="nil"/>
              <w:bottom w:val="single" w:sz="4" w:space="0" w:color="auto"/>
              <w:right w:val="single" w:sz="4" w:space="0" w:color="auto"/>
            </w:tcBorders>
            <w:shd w:val="clear" w:color="auto" w:fill="auto"/>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30,75</w:t>
            </w:r>
          </w:p>
        </w:tc>
        <w:tc>
          <w:tcPr>
            <w:tcW w:w="1200" w:type="dxa"/>
            <w:tcBorders>
              <w:top w:val="nil"/>
              <w:left w:val="nil"/>
              <w:bottom w:val="single" w:sz="4" w:space="0" w:color="auto"/>
              <w:right w:val="single" w:sz="4" w:space="0" w:color="auto"/>
            </w:tcBorders>
            <w:shd w:val="clear" w:color="auto" w:fill="auto"/>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106,75</w:t>
            </w:r>
          </w:p>
        </w:tc>
        <w:tc>
          <w:tcPr>
            <w:tcW w:w="960" w:type="dxa"/>
            <w:tcBorders>
              <w:top w:val="nil"/>
              <w:left w:val="nil"/>
              <w:bottom w:val="single" w:sz="4" w:space="0" w:color="auto"/>
              <w:right w:val="single" w:sz="4" w:space="0" w:color="auto"/>
            </w:tcBorders>
            <w:shd w:val="clear" w:color="auto" w:fill="auto"/>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288,8</w:t>
            </w:r>
          </w:p>
        </w:tc>
        <w:tc>
          <w:tcPr>
            <w:tcW w:w="1084" w:type="dxa"/>
            <w:tcBorders>
              <w:top w:val="nil"/>
              <w:left w:val="nil"/>
              <w:bottom w:val="single" w:sz="4" w:space="0" w:color="auto"/>
              <w:right w:val="single" w:sz="4" w:space="0" w:color="auto"/>
            </w:tcBorders>
            <w:shd w:val="clear" w:color="auto" w:fill="auto"/>
            <w:noWrap/>
            <w:vAlign w:val="center"/>
            <w:hideMark/>
          </w:tcPr>
          <w:p w:rsidR="00C55310" w:rsidRPr="00410EDF" w:rsidRDefault="00C55310" w:rsidP="00C625DB">
            <w:pPr>
              <w:spacing w:after="0" w:line="240" w:lineRule="auto"/>
              <w:jc w:val="center"/>
              <w:rPr>
                <w:rFonts w:ascii="Arial" w:hAnsi="Arial" w:cs="Arial"/>
                <w:b/>
                <w:sz w:val="24"/>
                <w:szCs w:val="24"/>
                <w:lang w:eastAsia="ro-RO"/>
              </w:rPr>
            </w:pPr>
            <w:r w:rsidRPr="00410EDF">
              <w:rPr>
                <w:rFonts w:ascii="Arial" w:hAnsi="Arial" w:cs="Arial"/>
                <w:b/>
                <w:sz w:val="24"/>
                <w:szCs w:val="24"/>
                <w:lang w:eastAsia="ro-RO"/>
              </w:rPr>
              <w:t>375,185</w:t>
            </w:r>
          </w:p>
        </w:tc>
      </w:tr>
    </w:tbl>
    <w:p w:rsidR="00C55310" w:rsidRPr="00410EDF" w:rsidRDefault="00C55310" w:rsidP="00C625DB">
      <w:pPr>
        <w:spacing w:after="0" w:line="240" w:lineRule="auto"/>
        <w:rPr>
          <w:rFonts w:ascii="Arial" w:hAnsi="Arial" w:cs="Arial"/>
          <w:bCs/>
          <w:sz w:val="24"/>
          <w:szCs w:val="24"/>
          <w:lang w:val="it-IT"/>
        </w:rPr>
      </w:pPr>
    </w:p>
    <w:p w:rsidR="00C55310" w:rsidRDefault="00C55310" w:rsidP="00C625DB">
      <w:pPr>
        <w:spacing w:after="0" w:line="240" w:lineRule="auto"/>
        <w:jc w:val="center"/>
        <w:rPr>
          <w:rFonts w:ascii="Arial" w:hAnsi="Arial" w:cs="Arial"/>
          <w:sz w:val="24"/>
          <w:szCs w:val="24"/>
          <w:lang w:val="en-US"/>
        </w:rPr>
      </w:pPr>
      <w:r w:rsidRPr="00410EDF">
        <w:rPr>
          <w:rFonts w:ascii="Arial" w:hAnsi="Arial" w:cs="Arial"/>
          <w:noProof/>
          <w:sz w:val="24"/>
          <w:szCs w:val="24"/>
          <w:lang w:eastAsia="ro-RO"/>
        </w:rPr>
        <w:lastRenderedPageBreak/>
        <w:drawing>
          <wp:inline distT="0" distB="0" distL="0" distR="0">
            <wp:extent cx="3981450" cy="2133600"/>
            <wp:effectExtent l="19050" t="0" r="19050" b="0"/>
            <wp:docPr id="75"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9217B" w:rsidRDefault="0029217B" w:rsidP="00C625DB">
      <w:pPr>
        <w:spacing w:after="0" w:line="240" w:lineRule="auto"/>
        <w:jc w:val="center"/>
        <w:rPr>
          <w:rFonts w:ascii="Arial" w:hAnsi="Arial" w:cs="Arial"/>
          <w:sz w:val="24"/>
          <w:szCs w:val="24"/>
          <w:lang w:val="en-US"/>
        </w:rPr>
      </w:pPr>
    </w:p>
    <w:p w:rsidR="0029217B" w:rsidRPr="00410EDF" w:rsidRDefault="0029217B" w:rsidP="0029217B">
      <w:pPr>
        <w:spacing w:after="0" w:line="240" w:lineRule="auto"/>
        <w:rPr>
          <w:rFonts w:ascii="Arial" w:hAnsi="Arial" w:cs="Arial"/>
          <w:b/>
          <w:sz w:val="24"/>
          <w:szCs w:val="24"/>
        </w:rPr>
      </w:pPr>
      <w:r w:rsidRPr="00410EDF">
        <w:rPr>
          <w:rFonts w:ascii="Arial" w:hAnsi="Arial" w:cs="Arial"/>
          <w:bCs/>
          <w:sz w:val="24"/>
          <w:szCs w:val="24"/>
          <w:lang w:val="it-IT"/>
        </w:rPr>
        <w:t>Figura</w:t>
      </w:r>
      <w:r w:rsidRPr="00410EDF">
        <w:rPr>
          <w:rFonts w:ascii="Arial" w:hAnsi="Arial" w:cs="Arial"/>
          <w:sz w:val="24"/>
          <w:szCs w:val="24"/>
          <w:lang w:val="it-IT"/>
        </w:rPr>
        <w:t xml:space="preserve"> nr. VII.I.3.1.-1 </w:t>
      </w:r>
      <w:r w:rsidRPr="00410EDF">
        <w:rPr>
          <w:rFonts w:ascii="Arial" w:hAnsi="Arial" w:cs="Arial"/>
          <w:sz w:val="24"/>
          <w:szCs w:val="24"/>
        </w:rPr>
        <w:t xml:space="preserve">Cantități de DEEE colectate în județul </w:t>
      </w:r>
      <w:r>
        <w:rPr>
          <w:rFonts w:ascii="Arial" w:hAnsi="Arial" w:cs="Arial"/>
          <w:sz w:val="24"/>
          <w:szCs w:val="24"/>
        </w:rPr>
        <w:t>Brăila</w:t>
      </w:r>
      <w:r w:rsidRPr="00410EDF">
        <w:rPr>
          <w:rFonts w:ascii="Arial" w:hAnsi="Arial" w:cs="Arial"/>
          <w:sz w:val="24"/>
          <w:szCs w:val="24"/>
        </w:rPr>
        <w:t xml:space="preserve"> în perioada 2012-2016</w:t>
      </w:r>
    </w:p>
    <w:p w:rsidR="0029217B" w:rsidRPr="00410EDF" w:rsidRDefault="0029217B" w:rsidP="0029217B">
      <w:pPr>
        <w:spacing w:after="0" w:line="240" w:lineRule="auto"/>
        <w:rPr>
          <w:rFonts w:ascii="Arial" w:hAnsi="Arial" w:cs="Arial"/>
          <w:sz w:val="24"/>
          <w:szCs w:val="24"/>
          <w:lang w:val="en-US"/>
        </w:rPr>
      </w:pPr>
    </w:p>
    <w:p w:rsidR="00C55310" w:rsidRPr="00410EDF" w:rsidRDefault="00C55310" w:rsidP="00C625DB">
      <w:pPr>
        <w:autoSpaceDE w:val="0"/>
        <w:autoSpaceDN w:val="0"/>
        <w:adjustRightInd w:val="0"/>
        <w:spacing w:after="0" w:line="240" w:lineRule="auto"/>
        <w:ind w:firstLine="737"/>
        <w:jc w:val="both"/>
        <w:rPr>
          <w:rFonts w:ascii="Arial" w:hAnsi="Arial" w:cs="Arial"/>
          <w:sz w:val="24"/>
          <w:szCs w:val="24"/>
        </w:rPr>
      </w:pPr>
      <w:r w:rsidRPr="00410EDF">
        <w:rPr>
          <w:rFonts w:ascii="Arial" w:hAnsi="Arial" w:cs="Arial"/>
          <w:sz w:val="24"/>
          <w:szCs w:val="24"/>
        </w:rPr>
        <w:t>Totuși, cantităţile de DEEE colectate se situează  sub cele stabilite prin ţintele naţionale, fiind sub 4kg/locuitor/an.</w:t>
      </w:r>
    </w:p>
    <w:p w:rsidR="00C55310" w:rsidRPr="00410EDF" w:rsidRDefault="00C55310" w:rsidP="00C625DB">
      <w:pPr>
        <w:autoSpaceDE w:val="0"/>
        <w:autoSpaceDN w:val="0"/>
        <w:adjustRightInd w:val="0"/>
        <w:spacing w:after="0" w:line="240" w:lineRule="auto"/>
        <w:ind w:firstLine="737"/>
        <w:jc w:val="both"/>
        <w:rPr>
          <w:rFonts w:ascii="Arial" w:hAnsi="Arial" w:cs="Arial"/>
          <w:b/>
          <w:sz w:val="24"/>
          <w:szCs w:val="24"/>
        </w:rPr>
      </w:pPr>
      <w:r w:rsidRPr="00410EDF">
        <w:rPr>
          <w:rFonts w:ascii="Arial" w:hAnsi="Arial" w:cs="Arial"/>
          <w:sz w:val="24"/>
          <w:szCs w:val="24"/>
        </w:rPr>
        <w:t xml:space="preserve"> În judeţul </w:t>
      </w:r>
      <w:r w:rsidR="00217620">
        <w:rPr>
          <w:rFonts w:ascii="Arial" w:hAnsi="Arial" w:cs="Arial"/>
          <w:sz w:val="24"/>
          <w:szCs w:val="24"/>
        </w:rPr>
        <w:t>Brăila</w:t>
      </w:r>
      <w:r w:rsidRPr="00410EDF">
        <w:rPr>
          <w:rFonts w:ascii="Arial" w:hAnsi="Arial" w:cs="Arial"/>
          <w:sz w:val="24"/>
          <w:szCs w:val="24"/>
        </w:rPr>
        <w:t xml:space="preserve"> nu există operatori economici autorizaţi pentru tratarea DEEE.</w:t>
      </w:r>
    </w:p>
    <w:p w:rsidR="00C55310" w:rsidRPr="00410EDF" w:rsidRDefault="00C55310" w:rsidP="00C625DB">
      <w:pPr>
        <w:spacing w:after="0" w:line="240" w:lineRule="auto"/>
        <w:jc w:val="center"/>
        <w:rPr>
          <w:rFonts w:ascii="Arial" w:hAnsi="Arial" w:cs="Arial"/>
          <w:sz w:val="24"/>
          <w:szCs w:val="24"/>
          <w:lang w:val="en-US"/>
        </w:rPr>
      </w:pPr>
    </w:p>
    <w:p w:rsidR="00F065B7" w:rsidRPr="00410EDF" w:rsidRDefault="00F065B7" w:rsidP="00C625DB">
      <w:pPr>
        <w:autoSpaceDE w:val="0"/>
        <w:autoSpaceDN w:val="0"/>
        <w:adjustRightInd w:val="0"/>
        <w:spacing w:after="0" w:line="240" w:lineRule="auto"/>
        <w:jc w:val="both"/>
        <w:rPr>
          <w:rFonts w:ascii="Arial" w:hAnsi="Arial" w:cs="Arial"/>
          <w:b/>
          <w:i/>
          <w:sz w:val="24"/>
          <w:szCs w:val="24"/>
        </w:rPr>
      </w:pPr>
      <w:r w:rsidRPr="00410EDF">
        <w:rPr>
          <w:rFonts w:ascii="Arial" w:hAnsi="Arial" w:cs="Arial"/>
          <w:b/>
          <w:sz w:val="24"/>
          <w:szCs w:val="24"/>
        </w:rPr>
        <w:t xml:space="preserve">VII.1.3.2 </w:t>
      </w:r>
      <w:r w:rsidRPr="00410EDF">
        <w:rPr>
          <w:rFonts w:ascii="Arial" w:hAnsi="Arial" w:cs="Arial"/>
          <w:b/>
          <w:i/>
          <w:sz w:val="24"/>
          <w:szCs w:val="24"/>
        </w:rPr>
        <w:t xml:space="preserve">Deşeuri de ambalaje </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xml:space="preserve">Ambalajele implică o utilizare a resurselor şi de obicei au o durată de viaţă scurtă. Există impactul asupra mediului începând cu extracţia resurselor, producţia de ambalaje, colectarea deşeurilor de ambalaje şi tratarea acestora până la eliminarea lor. </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Deşeurile de ambalaje sunt prevăzute în reglementări naţionale specifice şi există ţinte specifice pentru reciclarea şi valorificarea lor. Informaţiile privind cantităţile de deşeuri de ambalaje generate oferă un indicator al eficienţei politicilor de prevenire a deşeurilor la nivel naţional.</w:t>
      </w:r>
    </w:p>
    <w:p w:rsidR="00F065B7" w:rsidRPr="00410EDF" w:rsidRDefault="00F065B7" w:rsidP="00C625DB">
      <w:pPr>
        <w:autoSpaceDE w:val="0"/>
        <w:autoSpaceDN w:val="0"/>
        <w:adjustRightInd w:val="0"/>
        <w:spacing w:after="0" w:line="240" w:lineRule="auto"/>
        <w:jc w:val="both"/>
        <w:rPr>
          <w:rFonts w:ascii="Arial" w:hAnsi="Arial" w:cs="Arial"/>
          <w:b/>
          <w:sz w:val="24"/>
          <w:szCs w:val="24"/>
        </w:rPr>
      </w:pPr>
      <w:r w:rsidRPr="00410EDF">
        <w:rPr>
          <w:rFonts w:ascii="Arial" w:hAnsi="Arial" w:cs="Arial"/>
          <w:sz w:val="24"/>
          <w:szCs w:val="24"/>
        </w:rPr>
        <w:t xml:space="preserve">În acest scop, în fiecare an, autorităţile teritoriale pentru protecţia mediului realizează inventarul ambalajelor şi deşeurilor de ambalaje pentru anul precedent, conform HG 621/2005 </w:t>
      </w:r>
      <w:r w:rsidRPr="00410EDF">
        <w:rPr>
          <w:rFonts w:ascii="Arial" w:hAnsi="Arial" w:cs="Arial"/>
          <w:bCs/>
          <w:sz w:val="24"/>
          <w:szCs w:val="24"/>
        </w:rPr>
        <w:t xml:space="preserve">privind gestionarea ambalajelor şi a deşeurilor de ambalaje cu modificările şi completările ulterioare </w:t>
      </w:r>
      <w:r w:rsidRPr="00410EDF">
        <w:rPr>
          <w:rFonts w:ascii="Arial" w:hAnsi="Arial" w:cs="Arial"/>
          <w:sz w:val="24"/>
          <w:szCs w:val="24"/>
        </w:rPr>
        <w:t>şi a Ordinului nr. 794 din 6 fe</w:t>
      </w:r>
      <w:r w:rsidR="007C1699">
        <w:rPr>
          <w:rFonts w:ascii="Arial" w:hAnsi="Arial" w:cs="Arial"/>
          <w:sz w:val="24"/>
          <w:szCs w:val="24"/>
        </w:rPr>
        <w:t>BR</w:t>
      </w:r>
      <w:r w:rsidRPr="00410EDF">
        <w:rPr>
          <w:rFonts w:ascii="Arial" w:hAnsi="Arial" w:cs="Arial"/>
          <w:sz w:val="24"/>
          <w:szCs w:val="24"/>
        </w:rPr>
        <w:t>uarie 2012 privind procedura de raportare a datelor referitoare la ambalaje şi deşeuri de ambalaje.</w:t>
      </w:r>
    </w:p>
    <w:p w:rsidR="00F065B7" w:rsidRPr="00410EDF" w:rsidRDefault="00F065B7" w:rsidP="00C625DB">
      <w:pPr>
        <w:autoSpaceDE w:val="0"/>
        <w:autoSpaceDN w:val="0"/>
        <w:adjustRightInd w:val="0"/>
        <w:spacing w:after="0" w:line="240" w:lineRule="auto"/>
        <w:jc w:val="both"/>
        <w:rPr>
          <w:rFonts w:ascii="Arial" w:hAnsi="Arial" w:cs="Arial"/>
          <w:b/>
          <w:sz w:val="24"/>
          <w:szCs w:val="24"/>
        </w:rPr>
      </w:pPr>
      <w:r w:rsidRPr="00410EDF">
        <w:rPr>
          <w:rFonts w:ascii="Arial" w:hAnsi="Arial" w:cs="Arial"/>
          <w:sz w:val="24"/>
          <w:szCs w:val="24"/>
        </w:rPr>
        <w:t>Inventarul cuprinde:</w:t>
      </w:r>
    </w:p>
    <w:p w:rsidR="00F065B7" w:rsidRPr="00410EDF" w:rsidRDefault="00F065B7" w:rsidP="00252ED3">
      <w:pPr>
        <w:pStyle w:val="ListParagraph"/>
        <w:numPr>
          <w:ilvl w:val="0"/>
          <w:numId w:val="42"/>
        </w:numPr>
        <w:ind w:left="714" w:hanging="357"/>
        <w:rPr>
          <w:rFonts w:ascii="Arial" w:eastAsia="Calibri" w:hAnsi="Arial" w:cs="Arial"/>
          <w:b/>
        </w:rPr>
      </w:pPr>
      <w:r w:rsidRPr="00410EDF">
        <w:rPr>
          <w:rFonts w:ascii="Arial" w:hAnsi="Arial" w:cs="Arial"/>
        </w:rPr>
        <w:t>Operatorii economici, producători şi importatori de ambalaje de desfacere, producători/importatori de produse ambalate, precum şi cei care supraambalează produse ambalate;</w:t>
      </w:r>
    </w:p>
    <w:p w:rsidR="00F065B7" w:rsidRPr="00410EDF" w:rsidRDefault="00F065B7" w:rsidP="00252ED3">
      <w:pPr>
        <w:pStyle w:val="ListParagraph"/>
        <w:numPr>
          <w:ilvl w:val="0"/>
          <w:numId w:val="42"/>
        </w:numPr>
        <w:ind w:left="714" w:hanging="357"/>
        <w:rPr>
          <w:rFonts w:ascii="Arial" w:hAnsi="Arial" w:cs="Arial"/>
          <w:b/>
        </w:rPr>
      </w:pPr>
      <w:r w:rsidRPr="00410EDF">
        <w:rPr>
          <w:rFonts w:ascii="Arial" w:hAnsi="Arial" w:cs="Arial"/>
        </w:rPr>
        <w:t>Operatorii economici autorizaţi pentru desfăşurarea activităţii de colectare, reciclare sau valorificare a deşeurilor de ambalaje, comercianţii de deşeuri de ambalaje şi operatorii de salu</w:t>
      </w:r>
      <w:r w:rsidR="007C1699">
        <w:rPr>
          <w:rFonts w:ascii="Arial" w:hAnsi="Arial" w:cs="Arial"/>
        </w:rPr>
        <w:t>BR</w:t>
      </w:r>
      <w:r w:rsidRPr="00410EDF">
        <w:rPr>
          <w:rFonts w:ascii="Arial" w:hAnsi="Arial" w:cs="Arial"/>
        </w:rPr>
        <w:t>itate care desfăşoară şi activitatea de colectare ca operator economic autorizat pentru colectarea deşeurilor de ambalaje;</w:t>
      </w:r>
    </w:p>
    <w:p w:rsidR="00F065B7" w:rsidRPr="00410EDF" w:rsidRDefault="00F065B7" w:rsidP="00252ED3">
      <w:pPr>
        <w:pStyle w:val="ListParagraph"/>
        <w:numPr>
          <w:ilvl w:val="0"/>
          <w:numId w:val="42"/>
        </w:numPr>
        <w:ind w:left="714" w:hanging="357"/>
        <w:rPr>
          <w:rFonts w:ascii="Arial" w:hAnsi="Arial" w:cs="Arial"/>
          <w:b/>
        </w:rPr>
      </w:pPr>
      <w:r w:rsidRPr="00410EDF">
        <w:rPr>
          <w:rFonts w:ascii="Arial" w:hAnsi="Arial" w:cs="Arial"/>
        </w:rPr>
        <w:t>Autorităţile administraţiei publice locale sunt obligate să transmită datele privind deşeurile de ambalaje colectate prin serviciul public de salu</w:t>
      </w:r>
      <w:r w:rsidR="007C1699">
        <w:rPr>
          <w:rFonts w:ascii="Arial" w:hAnsi="Arial" w:cs="Arial"/>
        </w:rPr>
        <w:t>BR</w:t>
      </w:r>
      <w:r w:rsidRPr="00410EDF">
        <w:rPr>
          <w:rFonts w:ascii="Arial" w:hAnsi="Arial" w:cs="Arial"/>
        </w:rPr>
        <w:t>izare a localităţii, în baza datelor furnizate de către operatorii serviciului de salu</w:t>
      </w:r>
      <w:r w:rsidR="007C1699">
        <w:rPr>
          <w:rFonts w:ascii="Arial" w:hAnsi="Arial" w:cs="Arial"/>
        </w:rPr>
        <w:t>BR</w:t>
      </w:r>
      <w:r w:rsidRPr="00410EDF">
        <w:rPr>
          <w:rFonts w:ascii="Arial" w:hAnsi="Arial" w:cs="Arial"/>
        </w:rPr>
        <w:t>izare care deservesc localitatea respectivă;</w:t>
      </w:r>
    </w:p>
    <w:p w:rsidR="00F065B7" w:rsidRPr="00410EDF" w:rsidRDefault="00F065B7" w:rsidP="00C625DB">
      <w:pPr>
        <w:autoSpaceDE w:val="0"/>
        <w:autoSpaceDN w:val="0"/>
        <w:adjustRightInd w:val="0"/>
        <w:spacing w:after="0" w:line="240" w:lineRule="auto"/>
        <w:jc w:val="both"/>
        <w:rPr>
          <w:rFonts w:ascii="Arial" w:hAnsi="Arial" w:cs="Arial"/>
          <w:b/>
          <w:sz w:val="24"/>
          <w:szCs w:val="24"/>
        </w:rPr>
      </w:pPr>
      <w:r w:rsidRPr="00410EDF">
        <w:rPr>
          <w:rFonts w:ascii="Arial" w:hAnsi="Arial" w:cs="Arial"/>
          <w:sz w:val="24"/>
          <w:szCs w:val="24"/>
        </w:rPr>
        <w:t xml:space="preserve">Implementarea noului Ordin privind procedura de raportare implică realizarea unei aplicații prin intermediul căreia trebuie introduse datele ce trebuie raportate. Această aplicație face parte din cadrul proiectului SIM (Sistem Integrat de Mediu) și permite introducerea datelor on-line direct de către operatorul economic. Aplicația  a fost implementată, operatorii economici s-au înscris în sistem și au făcut raportarea ”on-line” în baza de date creată de către Agenția Națională pentru Protecția Mediului. Datele prezentate, sunt date statistice, înregistrate (introduse) în paralel de către agenția locală de mediu reprezentând cantitățile de ambalaje gestionate în anul 2014. Singurele date pe care le deținem sunt cele statistice privind raportorii care fac obiectul inventarului, precum și cantitățile de ambalaje gestionate. </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lastRenderedPageBreak/>
        <w:t xml:space="preserve">Astfel pentru anul 2014 au fost inventariaţi un număr de </w:t>
      </w:r>
      <w:r w:rsidRPr="00410EDF">
        <w:rPr>
          <w:rFonts w:ascii="Arial" w:hAnsi="Arial" w:cs="Arial"/>
          <w:bCs/>
          <w:sz w:val="24"/>
          <w:szCs w:val="24"/>
        </w:rPr>
        <w:t>110 operatorii</w:t>
      </w:r>
      <w:r w:rsidRPr="00410EDF">
        <w:rPr>
          <w:rFonts w:ascii="Arial" w:hAnsi="Arial" w:cs="Arial"/>
          <w:sz w:val="24"/>
          <w:szCs w:val="24"/>
        </w:rPr>
        <w:t xml:space="preserve"> economici </w:t>
      </w:r>
      <w:r w:rsidRPr="00410EDF">
        <w:rPr>
          <w:rFonts w:ascii="Arial" w:hAnsi="Arial" w:cs="Arial"/>
          <w:bCs/>
          <w:sz w:val="24"/>
          <w:szCs w:val="24"/>
        </w:rPr>
        <w:t xml:space="preserve">care intră sub incidenţa legislaţiei menţionate, (dintre aceştia, 52 au predat responsabilitatea catre 6 operatori autorizaţi pentru preluarea responsabilităţii de realizare a obiectivelor de valorificare/reciclare) </w:t>
      </w:r>
      <w:r w:rsidRPr="00410EDF">
        <w:rPr>
          <w:rFonts w:ascii="Arial" w:hAnsi="Arial" w:cs="Arial"/>
          <w:sz w:val="24"/>
          <w:szCs w:val="24"/>
        </w:rPr>
        <w:t>după cum urmează:</w:t>
      </w:r>
    </w:p>
    <w:p w:rsidR="00F065B7" w:rsidRPr="00410EDF" w:rsidRDefault="00F065B7" w:rsidP="00252ED3">
      <w:pPr>
        <w:pStyle w:val="ListParagraph"/>
        <w:numPr>
          <w:ilvl w:val="0"/>
          <w:numId w:val="55"/>
        </w:numPr>
        <w:jc w:val="both"/>
        <w:rPr>
          <w:rStyle w:val="do1"/>
          <w:rFonts w:ascii="Arial" w:hAnsi="Arial" w:cs="Arial"/>
          <w:b w:val="0"/>
          <w:sz w:val="24"/>
          <w:szCs w:val="24"/>
        </w:rPr>
      </w:pPr>
      <w:r w:rsidRPr="00410EDF">
        <w:rPr>
          <w:rStyle w:val="do1"/>
          <w:rFonts w:ascii="Arial" w:hAnsi="Arial" w:cs="Arial"/>
          <w:b w:val="0"/>
          <w:sz w:val="24"/>
          <w:szCs w:val="24"/>
        </w:rPr>
        <w:t>36 producători și importatori de ambalaje şi produse ambalate ;</w:t>
      </w:r>
    </w:p>
    <w:p w:rsidR="00F065B7" w:rsidRPr="00410EDF" w:rsidRDefault="00F065B7" w:rsidP="00252ED3">
      <w:pPr>
        <w:pStyle w:val="ListParagraph"/>
        <w:numPr>
          <w:ilvl w:val="0"/>
          <w:numId w:val="55"/>
        </w:numPr>
        <w:jc w:val="both"/>
        <w:rPr>
          <w:rStyle w:val="do1"/>
          <w:rFonts w:ascii="Arial" w:hAnsi="Arial" w:cs="Arial"/>
          <w:b w:val="0"/>
          <w:sz w:val="24"/>
          <w:szCs w:val="24"/>
        </w:rPr>
      </w:pPr>
      <w:r w:rsidRPr="00410EDF">
        <w:rPr>
          <w:rStyle w:val="do1"/>
          <w:rFonts w:ascii="Arial" w:hAnsi="Arial" w:cs="Arial"/>
          <w:b w:val="0"/>
          <w:sz w:val="24"/>
          <w:szCs w:val="24"/>
        </w:rPr>
        <w:t xml:space="preserve">6 producători de ambalaje; </w:t>
      </w:r>
    </w:p>
    <w:p w:rsidR="00F065B7" w:rsidRPr="00410EDF" w:rsidRDefault="00F065B7" w:rsidP="00252ED3">
      <w:pPr>
        <w:pStyle w:val="ListParagraph"/>
        <w:numPr>
          <w:ilvl w:val="0"/>
          <w:numId w:val="55"/>
        </w:numPr>
        <w:jc w:val="both"/>
        <w:rPr>
          <w:rStyle w:val="do1"/>
          <w:rFonts w:ascii="Arial" w:hAnsi="Arial" w:cs="Arial"/>
          <w:b w:val="0"/>
          <w:sz w:val="24"/>
          <w:szCs w:val="24"/>
        </w:rPr>
      </w:pPr>
      <w:r w:rsidRPr="00410EDF">
        <w:rPr>
          <w:rStyle w:val="do1"/>
          <w:rFonts w:ascii="Arial" w:hAnsi="Arial" w:cs="Arial"/>
          <w:b w:val="0"/>
          <w:sz w:val="24"/>
          <w:szCs w:val="24"/>
        </w:rPr>
        <w:t>7 colectori de deşeuri de ambalaje;</w:t>
      </w:r>
    </w:p>
    <w:p w:rsidR="00F065B7" w:rsidRPr="00410EDF" w:rsidRDefault="00F065B7" w:rsidP="00252ED3">
      <w:pPr>
        <w:pStyle w:val="ListParagraph"/>
        <w:numPr>
          <w:ilvl w:val="0"/>
          <w:numId w:val="55"/>
        </w:numPr>
        <w:jc w:val="both"/>
        <w:rPr>
          <w:rStyle w:val="do1"/>
          <w:rFonts w:ascii="Arial" w:hAnsi="Arial" w:cs="Arial"/>
          <w:b w:val="0"/>
          <w:sz w:val="24"/>
          <w:szCs w:val="24"/>
        </w:rPr>
      </w:pPr>
      <w:r w:rsidRPr="00410EDF">
        <w:rPr>
          <w:rStyle w:val="do1"/>
          <w:rFonts w:ascii="Arial" w:hAnsi="Arial" w:cs="Arial"/>
          <w:b w:val="0"/>
          <w:sz w:val="24"/>
          <w:szCs w:val="24"/>
        </w:rPr>
        <w:t>6 operatori autorizaţi pentru preluarea responsabilităţii de realizare a obiectivelor de valorificare/reciclare;</w:t>
      </w:r>
    </w:p>
    <w:p w:rsidR="00F065B7" w:rsidRPr="00410EDF" w:rsidRDefault="00F065B7" w:rsidP="00252ED3">
      <w:pPr>
        <w:pStyle w:val="ListParagraph"/>
        <w:numPr>
          <w:ilvl w:val="0"/>
          <w:numId w:val="55"/>
        </w:numPr>
        <w:jc w:val="both"/>
        <w:rPr>
          <w:rStyle w:val="do1"/>
          <w:rFonts w:ascii="Arial" w:hAnsi="Arial" w:cs="Arial"/>
          <w:b w:val="0"/>
          <w:bCs w:val="0"/>
          <w:sz w:val="24"/>
          <w:szCs w:val="24"/>
        </w:rPr>
      </w:pPr>
      <w:r w:rsidRPr="00410EDF">
        <w:rPr>
          <w:rStyle w:val="do1"/>
          <w:rFonts w:ascii="Arial" w:hAnsi="Arial" w:cs="Arial"/>
          <w:b w:val="0"/>
          <w:sz w:val="24"/>
          <w:szCs w:val="24"/>
        </w:rPr>
        <w:t xml:space="preserve">Primariile </w:t>
      </w:r>
      <w:r w:rsidR="00217620">
        <w:rPr>
          <w:rStyle w:val="do1"/>
          <w:rFonts w:ascii="Arial" w:hAnsi="Arial" w:cs="Arial"/>
          <w:b w:val="0"/>
          <w:sz w:val="24"/>
          <w:szCs w:val="24"/>
        </w:rPr>
        <w:t>Brăila</w:t>
      </w:r>
      <w:r w:rsidRPr="00410EDF">
        <w:rPr>
          <w:rStyle w:val="do1"/>
          <w:rFonts w:ascii="Arial" w:hAnsi="Arial" w:cs="Arial"/>
          <w:b w:val="0"/>
          <w:sz w:val="24"/>
          <w:szCs w:val="24"/>
        </w:rPr>
        <w:t>, Ianca, Făurei şi Însurăţei.</w:t>
      </w:r>
    </w:p>
    <w:p w:rsidR="00F065B7" w:rsidRPr="00410EDF" w:rsidRDefault="00F065B7" w:rsidP="00C625DB">
      <w:pPr>
        <w:pStyle w:val="ListParagraph"/>
        <w:ind w:left="0"/>
        <w:jc w:val="both"/>
        <w:rPr>
          <w:rStyle w:val="do1"/>
          <w:rFonts w:ascii="Arial" w:hAnsi="Arial" w:cs="Arial"/>
          <w:sz w:val="24"/>
          <w:szCs w:val="24"/>
        </w:rPr>
      </w:pPr>
    </w:p>
    <w:p w:rsidR="00F065B7" w:rsidRPr="00410EDF" w:rsidRDefault="00F065B7" w:rsidP="00C625DB">
      <w:pPr>
        <w:pStyle w:val="ListParagraph"/>
        <w:rPr>
          <w:rFonts w:ascii="Arial" w:hAnsi="Arial" w:cs="Arial"/>
          <w:b/>
        </w:rPr>
      </w:pPr>
      <w:r w:rsidRPr="00410EDF">
        <w:rPr>
          <w:rFonts w:ascii="Arial" w:hAnsi="Arial" w:cs="Arial"/>
        </w:rPr>
        <w:t xml:space="preserve">Tabel nr. VII.1.3.2.1 Cantitatea de ambalaje colectate in județul </w:t>
      </w:r>
      <w:r w:rsidR="00217620">
        <w:rPr>
          <w:rFonts w:ascii="Arial" w:hAnsi="Arial" w:cs="Arial"/>
        </w:rPr>
        <w:t>Brăila</w:t>
      </w:r>
    </w:p>
    <w:tbl>
      <w:tblPr>
        <w:tblW w:w="0" w:type="auto"/>
        <w:tblInd w:w="19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1"/>
        <w:gridCol w:w="3969"/>
      </w:tblGrid>
      <w:tr w:rsidR="00F065B7" w:rsidRPr="00410EDF" w:rsidTr="006157E7">
        <w:tc>
          <w:tcPr>
            <w:tcW w:w="1701" w:type="dxa"/>
            <w:shd w:val="clear" w:color="auto" w:fill="EEECE1" w:themeFill="background2"/>
          </w:tcPr>
          <w:p w:rsidR="00F065B7" w:rsidRPr="00410EDF" w:rsidRDefault="00F065B7" w:rsidP="00C625DB">
            <w:pPr>
              <w:pStyle w:val="ListParagraph"/>
              <w:ind w:left="0"/>
              <w:jc w:val="center"/>
              <w:rPr>
                <w:rStyle w:val="do1"/>
                <w:rFonts w:ascii="Arial" w:hAnsi="Arial" w:cs="Arial"/>
                <w:sz w:val="24"/>
                <w:szCs w:val="24"/>
              </w:rPr>
            </w:pPr>
          </w:p>
          <w:p w:rsidR="00F065B7" w:rsidRPr="00410EDF" w:rsidRDefault="00F065B7" w:rsidP="00C625DB">
            <w:pPr>
              <w:pStyle w:val="ListParagraph"/>
              <w:ind w:left="0"/>
              <w:jc w:val="center"/>
              <w:rPr>
                <w:rStyle w:val="do1"/>
                <w:rFonts w:ascii="Arial" w:hAnsi="Arial" w:cs="Arial"/>
                <w:sz w:val="24"/>
                <w:szCs w:val="24"/>
              </w:rPr>
            </w:pPr>
            <w:r w:rsidRPr="00410EDF">
              <w:rPr>
                <w:rStyle w:val="do1"/>
                <w:rFonts w:ascii="Arial" w:hAnsi="Arial" w:cs="Arial"/>
                <w:sz w:val="24"/>
                <w:szCs w:val="24"/>
              </w:rPr>
              <w:t>Anul</w:t>
            </w:r>
          </w:p>
        </w:tc>
        <w:tc>
          <w:tcPr>
            <w:tcW w:w="3969" w:type="dxa"/>
            <w:shd w:val="clear" w:color="auto" w:fill="EEECE1" w:themeFill="background2"/>
          </w:tcPr>
          <w:p w:rsidR="00F065B7" w:rsidRPr="00410EDF" w:rsidRDefault="00F065B7" w:rsidP="00C625DB">
            <w:pPr>
              <w:pStyle w:val="ListParagraph"/>
              <w:ind w:left="0"/>
              <w:jc w:val="center"/>
              <w:rPr>
                <w:rStyle w:val="do1"/>
                <w:rFonts w:ascii="Arial" w:hAnsi="Arial" w:cs="Arial"/>
                <w:sz w:val="24"/>
                <w:szCs w:val="24"/>
              </w:rPr>
            </w:pPr>
            <w:r w:rsidRPr="00410EDF">
              <w:rPr>
                <w:rStyle w:val="do1"/>
                <w:rFonts w:ascii="Arial" w:hAnsi="Arial" w:cs="Arial"/>
                <w:sz w:val="24"/>
                <w:szCs w:val="24"/>
              </w:rPr>
              <w:t>Cantitatea de ambalaje colectată</w:t>
            </w:r>
          </w:p>
          <w:p w:rsidR="00F065B7" w:rsidRPr="00410EDF" w:rsidRDefault="00F065B7" w:rsidP="00C625DB">
            <w:pPr>
              <w:pStyle w:val="ListParagraph"/>
              <w:ind w:left="0"/>
              <w:jc w:val="center"/>
              <w:rPr>
                <w:rStyle w:val="do1"/>
                <w:rFonts w:ascii="Arial" w:hAnsi="Arial" w:cs="Arial"/>
                <w:sz w:val="24"/>
                <w:szCs w:val="24"/>
              </w:rPr>
            </w:pPr>
            <w:r w:rsidRPr="00410EDF">
              <w:rPr>
                <w:rFonts w:ascii="Arial" w:hAnsi="Arial" w:cs="Arial"/>
                <w:lang w:val="en-US"/>
              </w:rPr>
              <w:t>[</w:t>
            </w:r>
            <w:r w:rsidRPr="00410EDF">
              <w:rPr>
                <w:rFonts w:ascii="Arial" w:hAnsi="Arial" w:cs="Arial"/>
              </w:rPr>
              <w:t xml:space="preserve"> t ]</w:t>
            </w:r>
          </w:p>
        </w:tc>
      </w:tr>
      <w:tr w:rsidR="00F065B7" w:rsidRPr="00410EDF" w:rsidTr="006157E7">
        <w:tc>
          <w:tcPr>
            <w:tcW w:w="1701" w:type="dxa"/>
          </w:tcPr>
          <w:p w:rsidR="00F065B7" w:rsidRPr="00410EDF" w:rsidRDefault="00F065B7" w:rsidP="00C625DB">
            <w:pPr>
              <w:pStyle w:val="ListParagraph"/>
              <w:ind w:left="0"/>
              <w:jc w:val="center"/>
              <w:rPr>
                <w:rStyle w:val="do1"/>
                <w:rFonts w:ascii="Arial" w:hAnsi="Arial" w:cs="Arial"/>
                <w:sz w:val="24"/>
                <w:szCs w:val="24"/>
              </w:rPr>
            </w:pPr>
            <w:r w:rsidRPr="00410EDF">
              <w:rPr>
                <w:rStyle w:val="do1"/>
                <w:rFonts w:ascii="Arial" w:hAnsi="Arial" w:cs="Arial"/>
                <w:sz w:val="24"/>
                <w:szCs w:val="24"/>
              </w:rPr>
              <w:t>2013</w:t>
            </w:r>
          </w:p>
        </w:tc>
        <w:tc>
          <w:tcPr>
            <w:tcW w:w="3969" w:type="dxa"/>
          </w:tcPr>
          <w:p w:rsidR="00F065B7" w:rsidRPr="00410EDF" w:rsidRDefault="00F065B7" w:rsidP="00C625DB">
            <w:pPr>
              <w:pStyle w:val="ListParagraph"/>
              <w:ind w:left="0"/>
              <w:jc w:val="center"/>
              <w:rPr>
                <w:rStyle w:val="do1"/>
                <w:rFonts w:ascii="Arial" w:hAnsi="Arial" w:cs="Arial"/>
                <w:sz w:val="24"/>
                <w:szCs w:val="24"/>
              </w:rPr>
            </w:pPr>
            <w:r w:rsidRPr="00410EDF">
              <w:rPr>
                <w:rStyle w:val="do1"/>
                <w:rFonts w:ascii="Arial" w:hAnsi="Arial" w:cs="Arial"/>
                <w:sz w:val="24"/>
                <w:szCs w:val="24"/>
              </w:rPr>
              <w:t>2640,87</w:t>
            </w:r>
          </w:p>
        </w:tc>
      </w:tr>
      <w:tr w:rsidR="00F065B7" w:rsidRPr="00410EDF" w:rsidTr="006157E7">
        <w:tc>
          <w:tcPr>
            <w:tcW w:w="1701" w:type="dxa"/>
          </w:tcPr>
          <w:p w:rsidR="00F065B7" w:rsidRPr="00410EDF" w:rsidRDefault="00F065B7" w:rsidP="00C625DB">
            <w:pPr>
              <w:pStyle w:val="ListParagraph"/>
              <w:ind w:left="0"/>
              <w:jc w:val="center"/>
              <w:rPr>
                <w:rStyle w:val="do1"/>
                <w:rFonts w:ascii="Arial" w:hAnsi="Arial" w:cs="Arial"/>
                <w:sz w:val="24"/>
                <w:szCs w:val="24"/>
              </w:rPr>
            </w:pPr>
            <w:r w:rsidRPr="00410EDF">
              <w:rPr>
                <w:rStyle w:val="do1"/>
                <w:rFonts w:ascii="Arial" w:hAnsi="Arial" w:cs="Arial"/>
                <w:sz w:val="24"/>
                <w:szCs w:val="24"/>
              </w:rPr>
              <w:t>2014</w:t>
            </w:r>
          </w:p>
        </w:tc>
        <w:tc>
          <w:tcPr>
            <w:tcW w:w="3969" w:type="dxa"/>
          </w:tcPr>
          <w:p w:rsidR="00F065B7" w:rsidRPr="00410EDF" w:rsidRDefault="00F065B7" w:rsidP="00C625DB">
            <w:pPr>
              <w:pStyle w:val="ListParagraph"/>
              <w:ind w:left="0"/>
              <w:jc w:val="center"/>
              <w:rPr>
                <w:rStyle w:val="do1"/>
                <w:rFonts w:ascii="Arial" w:hAnsi="Arial" w:cs="Arial"/>
                <w:sz w:val="24"/>
                <w:szCs w:val="24"/>
              </w:rPr>
            </w:pPr>
            <w:r w:rsidRPr="00410EDF">
              <w:rPr>
                <w:rStyle w:val="do1"/>
                <w:rFonts w:ascii="Arial" w:hAnsi="Arial" w:cs="Arial"/>
                <w:sz w:val="24"/>
                <w:szCs w:val="24"/>
              </w:rPr>
              <w:t>29370,71</w:t>
            </w:r>
          </w:p>
        </w:tc>
      </w:tr>
      <w:tr w:rsidR="00C0261B" w:rsidRPr="00410EDF" w:rsidTr="006157E7">
        <w:tc>
          <w:tcPr>
            <w:tcW w:w="1701" w:type="dxa"/>
          </w:tcPr>
          <w:p w:rsidR="00C0261B" w:rsidRPr="00410EDF" w:rsidRDefault="00C0261B" w:rsidP="00C625DB">
            <w:pPr>
              <w:pStyle w:val="ListParagraph"/>
              <w:ind w:left="0"/>
              <w:jc w:val="center"/>
              <w:rPr>
                <w:rStyle w:val="do1"/>
                <w:rFonts w:ascii="Arial" w:hAnsi="Arial" w:cs="Arial"/>
                <w:sz w:val="24"/>
                <w:szCs w:val="24"/>
              </w:rPr>
            </w:pPr>
            <w:r w:rsidRPr="00410EDF">
              <w:rPr>
                <w:rStyle w:val="do1"/>
                <w:rFonts w:ascii="Arial" w:hAnsi="Arial" w:cs="Arial"/>
                <w:sz w:val="24"/>
                <w:szCs w:val="24"/>
              </w:rPr>
              <w:t>2015</w:t>
            </w:r>
          </w:p>
        </w:tc>
        <w:tc>
          <w:tcPr>
            <w:tcW w:w="3969" w:type="dxa"/>
          </w:tcPr>
          <w:p w:rsidR="00C0261B" w:rsidRPr="00410EDF" w:rsidRDefault="00C0261B" w:rsidP="00C625DB">
            <w:pPr>
              <w:pStyle w:val="ListParagraph"/>
              <w:ind w:left="0"/>
              <w:jc w:val="center"/>
              <w:rPr>
                <w:rStyle w:val="do1"/>
                <w:rFonts w:ascii="Arial" w:hAnsi="Arial" w:cs="Arial"/>
                <w:sz w:val="24"/>
                <w:szCs w:val="24"/>
              </w:rPr>
            </w:pPr>
            <w:r w:rsidRPr="00410EDF">
              <w:rPr>
                <w:rStyle w:val="do1"/>
                <w:rFonts w:ascii="Arial" w:hAnsi="Arial" w:cs="Arial"/>
                <w:sz w:val="24"/>
                <w:szCs w:val="24"/>
              </w:rPr>
              <w:t>11540,94</w:t>
            </w:r>
          </w:p>
        </w:tc>
      </w:tr>
    </w:tbl>
    <w:p w:rsidR="00F065B7" w:rsidRPr="00410EDF" w:rsidRDefault="00F065B7" w:rsidP="00C625DB">
      <w:pPr>
        <w:pStyle w:val="ListParagraph"/>
        <w:rPr>
          <w:rStyle w:val="do1"/>
          <w:rFonts w:ascii="Arial" w:hAnsi="Arial" w:cs="Arial"/>
          <w:b w:val="0"/>
          <w:sz w:val="24"/>
          <w:szCs w:val="24"/>
        </w:rPr>
      </w:pPr>
    </w:p>
    <w:p w:rsidR="00F065B7" w:rsidRPr="00410EDF" w:rsidRDefault="00F065B7" w:rsidP="00C625DB">
      <w:pPr>
        <w:spacing w:after="0" w:line="240" w:lineRule="auto"/>
        <w:rPr>
          <w:rFonts w:ascii="Arial" w:hAnsi="Arial" w:cs="Arial"/>
          <w:b/>
          <w:sz w:val="24"/>
          <w:szCs w:val="24"/>
        </w:rPr>
      </w:pPr>
      <w:r w:rsidRPr="00410EDF">
        <w:rPr>
          <w:rFonts w:ascii="Arial" w:hAnsi="Arial" w:cs="Arial"/>
          <w:sz w:val="24"/>
          <w:szCs w:val="24"/>
        </w:rPr>
        <w:t xml:space="preserve">Tabel nr VII.1.3.2.2 Deșeuri de ambalaje valorificate la nivel național </w:t>
      </w:r>
    </w:p>
    <w:tbl>
      <w:tblPr>
        <w:tblW w:w="0" w:type="auto"/>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999"/>
        <w:gridCol w:w="959"/>
        <w:gridCol w:w="923"/>
        <w:gridCol w:w="960"/>
        <w:gridCol w:w="924"/>
        <w:gridCol w:w="961"/>
        <w:gridCol w:w="924"/>
        <w:gridCol w:w="961"/>
        <w:gridCol w:w="924"/>
        <w:gridCol w:w="961"/>
        <w:gridCol w:w="925"/>
      </w:tblGrid>
      <w:tr w:rsidR="00F065B7" w:rsidRPr="00410EDF" w:rsidTr="008914B8">
        <w:trPr>
          <w:jc w:val="center"/>
        </w:trPr>
        <w:tc>
          <w:tcPr>
            <w:tcW w:w="962" w:type="dxa"/>
            <w:vMerge w:val="restart"/>
            <w:shd w:val="clear" w:color="auto" w:fill="EEECE1" w:themeFill="background2"/>
          </w:tcPr>
          <w:p w:rsidR="00F065B7" w:rsidRPr="006157E7" w:rsidRDefault="00F065B7" w:rsidP="00C625DB">
            <w:pPr>
              <w:spacing w:after="0" w:line="240" w:lineRule="auto"/>
              <w:rPr>
                <w:rFonts w:ascii="Arial" w:hAnsi="Arial" w:cs="Arial"/>
                <w:b/>
              </w:rPr>
            </w:pPr>
            <w:r w:rsidRPr="006157E7">
              <w:rPr>
                <w:rFonts w:ascii="Arial" w:hAnsi="Arial" w:cs="Arial"/>
              </w:rPr>
              <w:t>Tip material</w:t>
            </w:r>
          </w:p>
        </w:tc>
        <w:tc>
          <w:tcPr>
            <w:tcW w:w="1924"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2010</w:t>
            </w:r>
          </w:p>
        </w:tc>
        <w:tc>
          <w:tcPr>
            <w:tcW w:w="1925"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2011</w:t>
            </w:r>
          </w:p>
        </w:tc>
        <w:tc>
          <w:tcPr>
            <w:tcW w:w="1926"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2012</w:t>
            </w:r>
          </w:p>
        </w:tc>
        <w:tc>
          <w:tcPr>
            <w:tcW w:w="1926"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2013</w:t>
            </w:r>
          </w:p>
        </w:tc>
        <w:tc>
          <w:tcPr>
            <w:tcW w:w="1928"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2014</w:t>
            </w:r>
          </w:p>
        </w:tc>
      </w:tr>
      <w:tr w:rsidR="00F065B7" w:rsidRPr="00410EDF" w:rsidTr="008914B8">
        <w:trPr>
          <w:jc w:val="center"/>
        </w:trPr>
        <w:tc>
          <w:tcPr>
            <w:tcW w:w="962" w:type="dxa"/>
            <w:vMerge/>
            <w:shd w:val="clear" w:color="auto" w:fill="EEECE1" w:themeFill="background2"/>
          </w:tcPr>
          <w:p w:rsidR="00F065B7" w:rsidRPr="006157E7" w:rsidRDefault="00F065B7" w:rsidP="00C625DB">
            <w:pPr>
              <w:spacing w:after="0" w:line="240" w:lineRule="auto"/>
              <w:rPr>
                <w:rFonts w:ascii="Arial" w:hAnsi="Arial" w:cs="Arial"/>
                <w:b/>
              </w:rPr>
            </w:pPr>
          </w:p>
        </w:tc>
        <w:tc>
          <w:tcPr>
            <w:tcW w:w="962"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962"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c>
          <w:tcPr>
            <w:tcW w:w="962"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963"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c>
          <w:tcPr>
            <w:tcW w:w="963"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963"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c>
          <w:tcPr>
            <w:tcW w:w="963"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963"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c>
          <w:tcPr>
            <w:tcW w:w="964"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964"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r>
      <w:tr w:rsidR="00F065B7" w:rsidRPr="00410EDF" w:rsidTr="00EC4C72">
        <w:trPr>
          <w:jc w:val="center"/>
        </w:trPr>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Sticlă</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91031</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56</w:t>
            </w:r>
            <w:r w:rsidR="00EC4C72" w:rsidRPr="006157E7">
              <w:rPr>
                <w:rFonts w:ascii="Arial" w:hAnsi="Arial" w:cs="Arial"/>
              </w:rPr>
              <w:t>,</w:t>
            </w:r>
            <w:r w:rsidRPr="006157E7">
              <w:rPr>
                <w:rFonts w:ascii="Arial" w:hAnsi="Arial" w:cs="Arial"/>
              </w:rPr>
              <w:t>78</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83790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59</w:t>
            </w:r>
            <w:r w:rsidR="00EC4C72" w:rsidRPr="006157E7">
              <w:rPr>
                <w:rFonts w:ascii="Arial" w:hAnsi="Arial" w:cs="Arial"/>
              </w:rPr>
              <w:t>,</w:t>
            </w:r>
            <w:r w:rsidRPr="006157E7">
              <w:rPr>
                <w:rFonts w:ascii="Arial" w:hAnsi="Arial" w:cs="Arial"/>
              </w:rPr>
              <w:t>97</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106192</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66</w:t>
            </w:r>
            <w:r w:rsidR="00EC4C72" w:rsidRPr="006157E7">
              <w:rPr>
                <w:rFonts w:ascii="Arial" w:hAnsi="Arial" w:cs="Arial"/>
              </w:rPr>
              <w:t>,</w:t>
            </w:r>
            <w:r w:rsidRPr="006157E7">
              <w:rPr>
                <w:rFonts w:ascii="Arial" w:hAnsi="Arial" w:cs="Arial"/>
              </w:rPr>
              <w:t>26</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73467</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49</w:t>
            </w:r>
            <w:r w:rsidR="00EC4C72" w:rsidRPr="006157E7">
              <w:rPr>
                <w:rFonts w:ascii="Arial" w:hAnsi="Arial" w:cs="Arial"/>
              </w:rPr>
              <w:t>,</w:t>
            </w:r>
            <w:r w:rsidRPr="006157E7">
              <w:rPr>
                <w:rFonts w:ascii="Arial" w:hAnsi="Arial" w:cs="Arial"/>
              </w:rPr>
              <w:t>24</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92088</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55</w:t>
            </w:r>
            <w:r w:rsidR="00EC4C72" w:rsidRPr="006157E7">
              <w:rPr>
                <w:rFonts w:ascii="Arial" w:hAnsi="Arial" w:cs="Arial"/>
              </w:rPr>
              <w:t>,</w:t>
            </w:r>
            <w:r w:rsidRPr="006157E7">
              <w:rPr>
                <w:rFonts w:ascii="Arial" w:hAnsi="Arial" w:cs="Arial"/>
              </w:rPr>
              <w:t>97</w:t>
            </w:r>
          </w:p>
        </w:tc>
      </w:tr>
      <w:tr w:rsidR="00F065B7" w:rsidRPr="00410EDF" w:rsidTr="00EC4C72">
        <w:trPr>
          <w:jc w:val="center"/>
        </w:trPr>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Plastic</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86945</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30</w:t>
            </w:r>
            <w:r w:rsidR="00EC4C72" w:rsidRPr="006157E7">
              <w:rPr>
                <w:rFonts w:ascii="Arial" w:hAnsi="Arial" w:cs="Arial"/>
              </w:rPr>
              <w:t>,</w:t>
            </w:r>
            <w:r w:rsidRPr="006157E7">
              <w:rPr>
                <w:rFonts w:ascii="Arial" w:hAnsi="Arial" w:cs="Arial"/>
              </w:rPr>
              <w:t>93</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120370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43</w:t>
            </w:r>
            <w:r w:rsidR="00EC4C72" w:rsidRPr="006157E7">
              <w:rPr>
                <w:rFonts w:ascii="Arial" w:hAnsi="Arial" w:cs="Arial"/>
              </w:rPr>
              <w:t>,</w:t>
            </w:r>
            <w:r w:rsidRPr="006157E7">
              <w:rPr>
                <w:rFonts w:ascii="Arial" w:hAnsi="Arial" w:cs="Arial"/>
              </w:rPr>
              <w:t>17</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154778</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51</w:t>
            </w:r>
            <w:r w:rsidR="00EC4C72" w:rsidRPr="006157E7">
              <w:rPr>
                <w:rFonts w:ascii="Arial" w:hAnsi="Arial" w:cs="Arial"/>
              </w:rPr>
              <w:t>,</w:t>
            </w:r>
            <w:r w:rsidRPr="006157E7">
              <w:rPr>
                <w:rFonts w:ascii="Arial" w:hAnsi="Arial" w:cs="Arial"/>
              </w:rPr>
              <w:t>93</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158218</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54</w:t>
            </w:r>
            <w:r w:rsidR="00EC4C72" w:rsidRPr="006157E7">
              <w:rPr>
                <w:rFonts w:ascii="Arial" w:hAnsi="Arial" w:cs="Arial"/>
              </w:rPr>
              <w:t>,</w:t>
            </w:r>
            <w:r w:rsidRPr="006157E7">
              <w:rPr>
                <w:rFonts w:ascii="Arial" w:hAnsi="Arial" w:cs="Arial"/>
              </w:rPr>
              <w:t>51</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173084</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51</w:t>
            </w:r>
            <w:r w:rsidR="00EC4C72" w:rsidRPr="006157E7">
              <w:rPr>
                <w:rFonts w:ascii="Arial" w:hAnsi="Arial" w:cs="Arial"/>
              </w:rPr>
              <w:t>,</w:t>
            </w:r>
            <w:r w:rsidRPr="006157E7">
              <w:rPr>
                <w:rFonts w:ascii="Arial" w:hAnsi="Arial" w:cs="Arial"/>
              </w:rPr>
              <w:t>39</w:t>
            </w:r>
          </w:p>
        </w:tc>
      </w:tr>
      <w:tr w:rsidR="00F065B7" w:rsidRPr="00410EDF" w:rsidTr="00EC4C72">
        <w:trPr>
          <w:jc w:val="center"/>
        </w:trPr>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Hârtie și carton</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194751</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73</w:t>
            </w:r>
            <w:r w:rsidR="00EC4C72" w:rsidRPr="006157E7">
              <w:rPr>
                <w:rFonts w:ascii="Arial" w:hAnsi="Arial" w:cs="Arial"/>
              </w:rPr>
              <w:t>,</w:t>
            </w:r>
            <w:r w:rsidRPr="006157E7">
              <w:rPr>
                <w:rFonts w:ascii="Arial" w:hAnsi="Arial" w:cs="Arial"/>
              </w:rPr>
              <w:t>22</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199340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68</w:t>
            </w:r>
            <w:r w:rsidR="00EC4C72" w:rsidRPr="006157E7">
              <w:rPr>
                <w:rFonts w:ascii="Arial" w:hAnsi="Arial" w:cs="Arial"/>
              </w:rPr>
              <w:t>,</w:t>
            </w:r>
            <w:r w:rsidRPr="006157E7">
              <w:rPr>
                <w:rFonts w:ascii="Arial" w:hAnsi="Arial" w:cs="Arial"/>
              </w:rPr>
              <w:t>01</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212648</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70</w:t>
            </w:r>
            <w:r w:rsidR="00EC4C72" w:rsidRPr="006157E7">
              <w:rPr>
                <w:rFonts w:ascii="Arial" w:hAnsi="Arial" w:cs="Arial"/>
              </w:rPr>
              <w:t>,</w:t>
            </w:r>
            <w:r w:rsidRPr="006157E7">
              <w:rPr>
                <w:rFonts w:ascii="Arial" w:hAnsi="Arial" w:cs="Arial"/>
              </w:rPr>
              <w:t>16</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239745</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76</w:t>
            </w:r>
            <w:r w:rsidR="00EC4C72" w:rsidRPr="006157E7">
              <w:rPr>
                <w:rFonts w:ascii="Arial" w:hAnsi="Arial" w:cs="Arial"/>
              </w:rPr>
              <w:t>,</w:t>
            </w:r>
            <w:r w:rsidRPr="006157E7">
              <w:rPr>
                <w:rFonts w:ascii="Arial" w:hAnsi="Arial" w:cs="Arial"/>
              </w:rPr>
              <w:t>95</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325139</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83</w:t>
            </w:r>
            <w:r w:rsidR="00EC4C72" w:rsidRPr="006157E7">
              <w:rPr>
                <w:rFonts w:ascii="Arial" w:hAnsi="Arial" w:cs="Arial"/>
              </w:rPr>
              <w:t>,</w:t>
            </w:r>
            <w:r w:rsidRPr="006157E7">
              <w:rPr>
                <w:rFonts w:ascii="Arial" w:hAnsi="Arial" w:cs="Arial"/>
              </w:rPr>
              <w:t>79</w:t>
            </w:r>
          </w:p>
        </w:tc>
      </w:tr>
      <w:tr w:rsidR="00F065B7" w:rsidRPr="00410EDF" w:rsidTr="00EC4C72">
        <w:trPr>
          <w:jc w:val="center"/>
        </w:trPr>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Metal</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36267</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65</w:t>
            </w:r>
            <w:r w:rsidR="00EC4C72" w:rsidRPr="006157E7">
              <w:rPr>
                <w:rFonts w:ascii="Arial" w:hAnsi="Arial" w:cs="Arial"/>
              </w:rPr>
              <w:t>,</w:t>
            </w:r>
            <w:r w:rsidRPr="006157E7">
              <w:rPr>
                <w:rFonts w:ascii="Arial" w:hAnsi="Arial" w:cs="Arial"/>
              </w:rPr>
              <w:t>68</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34410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62</w:t>
            </w:r>
            <w:r w:rsidR="00EC4C72" w:rsidRPr="006157E7">
              <w:rPr>
                <w:rFonts w:ascii="Arial" w:hAnsi="Arial" w:cs="Arial"/>
              </w:rPr>
              <w:t>,</w:t>
            </w:r>
            <w:r w:rsidRPr="006157E7">
              <w:rPr>
                <w:rFonts w:ascii="Arial" w:hAnsi="Arial" w:cs="Arial"/>
              </w:rPr>
              <w:t>30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32398</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55</w:t>
            </w:r>
            <w:r w:rsidR="00EC4C72" w:rsidRPr="006157E7">
              <w:rPr>
                <w:rFonts w:ascii="Arial" w:hAnsi="Arial" w:cs="Arial"/>
              </w:rPr>
              <w:t>,</w:t>
            </w:r>
            <w:r w:rsidRPr="006157E7">
              <w:rPr>
                <w:rFonts w:ascii="Arial" w:hAnsi="Arial" w:cs="Arial"/>
              </w:rPr>
              <w:t>54</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28732</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52</w:t>
            </w:r>
            <w:r w:rsidR="00EC4C72" w:rsidRPr="006157E7">
              <w:rPr>
                <w:rFonts w:ascii="Arial" w:hAnsi="Arial" w:cs="Arial"/>
              </w:rPr>
              <w:t>,</w:t>
            </w:r>
            <w:r w:rsidRPr="006157E7">
              <w:rPr>
                <w:rFonts w:ascii="Arial" w:hAnsi="Arial" w:cs="Arial"/>
              </w:rPr>
              <w:t>81</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36462</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55</w:t>
            </w:r>
            <w:r w:rsidR="00EC4C72" w:rsidRPr="006157E7">
              <w:rPr>
                <w:rFonts w:ascii="Arial" w:hAnsi="Arial" w:cs="Arial"/>
              </w:rPr>
              <w:t>,</w:t>
            </w:r>
            <w:r w:rsidRPr="006157E7">
              <w:rPr>
                <w:rFonts w:ascii="Arial" w:hAnsi="Arial" w:cs="Arial"/>
              </w:rPr>
              <w:t>53</w:t>
            </w:r>
          </w:p>
        </w:tc>
      </w:tr>
      <w:tr w:rsidR="00F065B7" w:rsidRPr="00410EDF" w:rsidTr="00EC4C72">
        <w:trPr>
          <w:jc w:val="center"/>
        </w:trPr>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Lemn</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62033</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29</w:t>
            </w:r>
            <w:r w:rsidR="00EC4C72" w:rsidRPr="006157E7">
              <w:rPr>
                <w:rFonts w:ascii="Arial" w:hAnsi="Arial" w:cs="Arial"/>
              </w:rPr>
              <w:t>,</w:t>
            </w:r>
            <w:r w:rsidRPr="006157E7">
              <w:rPr>
                <w:rFonts w:ascii="Arial" w:hAnsi="Arial" w:cs="Arial"/>
              </w:rPr>
              <w:t>28</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101950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45</w:t>
            </w:r>
            <w:r w:rsidR="00EC4C72" w:rsidRPr="006157E7">
              <w:rPr>
                <w:rFonts w:ascii="Arial" w:hAnsi="Arial" w:cs="Arial"/>
              </w:rPr>
              <w:t>,</w:t>
            </w:r>
            <w:r w:rsidRPr="006157E7">
              <w:rPr>
                <w:rFonts w:ascii="Arial" w:hAnsi="Arial" w:cs="Arial"/>
              </w:rPr>
              <w:t>20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102696</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42</w:t>
            </w:r>
            <w:r w:rsidR="00EC4C72" w:rsidRPr="006157E7">
              <w:rPr>
                <w:rFonts w:ascii="Arial" w:hAnsi="Arial" w:cs="Arial"/>
              </w:rPr>
              <w:t>,</w:t>
            </w:r>
            <w:r w:rsidRPr="006157E7">
              <w:rPr>
                <w:rFonts w:ascii="Arial" w:hAnsi="Arial" w:cs="Arial"/>
              </w:rPr>
              <w:t>83</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73886</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29</w:t>
            </w:r>
            <w:r w:rsidR="00EC4C72" w:rsidRPr="006157E7">
              <w:rPr>
                <w:rFonts w:ascii="Arial" w:hAnsi="Arial" w:cs="Arial"/>
              </w:rPr>
              <w:t>,</w:t>
            </w:r>
            <w:r w:rsidRPr="006157E7">
              <w:rPr>
                <w:rFonts w:ascii="Arial" w:hAnsi="Arial" w:cs="Arial"/>
              </w:rPr>
              <w:t>71</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89660</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30</w:t>
            </w:r>
            <w:r w:rsidR="00EC4C72" w:rsidRPr="006157E7">
              <w:rPr>
                <w:rFonts w:ascii="Arial" w:hAnsi="Arial" w:cs="Arial"/>
              </w:rPr>
              <w:t>,</w:t>
            </w:r>
            <w:r w:rsidRPr="006157E7">
              <w:rPr>
                <w:rFonts w:ascii="Arial" w:hAnsi="Arial" w:cs="Arial"/>
              </w:rPr>
              <w:t>95</w:t>
            </w:r>
          </w:p>
        </w:tc>
      </w:tr>
      <w:tr w:rsidR="00F065B7" w:rsidRPr="00410EDF" w:rsidTr="00EC4C72">
        <w:trPr>
          <w:jc w:val="center"/>
        </w:trPr>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Altele</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62"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63"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64" w:type="dxa"/>
          </w:tcPr>
          <w:p w:rsidR="00F065B7" w:rsidRPr="006157E7" w:rsidRDefault="00F065B7" w:rsidP="00C625DB">
            <w:pPr>
              <w:spacing w:after="0" w:line="240" w:lineRule="auto"/>
              <w:rPr>
                <w:rFonts w:ascii="Arial" w:hAnsi="Arial" w:cs="Arial"/>
                <w:b/>
              </w:rPr>
            </w:pPr>
            <w:r w:rsidRPr="006157E7">
              <w:rPr>
                <w:rFonts w:ascii="Arial" w:hAnsi="Arial" w:cs="Arial"/>
              </w:rPr>
              <w:t>0</w:t>
            </w:r>
          </w:p>
        </w:tc>
      </w:tr>
    </w:tbl>
    <w:p w:rsidR="00F065B7" w:rsidRPr="00410EDF" w:rsidRDefault="00F065B7" w:rsidP="00C625DB">
      <w:pPr>
        <w:spacing w:after="0" w:line="240" w:lineRule="auto"/>
        <w:rPr>
          <w:rFonts w:ascii="Arial" w:hAnsi="Arial" w:cs="Arial"/>
          <w:b/>
          <w:sz w:val="24"/>
          <w:szCs w:val="24"/>
        </w:rPr>
      </w:pPr>
    </w:p>
    <w:p w:rsidR="00F065B7" w:rsidRPr="00410EDF" w:rsidRDefault="00F065B7" w:rsidP="00C625DB">
      <w:pPr>
        <w:spacing w:after="0" w:line="240" w:lineRule="auto"/>
        <w:rPr>
          <w:rFonts w:ascii="Arial" w:hAnsi="Arial" w:cs="Arial"/>
          <w:sz w:val="24"/>
          <w:szCs w:val="24"/>
        </w:rPr>
      </w:pPr>
      <w:r w:rsidRPr="00410EDF">
        <w:rPr>
          <w:rFonts w:ascii="Arial" w:hAnsi="Arial" w:cs="Arial"/>
          <w:sz w:val="24"/>
          <w:szCs w:val="24"/>
        </w:rPr>
        <w:t xml:space="preserve">Tabel nr. VII.1.3.2.3  Deșeuri de ambalaje reciclate la nivel național </w:t>
      </w: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tblPr>
      <w:tblGrid>
        <w:gridCol w:w="1242"/>
        <w:gridCol w:w="951"/>
        <w:gridCol w:w="787"/>
        <w:gridCol w:w="978"/>
        <w:gridCol w:w="787"/>
        <w:gridCol w:w="978"/>
        <w:gridCol w:w="787"/>
        <w:gridCol w:w="978"/>
        <w:gridCol w:w="787"/>
        <w:gridCol w:w="978"/>
        <w:gridCol w:w="787"/>
      </w:tblGrid>
      <w:tr w:rsidR="00F065B7" w:rsidRPr="00410EDF" w:rsidTr="008914B8">
        <w:tc>
          <w:tcPr>
            <w:tcW w:w="1242" w:type="dxa"/>
            <w:vMerge w:val="restart"/>
            <w:shd w:val="clear" w:color="auto" w:fill="EEECE1" w:themeFill="background2"/>
          </w:tcPr>
          <w:p w:rsidR="00F065B7" w:rsidRPr="006157E7" w:rsidRDefault="00F065B7" w:rsidP="00C625DB">
            <w:pPr>
              <w:spacing w:after="0" w:line="240" w:lineRule="auto"/>
              <w:rPr>
                <w:rFonts w:ascii="Arial" w:hAnsi="Arial" w:cs="Arial"/>
                <w:b/>
              </w:rPr>
            </w:pPr>
            <w:r w:rsidRPr="006157E7">
              <w:rPr>
                <w:rFonts w:ascii="Arial" w:hAnsi="Arial" w:cs="Arial"/>
              </w:rPr>
              <w:t>Tip material</w:t>
            </w:r>
          </w:p>
        </w:tc>
        <w:tc>
          <w:tcPr>
            <w:tcW w:w="1551"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2010</w:t>
            </w:r>
          </w:p>
        </w:tc>
        <w:tc>
          <w:tcPr>
            <w:tcW w:w="1765"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2011</w:t>
            </w:r>
          </w:p>
        </w:tc>
        <w:tc>
          <w:tcPr>
            <w:tcW w:w="1765"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2012</w:t>
            </w:r>
          </w:p>
        </w:tc>
        <w:tc>
          <w:tcPr>
            <w:tcW w:w="1765"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2013</w:t>
            </w:r>
          </w:p>
        </w:tc>
        <w:tc>
          <w:tcPr>
            <w:tcW w:w="1765" w:type="dxa"/>
            <w:gridSpan w:val="2"/>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rPr>
              <w:t>2014</w:t>
            </w:r>
          </w:p>
        </w:tc>
      </w:tr>
      <w:tr w:rsidR="00F065B7" w:rsidRPr="00410EDF" w:rsidTr="008914B8">
        <w:tc>
          <w:tcPr>
            <w:tcW w:w="1242" w:type="dxa"/>
            <w:vMerge/>
            <w:shd w:val="clear" w:color="auto" w:fill="EEECE1" w:themeFill="background2"/>
          </w:tcPr>
          <w:p w:rsidR="00F065B7" w:rsidRPr="006157E7" w:rsidRDefault="00F065B7" w:rsidP="00C625DB">
            <w:pPr>
              <w:spacing w:after="0" w:line="240" w:lineRule="auto"/>
              <w:rPr>
                <w:rFonts w:ascii="Arial" w:hAnsi="Arial" w:cs="Arial"/>
                <w:b/>
              </w:rPr>
            </w:pPr>
          </w:p>
        </w:tc>
        <w:tc>
          <w:tcPr>
            <w:tcW w:w="764"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787"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c>
          <w:tcPr>
            <w:tcW w:w="978"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787"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c>
          <w:tcPr>
            <w:tcW w:w="978"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787"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c>
          <w:tcPr>
            <w:tcW w:w="978"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787"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c>
          <w:tcPr>
            <w:tcW w:w="978"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t ]</w:t>
            </w:r>
          </w:p>
        </w:tc>
        <w:tc>
          <w:tcPr>
            <w:tcW w:w="787" w:type="dxa"/>
            <w:shd w:val="clear" w:color="auto" w:fill="EEECE1" w:themeFill="background2"/>
          </w:tcPr>
          <w:p w:rsidR="00F065B7" w:rsidRPr="006157E7" w:rsidRDefault="00F065B7" w:rsidP="00C625DB">
            <w:pPr>
              <w:spacing w:after="0" w:line="240" w:lineRule="auto"/>
              <w:jc w:val="center"/>
              <w:rPr>
                <w:rFonts w:ascii="Arial" w:hAnsi="Arial" w:cs="Arial"/>
                <w:b/>
              </w:rPr>
            </w:pPr>
            <w:r w:rsidRPr="006157E7">
              <w:rPr>
                <w:rFonts w:ascii="Arial" w:hAnsi="Arial" w:cs="Arial"/>
                <w:lang w:val="en-US"/>
              </w:rPr>
              <w:t>[</w:t>
            </w:r>
            <w:r w:rsidRPr="006157E7">
              <w:rPr>
                <w:rFonts w:ascii="Arial" w:hAnsi="Arial" w:cs="Arial"/>
              </w:rPr>
              <w:t xml:space="preserve"> % ]</w:t>
            </w:r>
          </w:p>
        </w:tc>
      </w:tr>
      <w:tr w:rsidR="00F065B7" w:rsidRPr="00410EDF" w:rsidTr="00EC4C72">
        <w:tc>
          <w:tcPr>
            <w:tcW w:w="1242" w:type="dxa"/>
          </w:tcPr>
          <w:p w:rsidR="00F065B7" w:rsidRPr="006157E7" w:rsidRDefault="00F065B7" w:rsidP="00C625DB">
            <w:pPr>
              <w:spacing w:after="0" w:line="240" w:lineRule="auto"/>
              <w:rPr>
                <w:rFonts w:ascii="Arial" w:hAnsi="Arial" w:cs="Arial"/>
                <w:b/>
              </w:rPr>
            </w:pPr>
            <w:r w:rsidRPr="006157E7">
              <w:rPr>
                <w:rFonts w:ascii="Arial" w:hAnsi="Arial" w:cs="Arial"/>
              </w:rPr>
              <w:t>Sticlă</w:t>
            </w:r>
          </w:p>
        </w:tc>
        <w:tc>
          <w:tcPr>
            <w:tcW w:w="764"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91031</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56</w:t>
            </w:r>
            <w:r w:rsidR="00EC4C72" w:rsidRPr="006157E7">
              <w:rPr>
                <w:rFonts w:ascii="Arial" w:hAnsi="Arial" w:cs="Arial"/>
              </w:rPr>
              <w:t>,</w:t>
            </w:r>
            <w:r w:rsidRPr="006157E7">
              <w:rPr>
                <w:rFonts w:ascii="Arial" w:hAnsi="Arial" w:cs="Arial"/>
              </w:rPr>
              <w:t>78</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83790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59</w:t>
            </w:r>
            <w:r w:rsidR="00EC4C72" w:rsidRPr="006157E7">
              <w:rPr>
                <w:rFonts w:ascii="Arial" w:hAnsi="Arial" w:cs="Arial"/>
              </w:rPr>
              <w:t>,</w:t>
            </w:r>
            <w:r w:rsidRPr="006157E7">
              <w:rPr>
                <w:rFonts w:ascii="Arial" w:hAnsi="Arial" w:cs="Arial"/>
              </w:rPr>
              <w:t>97</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106192</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66</w:t>
            </w:r>
            <w:r w:rsidR="00EC4C72" w:rsidRPr="006157E7">
              <w:rPr>
                <w:rFonts w:ascii="Arial" w:hAnsi="Arial" w:cs="Arial"/>
              </w:rPr>
              <w:t>,</w:t>
            </w:r>
            <w:r w:rsidRPr="006157E7">
              <w:rPr>
                <w:rFonts w:ascii="Arial" w:hAnsi="Arial" w:cs="Arial"/>
              </w:rPr>
              <w:t>26</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73467</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49</w:t>
            </w:r>
            <w:r w:rsidR="00EC4C72" w:rsidRPr="006157E7">
              <w:rPr>
                <w:rFonts w:ascii="Arial" w:hAnsi="Arial" w:cs="Arial"/>
              </w:rPr>
              <w:t>,</w:t>
            </w:r>
            <w:r w:rsidRPr="006157E7">
              <w:rPr>
                <w:rFonts w:ascii="Arial" w:hAnsi="Arial" w:cs="Arial"/>
              </w:rPr>
              <w:t>24</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92088</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55</w:t>
            </w:r>
            <w:r w:rsidR="00EC4C72" w:rsidRPr="006157E7">
              <w:rPr>
                <w:rFonts w:ascii="Arial" w:hAnsi="Arial" w:cs="Arial"/>
              </w:rPr>
              <w:t>,</w:t>
            </w:r>
            <w:r w:rsidRPr="006157E7">
              <w:rPr>
                <w:rFonts w:ascii="Arial" w:hAnsi="Arial" w:cs="Arial"/>
              </w:rPr>
              <w:t>97</w:t>
            </w:r>
          </w:p>
        </w:tc>
      </w:tr>
      <w:tr w:rsidR="00F065B7" w:rsidRPr="00410EDF" w:rsidTr="00EC4C72">
        <w:tc>
          <w:tcPr>
            <w:tcW w:w="1242" w:type="dxa"/>
          </w:tcPr>
          <w:p w:rsidR="00F065B7" w:rsidRPr="006157E7" w:rsidRDefault="00F065B7" w:rsidP="00C625DB">
            <w:pPr>
              <w:spacing w:after="0" w:line="240" w:lineRule="auto"/>
              <w:rPr>
                <w:rFonts w:ascii="Arial" w:hAnsi="Arial" w:cs="Arial"/>
                <w:b/>
              </w:rPr>
            </w:pPr>
            <w:r w:rsidRPr="006157E7">
              <w:rPr>
                <w:rFonts w:ascii="Arial" w:hAnsi="Arial" w:cs="Arial"/>
              </w:rPr>
              <w:t>Plastic</w:t>
            </w:r>
          </w:p>
        </w:tc>
        <w:tc>
          <w:tcPr>
            <w:tcW w:w="764"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79391</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28</w:t>
            </w:r>
            <w:r w:rsidR="00EC4C72" w:rsidRPr="006157E7">
              <w:rPr>
                <w:rFonts w:ascii="Arial" w:hAnsi="Arial" w:cs="Arial"/>
              </w:rPr>
              <w:t>,</w:t>
            </w:r>
            <w:r w:rsidRPr="006157E7">
              <w:rPr>
                <w:rFonts w:ascii="Arial" w:hAnsi="Arial" w:cs="Arial"/>
              </w:rPr>
              <w:t>24</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112460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40</w:t>
            </w:r>
            <w:r w:rsidR="00EC4C72" w:rsidRPr="006157E7">
              <w:rPr>
                <w:rFonts w:ascii="Arial" w:hAnsi="Arial" w:cs="Arial"/>
              </w:rPr>
              <w:t>,</w:t>
            </w:r>
            <w:r w:rsidRPr="006157E7">
              <w:rPr>
                <w:rFonts w:ascii="Arial" w:hAnsi="Arial" w:cs="Arial"/>
              </w:rPr>
              <w:t>34</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152852</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51</w:t>
            </w:r>
            <w:r w:rsidR="00EC4C72" w:rsidRPr="006157E7">
              <w:rPr>
                <w:rFonts w:ascii="Arial" w:hAnsi="Arial" w:cs="Arial"/>
              </w:rPr>
              <w:t>,</w:t>
            </w:r>
            <w:r w:rsidRPr="006157E7">
              <w:rPr>
                <w:rFonts w:ascii="Arial" w:hAnsi="Arial" w:cs="Arial"/>
              </w:rPr>
              <w:t>29</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149940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51</w:t>
            </w:r>
            <w:r w:rsidR="00EC4C72" w:rsidRPr="006157E7">
              <w:rPr>
                <w:rFonts w:ascii="Arial" w:hAnsi="Arial" w:cs="Arial"/>
              </w:rPr>
              <w:t>,</w:t>
            </w:r>
            <w:r w:rsidRPr="006157E7">
              <w:rPr>
                <w:rFonts w:ascii="Arial" w:hAnsi="Arial" w:cs="Arial"/>
              </w:rPr>
              <w:t>65</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166279</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49</w:t>
            </w:r>
            <w:r w:rsidR="00EC4C72" w:rsidRPr="006157E7">
              <w:rPr>
                <w:rFonts w:ascii="Arial" w:hAnsi="Arial" w:cs="Arial"/>
              </w:rPr>
              <w:t>,</w:t>
            </w:r>
            <w:r w:rsidRPr="006157E7">
              <w:rPr>
                <w:rFonts w:ascii="Arial" w:hAnsi="Arial" w:cs="Arial"/>
              </w:rPr>
              <w:t>37</w:t>
            </w:r>
          </w:p>
        </w:tc>
      </w:tr>
      <w:tr w:rsidR="00F065B7" w:rsidRPr="00410EDF" w:rsidTr="00EC4C72">
        <w:tc>
          <w:tcPr>
            <w:tcW w:w="1242" w:type="dxa"/>
          </w:tcPr>
          <w:p w:rsidR="00F065B7" w:rsidRPr="006157E7" w:rsidRDefault="00F065B7" w:rsidP="00C625DB">
            <w:pPr>
              <w:spacing w:after="0" w:line="240" w:lineRule="auto"/>
              <w:rPr>
                <w:rFonts w:ascii="Arial" w:hAnsi="Arial" w:cs="Arial"/>
                <w:b/>
              </w:rPr>
            </w:pPr>
            <w:r w:rsidRPr="006157E7">
              <w:rPr>
                <w:rFonts w:ascii="Arial" w:hAnsi="Arial" w:cs="Arial"/>
              </w:rPr>
              <w:t>Hârtie și carton</w:t>
            </w:r>
          </w:p>
        </w:tc>
        <w:tc>
          <w:tcPr>
            <w:tcW w:w="764"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177636</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66</w:t>
            </w:r>
            <w:r w:rsidR="00EC4C72" w:rsidRPr="006157E7">
              <w:rPr>
                <w:rFonts w:ascii="Arial" w:hAnsi="Arial" w:cs="Arial"/>
              </w:rPr>
              <w:t>,</w:t>
            </w:r>
            <w:r w:rsidRPr="006157E7">
              <w:rPr>
                <w:rFonts w:ascii="Arial" w:hAnsi="Arial" w:cs="Arial"/>
              </w:rPr>
              <w:t>78</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191990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65</w:t>
            </w:r>
            <w:r w:rsidR="00EC4C72" w:rsidRPr="006157E7">
              <w:rPr>
                <w:rFonts w:ascii="Arial" w:hAnsi="Arial" w:cs="Arial"/>
              </w:rPr>
              <w:t>,</w:t>
            </w:r>
            <w:r w:rsidRPr="006157E7">
              <w:rPr>
                <w:rFonts w:ascii="Arial" w:hAnsi="Arial" w:cs="Arial"/>
              </w:rPr>
              <w:t>50</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211698</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69</w:t>
            </w:r>
            <w:r w:rsidR="00EC4C72" w:rsidRPr="006157E7">
              <w:rPr>
                <w:rFonts w:ascii="Arial" w:hAnsi="Arial" w:cs="Arial"/>
              </w:rPr>
              <w:t>,</w:t>
            </w:r>
            <w:r w:rsidRPr="006157E7">
              <w:rPr>
                <w:rFonts w:ascii="Arial" w:hAnsi="Arial" w:cs="Arial"/>
              </w:rPr>
              <w:t>84</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232580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74</w:t>
            </w:r>
            <w:r w:rsidR="00EC4C72" w:rsidRPr="006157E7">
              <w:rPr>
                <w:rFonts w:ascii="Arial" w:hAnsi="Arial" w:cs="Arial"/>
              </w:rPr>
              <w:t>,</w:t>
            </w:r>
            <w:r w:rsidRPr="006157E7">
              <w:rPr>
                <w:rFonts w:ascii="Arial" w:hAnsi="Arial" w:cs="Arial"/>
              </w:rPr>
              <w:t>65</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323767</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83</w:t>
            </w:r>
            <w:r w:rsidR="00EC4C72" w:rsidRPr="006157E7">
              <w:rPr>
                <w:rFonts w:ascii="Arial" w:hAnsi="Arial" w:cs="Arial"/>
              </w:rPr>
              <w:t>,</w:t>
            </w:r>
            <w:r w:rsidRPr="006157E7">
              <w:rPr>
                <w:rFonts w:ascii="Arial" w:hAnsi="Arial" w:cs="Arial"/>
              </w:rPr>
              <w:t>43</w:t>
            </w:r>
          </w:p>
        </w:tc>
      </w:tr>
      <w:tr w:rsidR="00F065B7" w:rsidRPr="00410EDF" w:rsidTr="00EC4C72">
        <w:tc>
          <w:tcPr>
            <w:tcW w:w="1242" w:type="dxa"/>
          </w:tcPr>
          <w:p w:rsidR="00F065B7" w:rsidRPr="006157E7" w:rsidRDefault="00F065B7" w:rsidP="00C625DB">
            <w:pPr>
              <w:spacing w:after="0" w:line="240" w:lineRule="auto"/>
              <w:rPr>
                <w:rFonts w:ascii="Arial" w:hAnsi="Arial" w:cs="Arial"/>
                <w:b/>
              </w:rPr>
            </w:pPr>
            <w:r w:rsidRPr="006157E7">
              <w:rPr>
                <w:rFonts w:ascii="Arial" w:hAnsi="Arial" w:cs="Arial"/>
              </w:rPr>
              <w:t>Metal</w:t>
            </w:r>
          </w:p>
        </w:tc>
        <w:tc>
          <w:tcPr>
            <w:tcW w:w="764"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36267</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65</w:t>
            </w:r>
            <w:r w:rsidR="00EC4C72" w:rsidRPr="006157E7">
              <w:rPr>
                <w:rFonts w:ascii="Arial" w:hAnsi="Arial" w:cs="Arial"/>
              </w:rPr>
              <w:t>,</w:t>
            </w:r>
            <w:r w:rsidRPr="006157E7">
              <w:rPr>
                <w:rFonts w:ascii="Arial" w:hAnsi="Arial" w:cs="Arial"/>
              </w:rPr>
              <w:t>68</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34410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62</w:t>
            </w:r>
            <w:r w:rsidR="00EC4C72" w:rsidRPr="006157E7">
              <w:rPr>
                <w:rFonts w:ascii="Arial" w:hAnsi="Arial" w:cs="Arial"/>
              </w:rPr>
              <w:t>,</w:t>
            </w:r>
            <w:r w:rsidRPr="006157E7">
              <w:rPr>
                <w:rFonts w:ascii="Arial" w:hAnsi="Arial" w:cs="Arial"/>
              </w:rPr>
              <w:t>30</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32398</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55</w:t>
            </w:r>
            <w:r w:rsidR="00EC4C72" w:rsidRPr="006157E7">
              <w:rPr>
                <w:rFonts w:ascii="Arial" w:hAnsi="Arial" w:cs="Arial"/>
              </w:rPr>
              <w:t>,</w:t>
            </w:r>
            <w:r w:rsidRPr="006157E7">
              <w:rPr>
                <w:rFonts w:ascii="Arial" w:hAnsi="Arial" w:cs="Arial"/>
              </w:rPr>
              <w:t>54</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28732</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52</w:t>
            </w:r>
            <w:r w:rsidR="00EC4C72" w:rsidRPr="006157E7">
              <w:rPr>
                <w:rFonts w:ascii="Arial" w:hAnsi="Arial" w:cs="Arial"/>
              </w:rPr>
              <w:t>,</w:t>
            </w:r>
            <w:r w:rsidRPr="006157E7">
              <w:rPr>
                <w:rFonts w:ascii="Arial" w:hAnsi="Arial" w:cs="Arial"/>
              </w:rPr>
              <w:t>81</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36462</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55</w:t>
            </w:r>
            <w:r w:rsidR="00EC4C72" w:rsidRPr="006157E7">
              <w:rPr>
                <w:rFonts w:ascii="Arial" w:hAnsi="Arial" w:cs="Arial"/>
              </w:rPr>
              <w:t>,</w:t>
            </w:r>
            <w:r w:rsidRPr="006157E7">
              <w:rPr>
                <w:rFonts w:ascii="Arial" w:hAnsi="Arial" w:cs="Arial"/>
              </w:rPr>
              <w:t>53</w:t>
            </w:r>
          </w:p>
        </w:tc>
      </w:tr>
      <w:tr w:rsidR="00F065B7" w:rsidRPr="00410EDF" w:rsidTr="00EC4C72">
        <w:tc>
          <w:tcPr>
            <w:tcW w:w="1242" w:type="dxa"/>
          </w:tcPr>
          <w:p w:rsidR="00F065B7" w:rsidRPr="006157E7" w:rsidRDefault="00F065B7" w:rsidP="00C625DB">
            <w:pPr>
              <w:spacing w:after="0" w:line="240" w:lineRule="auto"/>
              <w:rPr>
                <w:rFonts w:ascii="Arial" w:hAnsi="Arial" w:cs="Arial"/>
                <w:b/>
              </w:rPr>
            </w:pPr>
            <w:r w:rsidRPr="006157E7">
              <w:rPr>
                <w:rFonts w:ascii="Arial" w:hAnsi="Arial" w:cs="Arial"/>
              </w:rPr>
              <w:t>Lemn</w:t>
            </w:r>
          </w:p>
        </w:tc>
        <w:tc>
          <w:tcPr>
            <w:tcW w:w="764"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38451</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18</w:t>
            </w:r>
            <w:r w:rsidR="00EC4C72" w:rsidRPr="006157E7">
              <w:rPr>
                <w:rFonts w:ascii="Arial" w:hAnsi="Arial" w:cs="Arial"/>
              </w:rPr>
              <w:t>,</w:t>
            </w:r>
            <w:r w:rsidRPr="006157E7">
              <w:rPr>
                <w:rFonts w:ascii="Arial" w:hAnsi="Arial" w:cs="Arial"/>
              </w:rPr>
              <w:t>15</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73390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32</w:t>
            </w:r>
            <w:r w:rsidR="00EC4C72" w:rsidRPr="006157E7">
              <w:rPr>
                <w:rFonts w:ascii="Arial" w:hAnsi="Arial" w:cs="Arial"/>
              </w:rPr>
              <w:t>,</w:t>
            </w:r>
            <w:r w:rsidRPr="006157E7">
              <w:rPr>
                <w:rFonts w:ascii="Arial" w:hAnsi="Arial" w:cs="Arial"/>
              </w:rPr>
              <w:t>54</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98660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41</w:t>
            </w:r>
            <w:r w:rsidR="00EC4C72" w:rsidRPr="006157E7">
              <w:rPr>
                <w:rFonts w:ascii="Arial" w:hAnsi="Arial" w:cs="Arial"/>
              </w:rPr>
              <w:t>,</w:t>
            </w:r>
            <w:r w:rsidRPr="006157E7">
              <w:rPr>
                <w:rFonts w:ascii="Arial" w:hAnsi="Arial" w:cs="Arial"/>
              </w:rPr>
              <w:t>15</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71902</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28</w:t>
            </w:r>
            <w:r w:rsidR="00EC4C72" w:rsidRPr="006157E7">
              <w:rPr>
                <w:rFonts w:ascii="Arial" w:hAnsi="Arial" w:cs="Arial"/>
              </w:rPr>
              <w:t>,</w:t>
            </w:r>
            <w:r w:rsidRPr="006157E7">
              <w:rPr>
                <w:rFonts w:ascii="Arial" w:hAnsi="Arial" w:cs="Arial"/>
              </w:rPr>
              <w:t>92</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77111</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26</w:t>
            </w:r>
            <w:r w:rsidR="00EC4C72" w:rsidRPr="006157E7">
              <w:rPr>
                <w:rFonts w:ascii="Arial" w:hAnsi="Arial" w:cs="Arial"/>
              </w:rPr>
              <w:t>,</w:t>
            </w:r>
            <w:r w:rsidRPr="006157E7">
              <w:rPr>
                <w:rFonts w:ascii="Arial" w:hAnsi="Arial" w:cs="Arial"/>
              </w:rPr>
              <w:t>62</w:t>
            </w:r>
          </w:p>
        </w:tc>
      </w:tr>
      <w:tr w:rsidR="00F065B7" w:rsidRPr="00410EDF" w:rsidTr="00EC4C72">
        <w:tc>
          <w:tcPr>
            <w:tcW w:w="1242" w:type="dxa"/>
          </w:tcPr>
          <w:p w:rsidR="00F065B7" w:rsidRPr="006157E7" w:rsidRDefault="00F065B7" w:rsidP="00C625DB">
            <w:pPr>
              <w:spacing w:after="0" w:line="240" w:lineRule="auto"/>
              <w:rPr>
                <w:rFonts w:ascii="Arial" w:hAnsi="Arial" w:cs="Arial"/>
                <w:b/>
              </w:rPr>
            </w:pPr>
            <w:r w:rsidRPr="006157E7">
              <w:rPr>
                <w:rFonts w:ascii="Arial" w:hAnsi="Arial" w:cs="Arial"/>
              </w:rPr>
              <w:t>Altele</w:t>
            </w:r>
          </w:p>
        </w:tc>
        <w:tc>
          <w:tcPr>
            <w:tcW w:w="764"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978"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c>
          <w:tcPr>
            <w:tcW w:w="787" w:type="dxa"/>
            <w:vAlign w:val="center"/>
          </w:tcPr>
          <w:p w:rsidR="00F065B7" w:rsidRPr="006157E7" w:rsidRDefault="00F065B7" w:rsidP="00C625DB">
            <w:pPr>
              <w:spacing w:after="0" w:line="240" w:lineRule="auto"/>
              <w:rPr>
                <w:rFonts w:ascii="Arial" w:hAnsi="Arial" w:cs="Arial"/>
                <w:b/>
              </w:rPr>
            </w:pPr>
            <w:r w:rsidRPr="006157E7">
              <w:rPr>
                <w:rFonts w:ascii="Arial" w:hAnsi="Arial" w:cs="Arial"/>
              </w:rPr>
              <w:t>0</w:t>
            </w:r>
          </w:p>
        </w:tc>
      </w:tr>
    </w:tbl>
    <w:p w:rsidR="00F065B7" w:rsidRPr="00410EDF" w:rsidRDefault="00F065B7" w:rsidP="00C625DB">
      <w:pPr>
        <w:spacing w:after="0" w:line="240" w:lineRule="auto"/>
        <w:rPr>
          <w:rFonts w:ascii="Arial" w:hAnsi="Arial" w:cs="Arial"/>
          <w:b/>
          <w:sz w:val="24"/>
          <w:szCs w:val="24"/>
        </w:rPr>
      </w:pPr>
    </w:p>
    <w:p w:rsidR="00F065B7" w:rsidRPr="00410EDF" w:rsidRDefault="00F065B7" w:rsidP="00C625DB">
      <w:pPr>
        <w:tabs>
          <w:tab w:val="left" w:leader="dot" w:pos="9356"/>
        </w:tabs>
        <w:spacing w:after="0" w:line="240" w:lineRule="auto"/>
        <w:rPr>
          <w:rFonts w:ascii="Arial" w:hAnsi="Arial" w:cs="Arial"/>
          <w:b/>
          <w:i/>
          <w:sz w:val="24"/>
          <w:szCs w:val="24"/>
        </w:rPr>
      </w:pPr>
      <w:r w:rsidRPr="00410EDF">
        <w:rPr>
          <w:rFonts w:ascii="Arial" w:hAnsi="Arial" w:cs="Arial"/>
          <w:b/>
          <w:sz w:val="24"/>
          <w:szCs w:val="24"/>
        </w:rPr>
        <w:t xml:space="preserve">     VII.1.3.3. </w:t>
      </w:r>
      <w:r w:rsidRPr="00410EDF">
        <w:rPr>
          <w:rFonts w:ascii="Arial" w:hAnsi="Arial" w:cs="Arial"/>
          <w:b/>
          <w:i/>
          <w:sz w:val="24"/>
          <w:szCs w:val="24"/>
        </w:rPr>
        <w:t xml:space="preserve">Vehicule scoase din uz (VSU) </w:t>
      </w:r>
    </w:p>
    <w:p w:rsidR="00F065B7" w:rsidRDefault="00F065B7" w:rsidP="00C625DB">
      <w:pPr>
        <w:autoSpaceDE w:val="0"/>
        <w:autoSpaceDN w:val="0"/>
        <w:adjustRightInd w:val="0"/>
        <w:spacing w:after="0" w:line="240" w:lineRule="auto"/>
        <w:ind w:firstLine="737"/>
        <w:jc w:val="both"/>
        <w:rPr>
          <w:rFonts w:ascii="Arial" w:hAnsi="Arial" w:cs="Arial"/>
          <w:sz w:val="24"/>
          <w:szCs w:val="24"/>
        </w:rPr>
      </w:pPr>
      <w:r w:rsidRPr="00410EDF">
        <w:rPr>
          <w:rFonts w:ascii="Arial" w:hAnsi="Arial" w:cs="Arial"/>
          <w:sz w:val="24"/>
          <w:szCs w:val="24"/>
        </w:rPr>
        <w:t>Gestiunea rațională a vehiculelor scoase din uz (VSU) prezintă o importanță majoră, deoarece autoturismele existente conţin materiale cum ar fi plumb, mercur, cadmiu, crom hexavalent şi alte substanţe nocive asupra mediului. În ceea ce priveşte greutatea, aproximativ trei sferturi din maşină sunt reprezentate din oţel şi aluminiu, care în mod normal trebuie reciclate. Restul, este reprezentat de materiale plastice, care sunt eliminate prin incinerare sau în depozitele de deşeuri. De asemenea autovehicule conţin substanţe lichide periculoase (antigel, lichid de frână, ulei, etc), care sunt nocive pentru mediu dacă nu sunt manipulate în mod corespunzător.</w:t>
      </w:r>
    </w:p>
    <w:p w:rsidR="006157E7" w:rsidRDefault="006157E7" w:rsidP="00C625DB">
      <w:pPr>
        <w:autoSpaceDE w:val="0"/>
        <w:autoSpaceDN w:val="0"/>
        <w:adjustRightInd w:val="0"/>
        <w:spacing w:after="0" w:line="240" w:lineRule="auto"/>
        <w:ind w:firstLine="737"/>
        <w:jc w:val="both"/>
        <w:rPr>
          <w:rFonts w:ascii="Arial" w:hAnsi="Arial" w:cs="Arial"/>
          <w:sz w:val="24"/>
          <w:szCs w:val="24"/>
        </w:rPr>
      </w:pPr>
    </w:p>
    <w:p w:rsidR="006157E7" w:rsidRDefault="006157E7" w:rsidP="00C625DB">
      <w:pPr>
        <w:autoSpaceDE w:val="0"/>
        <w:autoSpaceDN w:val="0"/>
        <w:adjustRightInd w:val="0"/>
        <w:spacing w:after="0" w:line="240" w:lineRule="auto"/>
        <w:ind w:firstLine="737"/>
        <w:jc w:val="both"/>
        <w:rPr>
          <w:rFonts w:ascii="Arial" w:hAnsi="Arial" w:cs="Arial"/>
          <w:sz w:val="24"/>
          <w:szCs w:val="24"/>
        </w:rPr>
      </w:pPr>
    </w:p>
    <w:p w:rsidR="006157E7" w:rsidRPr="00410EDF" w:rsidRDefault="006157E7" w:rsidP="00C625DB">
      <w:pPr>
        <w:autoSpaceDE w:val="0"/>
        <w:autoSpaceDN w:val="0"/>
        <w:adjustRightInd w:val="0"/>
        <w:spacing w:after="0" w:line="240" w:lineRule="auto"/>
        <w:ind w:firstLine="737"/>
        <w:jc w:val="both"/>
        <w:rPr>
          <w:rFonts w:ascii="Arial" w:hAnsi="Arial" w:cs="Arial"/>
          <w:b/>
          <w:sz w:val="24"/>
          <w:szCs w:val="24"/>
        </w:rPr>
      </w:pPr>
    </w:p>
    <w:p w:rsidR="00F065B7" w:rsidRPr="00410EDF" w:rsidRDefault="00F065B7" w:rsidP="00C625DB">
      <w:pPr>
        <w:autoSpaceDE w:val="0"/>
        <w:autoSpaceDN w:val="0"/>
        <w:adjustRightInd w:val="0"/>
        <w:spacing w:after="0" w:line="240" w:lineRule="auto"/>
        <w:ind w:firstLine="735"/>
        <w:jc w:val="both"/>
        <w:rPr>
          <w:rFonts w:ascii="Arial" w:hAnsi="Arial" w:cs="Arial"/>
          <w:b/>
          <w:sz w:val="24"/>
          <w:szCs w:val="24"/>
        </w:rPr>
      </w:pPr>
      <w:r w:rsidRPr="00410EDF">
        <w:rPr>
          <w:rFonts w:ascii="Arial" w:hAnsi="Arial" w:cs="Arial"/>
          <w:b/>
          <w:sz w:val="24"/>
          <w:szCs w:val="24"/>
        </w:rPr>
        <w:lastRenderedPageBreak/>
        <w:t xml:space="preserve">Contextul politicilor relevante de mediu: tinte si obiective </w:t>
      </w:r>
    </w:p>
    <w:p w:rsidR="00F065B7" w:rsidRPr="00410EDF" w:rsidRDefault="00F065B7" w:rsidP="00C625DB">
      <w:pPr>
        <w:autoSpaceDE w:val="0"/>
        <w:autoSpaceDN w:val="0"/>
        <w:adjustRightInd w:val="0"/>
        <w:spacing w:after="0" w:line="240" w:lineRule="auto"/>
        <w:ind w:firstLine="735"/>
        <w:jc w:val="both"/>
        <w:rPr>
          <w:rFonts w:ascii="Arial" w:hAnsi="Arial" w:cs="Arial"/>
          <w:b/>
          <w:sz w:val="24"/>
          <w:szCs w:val="24"/>
        </w:rPr>
      </w:pPr>
      <w:r w:rsidRPr="00410EDF">
        <w:rPr>
          <w:rFonts w:ascii="Arial" w:hAnsi="Arial" w:cs="Arial"/>
          <w:bCs/>
          <w:sz w:val="24"/>
          <w:szCs w:val="24"/>
        </w:rPr>
        <w:t xml:space="preserve">Legea nr. 212/2015 privind modalitatea de gestionare a vehiculelor şi a vehiculelor scoase din uz </w:t>
      </w:r>
      <w:r w:rsidRPr="00410EDF">
        <w:rPr>
          <w:rFonts w:ascii="Arial" w:hAnsi="Arial" w:cs="Arial"/>
          <w:sz w:val="24"/>
          <w:szCs w:val="24"/>
        </w:rPr>
        <w:t xml:space="preserve">este actul normativ prin care a fost transpusă în legislația națională Directiva 2000/53/CE privind vehiculele scoase din uz. Acest document: </w:t>
      </w:r>
    </w:p>
    <w:p w:rsidR="00F065B7" w:rsidRPr="00410EDF" w:rsidRDefault="00F065B7" w:rsidP="00252ED3">
      <w:pPr>
        <w:pStyle w:val="ListParagraph"/>
        <w:numPr>
          <w:ilvl w:val="0"/>
          <w:numId w:val="43"/>
        </w:numPr>
        <w:autoSpaceDE w:val="0"/>
        <w:autoSpaceDN w:val="0"/>
        <w:adjustRightInd w:val="0"/>
        <w:jc w:val="both"/>
        <w:rPr>
          <w:rFonts w:ascii="Arial" w:hAnsi="Arial" w:cs="Arial"/>
          <w:b/>
        </w:rPr>
      </w:pPr>
      <w:r w:rsidRPr="00410EDF">
        <w:rPr>
          <w:rFonts w:ascii="Arial" w:hAnsi="Arial" w:cs="Arial"/>
        </w:rPr>
        <w:t xml:space="preserve">reglementează măsurile de prevenire a producerii de deşeuri provenite de la vehiculele scoase din uz şi reutilizarea, reciclarea, precum şi alte forme de valorificare a vehiculelor scoase din uz şi a componentelor acestora, în vederea reducerii cantităţii de deşeuri destinate eliminării. </w:t>
      </w:r>
    </w:p>
    <w:p w:rsidR="00F065B7" w:rsidRPr="00410EDF" w:rsidRDefault="00F065B7" w:rsidP="00252ED3">
      <w:pPr>
        <w:pStyle w:val="ListParagraph"/>
        <w:numPr>
          <w:ilvl w:val="0"/>
          <w:numId w:val="43"/>
        </w:numPr>
        <w:autoSpaceDE w:val="0"/>
        <w:autoSpaceDN w:val="0"/>
        <w:adjustRightInd w:val="0"/>
        <w:jc w:val="both"/>
        <w:rPr>
          <w:rFonts w:ascii="Arial" w:hAnsi="Arial" w:cs="Arial"/>
          <w:b/>
        </w:rPr>
      </w:pPr>
      <w:r w:rsidRPr="00410EDF">
        <w:rPr>
          <w:rFonts w:ascii="Arial" w:hAnsi="Arial" w:cs="Arial"/>
        </w:rPr>
        <w:t xml:space="preserve">stabileşte măsuri pentru îmbunătăţirea din punct de vedere al protecţiei mediului a activităţilor agenţilor economici implicaţi în ciclul de viaţă al vehiculelor şi, în special, ale agenţilor economici direct implicaţi în tratarea vehiculelor scoase din uz. </w:t>
      </w:r>
    </w:p>
    <w:p w:rsidR="00F065B7" w:rsidRPr="00410EDF" w:rsidRDefault="00F065B7" w:rsidP="00252ED3">
      <w:pPr>
        <w:pStyle w:val="ListParagraph"/>
        <w:numPr>
          <w:ilvl w:val="0"/>
          <w:numId w:val="43"/>
        </w:numPr>
        <w:autoSpaceDE w:val="0"/>
        <w:autoSpaceDN w:val="0"/>
        <w:adjustRightInd w:val="0"/>
        <w:jc w:val="both"/>
        <w:rPr>
          <w:rFonts w:ascii="Arial" w:hAnsi="Arial" w:cs="Arial"/>
          <w:b/>
        </w:rPr>
      </w:pPr>
      <w:r w:rsidRPr="00410EDF">
        <w:rPr>
          <w:rFonts w:ascii="Arial" w:hAnsi="Arial" w:cs="Arial"/>
        </w:rPr>
        <w:t xml:space="preserve">se aplică cu respectarea legislaţiei naţionale privind standardele de siguranţă, emisiile în atmosferă şi nivelul emisiilor de zgomot, precum şi cele referitoare la protecţia solului şi a apei. </w:t>
      </w:r>
    </w:p>
    <w:p w:rsidR="00F065B7" w:rsidRPr="00410EDF" w:rsidRDefault="00F065B7" w:rsidP="00252ED3">
      <w:pPr>
        <w:pStyle w:val="ListParagraph"/>
        <w:numPr>
          <w:ilvl w:val="0"/>
          <w:numId w:val="43"/>
        </w:numPr>
        <w:autoSpaceDE w:val="0"/>
        <w:autoSpaceDN w:val="0"/>
        <w:adjustRightInd w:val="0"/>
        <w:jc w:val="both"/>
        <w:rPr>
          <w:rFonts w:ascii="Arial" w:hAnsi="Arial" w:cs="Arial"/>
          <w:b/>
        </w:rPr>
      </w:pPr>
      <w:r w:rsidRPr="00410EDF">
        <w:rPr>
          <w:rFonts w:ascii="Arial" w:hAnsi="Arial" w:cs="Arial"/>
        </w:rPr>
        <w:t>se aplică vehiculelor scoase din uz, inclusiv componentelor şi materialelor acestora, fără a se ţine seama de modul în care vehiculul a fost întreţinut sau reparat pe toată durata utilizării acestuia şi indiferent dacă acesta este echipat cu componente furnizate de producător sau cu alte componente a căror montare ca piese de schimb sau ca piese de înlocuire se realizează respectându-se reglementările naţionale în domeniu</w:t>
      </w:r>
    </w:p>
    <w:p w:rsidR="00F065B7" w:rsidRPr="00410EDF" w:rsidRDefault="00F065B7" w:rsidP="00C625DB">
      <w:pPr>
        <w:autoSpaceDE w:val="0"/>
        <w:autoSpaceDN w:val="0"/>
        <w:adjustRightInd w:val="0"/>
        <w:spacing w:after="0" w:line="240" w:lineRule="auto"/>
        <w:jc w:val="both"/>
        <w:rPr>
          <w:rFonts w:ascii="Arial" w:hAnsi="Arial" w:cs="Arial"/>
          <w:b/>
          <w:sz w:val="24"/>
          <w:szCs w:val="24"/>
        </w:rPr>
      </w:pPr>
      <w:r w:rsidRPr="00410EDF">
        <w:rPr>
          <w:rFonts w:ascii="Arial" w:hAnsi="Arial" w:cs="Arial"/>
          <w:sz w:val="24"/>
          <w:szCs w:val="24"/>
        </w:rPr>
        <w:t>Este de aşteptat ca numărul de vehicule scoase din uz să crească în mod semnificativ în România, acest lucru fiind justificat de tendinţa de creştere a numărului de vehicule scoase din uz din perioada 2005-2010, în care se observă iniţial o creştere ponderată, dar începând cu anul 2010-2011 creşterea a este semnificativă.</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Există o reţea de companii comerciale, care desfăşoară operaţiuni de colectare, dezmem</w:t>
      </w:r>
      <w:r w:rsidR="007C1699">
        <w:rPr>
          <w:rFonts w:ascii="Arial" w:hAnsi="Arial" w:cs="Arial"/>
          <w:sz w:val="24"/>
          <w:szCs w:val="24"/>
        </w:rPr>
        <w:t>BR</w:t>
      </w:r>
      <w:r w:rsidRPr="00410EDF">
        <w:rPr>
          <w:rFonts w:ascii="Arial" w:hAnsi="Arial" w:cs="Arial"/>
          <w:sz w:val="24"/>
          <w:szCs w:val="24"/>
        </w:rPr>
        <w:t>are şi valorificare a VSU. La primirea vehiculului uzat, operatorul economic eliberează certificatul de distrugere pe baza căruia se realizează radierea vehiculului, precum şi o notă în care se menţionează părţile componente lipsă.</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rPr>
      </w:pPr>
      <w:r w:rsidRPr="00410EDF">
        <w:rPr>
          <w:rFonts w:ascii="Arial" w:hAnsi="Arial" w:cs="Arial"/>
          <w:sz w:val="24"/>
          <w:szCs w:val="24"/>
        </w:rPr>
        <w:t xml:space="preserve">În judeţul </w:t>
      </w:r>
      <w:r w:rsidR="00217620">
        <w:rPr>
          <w:rFonts w:ascii="Arial" w:hAnsi="Arial" w:cs="Arial"/>
          <w:sz w:val="24"/>
          <w:szCs w:val="24"/>
        </w:rPr>
        <w:t>Brăila</w:t>
      </w:r>
      <w:r w:rsidRPr="00410EDF">
        <w:rPr>
          <w:rFonts w:ascii="Arial" w:hAnsi="Arial" w:cs="Arial"/>
          <w:sz w:val="24"/>
          <w:szCs w:val="24"/>
        </w:rPr>
        <w:t xml:space="preserve"> </w:t>
      </w:r>
      <w:r w:rsidR="00BB49A2" w:rsidRPr="00410EDF">
        <w:rPr>
          <w:rFonts w:ascii="Arial" w:hAnsi="Arial" w:cs="Arial"/>
          <w:sz w:val="24"/>
          <w:szCs w:val="24"/>
        </w:rPr>
        <w:t xml:space="preserve">pentru anul 2016 au fost autorizaţi </w:t>
      </w:r>
      <w:r w:rsidRPr="00410EDF">
        <w:rPr>
          <w:rFonts w:ascii="Arial" w:hAnsi="Arial" w:cs="Arial"/>
          <w:sz w:val="24"/>
          <w:szCs w:val="24"/>
        </w:rPr>
        <w:t>5 operatori economici pentru colectare VSU :</w:t>
      </w:r>
      <w:r w:rsidR="00B77C04" w:rsidRPr="00410EDF">
        <w:rPr>
          <w:rFonts w:ascii="Arial" w:hAnsi="Arial" w:cs="Arial"/>
          <w:sz w:val="24"/>
          <w:szCs w:val="24"/>
        </w:rPr>
        <w:t xml:space="preserve"> </w:t>
      </w:r>
      <w:r w:rsidRPr="00410EDF">
        <w:rPr>
          <w:rFonts w:ascii="Arial" w:hAnsi="Arial" w:cs="Arial"/>
          <w:sz w:val="24"/>
          <w:szCs w:val="24"/>
        </w:rPr>
        <w:t xml:space="preserve">SC APAN </w:t>
      </w:r>
      <w:r w:rsidR="00EB1AAD" w:rsidRPr="00410EDF">
        <w:rPr>
          <w:rFonts w:ascii="Arial" w:hAnsi="Arial" w:cs="Arial"/>
          <w:sz w:val="24"/>
          <w:szCs w:val="24"/>
        </w:rPr>
        <w:t xml:space="preserve">SRL , </w:t>
      </w:r>
      <w:r w:rsidRPr="00410EDF">
        <w:rPr>
          <w:rFonts w:ascii="Arial" w:hAnsi="Arial" w:cs="Arial"/>
          <w:sz w:val="24"/>
          <w:szCs w:val="24"/>
        </w:rPr>
        <w:t>SC APAN Motors</w:t>
      </w:r>
      <w:r w:rsidR="00EB1AAD" w:rsidRPr="00410EDF">
        <w:rPr>
          <w:rFonts w:ascii="Arial" w:hAnsi="Arial" w:cs="Arial"/>
          <w:sz w:val="24"/>
          <w:szCs w:val="24"/>
        </w:rPr>
        <w:t xml:space="preserve"> SRL, SC Miorița Com SRL, SC Autobulserv SRL și SC Corsani  SRL, iar ultimii trei </w:t>
      </w:r>
      <w:r w:rsidRPr="00410EDF">
        <w:rPr>
          <w:rFonts w:ascii="Arial" w:hAnsi="Arial" w:cs="Arial"/>
          <w:sz w:val="24"/>
          <w:szCs w:val="24"/>
        </w:rPr>
        <w:t>sunt autorizați și pentru tratare (dezmem</w:t>
      </w:r>
      <w:r w:rsidR="007C1699">
        <w:rPr>
          <w:rFonts w:ascii="Arial" w:hAnsi="Arial" w:cs="Arial"/>
          <w:sz w:val="24"/>
          <w:szCs w:val="24"/>
        </w:rPr>
        <w:t>BR</w:t>
      </w:r>
      <w:r w:rsidRPr="00410EDF">
        <w:rPr>
          <w:rFonts w:ascii="Arial" w:hAnsi="Arial" w:cs="Arial"/>
          <w:sz w:val="24"/>
          <w:szCs w:val="24"/>
        </w:rPr>
        <w:t>are</w:t>
      </w:r>
      <w:r w:rsidR="00EB1AAD" w:rsidRPr="00410EDF">
        <w:rPr>
          <w:rFonts w:ascii="Arial" w:hAnsi="Arial" w:cs="Arial"/>
          <w:sz w:val="24"/>
          <w:szCs w:val="24"/>
        </w:rPr>
        <w:t xml:space="preserve">). </w:t>
      </w:r>
      <w:r w:rsidR="00BB49A2" w:rsidRPr="00410EDF">
        <w:rPr>
          <w:rFonts w:ascii="Arial" w:hAnsi="Arial" w:cs="Arial"/>
          <w:sz w:val="24"/>
          <w:szCs w:val="24"/>
        </w:rPr>
        <w:t xml:space="preserve"> Numai SC Miorița</w:t>
      </w:r>
      <w:r w:rsidR="00EB1AAD" w:rsidRPr="00410EDF">
        <w:rPr>
          <w:rFonts w:ascii="Arial" w:hAnsi="Arial" w:cs="Arial"/>
          <w:sz w:val="24"/>
          <w:szCs w:val="24"/>
        </w:rPr>
        <w:t xml:space="preserve"> SRL</w:t>
      </w:r>
      <w:r w:rsidR="00BB49A2" w:rsidRPr="00410EDF">
        <w:rPr>
          <w:rFonts w:ascii="Arial" w:hAnsi="Arial" w:cs="Arial"/>
          <w:sz w:val="24"/>
          <w:szCs w:val="24"/>
        </w:rPr>
        <w:t xml:space="preserve"> tratează în totalitate VSU, ceilalți operatori </w:t>
      </w:r>
      <w:r w:rsidR="00EB1AAD" w:rsidRPr="00410EDF">
        <w:rPr>
          <w:rFonts w:ascii="Arial" w:hAnsi="Arial" w:cs="Arial"/>
          <w:sz w:val="24"/>
          <w:szCs w:val="24"/>
        </w:rPr>
        <w:t xml:space="preserve">colectează și </w:t>
      </w:r>
      <w:r w:rsidR="00BB49A2" w:rsidRPr="00410EDF">
        <w:rPr>
          <w:rFonts w:ascii="Arial" w:hAnsi="Arial" w:cs="Arial"/>
          <w:sz w:val="24"/>
          <w:szCs w:val="24"/>
        </w:rPr>
        <w:t>valorifică (comercializează) părți/piese de schimb astfel încăt dezmem</w:t>
      </w:r>
      <w:r w:rsidR="007C1699">
        <w:rPr>
          <w:rFonts w:ascii="Arial" w:hAnsi="Arial" w:cs="Arial"/>
          <w:sz w:val="24"/>
          <w:szCs w:val="24"/>
        </w:rPr>
        <w:t>BR</w:t>
      </w:r>
      <w:r w:rsidR="00BB49A2" w:rsidRPr="00410EDF">
        <w:rPr>
          <w:rFonts w:ascii="Arial" w:hAnsi="Arial" w:cs="Arial"/>
          <w:sz w:val="24"/>
          <w:szCs w:val="24"/>
        </w:rPr>
        <w:t>ează în funcție de solicitări.</w:t>
      </w:r>
    </w:p>
    <w:p w:rsidR="00F065B7" w:rsidRPr="00410EDF" w:rsidRDefault="00B77C04" w:rsidP="00C625DB">
      <w:pPr>
        <w:autoSpaceDE w:val="0"/>
        <w:autoSpaceDN w:val="0"/>
        <w:adjustRightInd w:val="0"/>
        <w:spacing w:after="0" w:line="240" w:lineRule="auto"/>
        <w:jc w:val="both"/>
        <w:rPr>
          <w:rFonts w:ascii="Arial" w:hAnsi="Arial" w:cs="Arial"/>
          <w:sz w:val="24"/>
          <w:szCs w:val="24"/>
        </w:rPr>
      </w:pPr>
      <w:r w:rsidRPr="00410EDF">
        <w:rPr>
          <w:rFonts w:ascii="Arial" w:hAnsi="Arial" w:cs="Arial"/>
          <w:sz w:val="24"/>
          <w:szCs w:val="24"/>
        </w:rPr>
        <w:tab/>
      </w:r>
      <w:r w:rsidR="00F065B7" w:rsidRPr="00410EDF">
        <w:rPr>
          <w:rFonts w:ascii="Arial" w:hAnsi="Arial" w:cs="Arial"/>
          <w:sz w:val="24"/>
          <w:szCs w:val="24"/>
        </w:rPr>
        <w:t xml:space="preserve">Numărul </w:t>
      </w:r>
      <w:r w:rsidR="00EB1AAD" w:rsidRPr="00410EDF">
        <w:rPr>
          <w:rFonts w:ascii="Arial" w:hAnsi="Arial" w:cs="Arial"/>
          <w:sz w:val="24"/>
          <w:szCs w:val="24"/>
        </w:rPr>
        <w:t xml:space="preserve">de vehicule scoase din uz </w:t>
      </w:r>
      <w:r w:rsidR="00F065B7" w:rsidRPr="00410EDF">
        <w:rPr>
          <w:rFonts w:ascii="Arial" w:hAnsi="Arial" w:cs="Arial"/>
          <w:sz w:val="24"/>
          <w:szCs w:val="24"/>
        </w:rPr>
        <w:t xml:space="preserve"> tratate </w:t>
      </w:r>
      <w:r w:rsidR="00EB1AAD" w:rsidRPr="00410EDF">
        <w:rPr>
          <w:rFonts w:ascii="Arial" w:hAnsi="Arial" w:cs="Arial"/>
          <w:sz w:val="24"/>
          <w:szCs w:val="24"/>
        </w:rPr>
        <w:t xml:space="preserve">în totalitate </w:t>
      </w:r>
      <w:r w:rsidR="00F065B7" w:rsidRPr="00410EDF">
        <w:rPr>
          <w:rFonts w:ascii="Arial" w:hAnsi="Arial" w:cs="Arial"/>
          <w:sz w:val="24"/>
          <w:szCs w:val="24"/>
        </w:rPr>
        <w:t>în anul 201</w:t>
      </w:r>
      <w:r w:rsidR="00EB1AAD" w:rsidRPr="00410EDF">
        <w:rPr>
          <w:rFonts w:ascii="Arial" w:hAnsi="Arial" w:cs="Arial"/>
          <w:sz w:val="24"/>
          <w:szCs w:val="24"/>
        </w:rPr>
        <w:t>5</w:t>
      </w:r>
      <w:r w:rsidR="00F065B7" w:rsidRPr="00410EDF">
        <w:rPr>
          <w:rFonts w:ascii="Arial" w:hAnsi="Arial" w:cs="Arial"/>
          <w:sz w:val="24"/>
          <w:szCs w:val="24"/>
        </w:rPr>
        <w:t xml:space="preserve">, a fost de </w:t>
      </w:r>
      <w:r w:rsidR="00EB1AAD" w:rsidRPr="00410EDF">
        <w:rPr>
          <w:rFonts w:ascii="Arial" w:hAnsi="Arial" w:cs="Arial"/>
          <w:sz w:val="24"/>
          <w:szCs w:val="24"/>
        </w:rPr>
        <w:t>396</w:t>
      </w:r>
      <w:r w:rsidR="00F065B7" w:rsidRPr="00410EDF">
        <w:rPr>
          <w:rFonts w:ascii="Arial" w:hAnsi="Arial" w:cs="Arial"/>
          <w:sz w:val="24"/>
          <w:szCs w:val="24"/>
        </w:rPr>
        <w:t xml:space="preserve"> uni</w:t>
      </w:r>
      <w:r w:rsidR="003A19BA" w:rsidRPr="00410EDF">
        <w:rPr>
          <w:rFonts w:ascii="Arial" w:hAnsi="Arial" w:cs="Arial"/>
          <w:sz w:val="24"/>
          <w:szCs w:val="24"/>
        </w:rPr>
        <w:t xml:space="preserve">tăţi (tabel nr. VII.1.3.3.-1) </w:t>
      </w:r>
      <w:r w:rsidR="00EB1AAD" w:rsidRPr="00410EDF">
        <w:rPr>
          <w:rFonts w:ascii="Arial" w:hAnsi="Arial" w:cs="Arial"/>
          <w:sz w:val="24"/>
          <w:szCs w:val="24"/>
        </w:rPr>
        <w:t>din 534 colectate.</w:t>
      </w:r>
    </w:p>
    <w:p w:rsidR="00D575A4" w:rsidRPr="00410EDF" w:rsidRDefault="00D575A4" w:rsidP="00C625DB">
      <w:pPr>
        <w:autoSpaceDE w:val="0"/>
        <w:autoSpaceDN w:val="0"/>
        <w:adjustRightInd w:val="0"/>
        <w:spacing w:after="0" w:line="240" w:lineRule="auto"/>
        <w:jc w:val="both"/>
        <w:rPr>
          <w:rFonts w:ascii="Arial" w:hAnsi="Arial" w:cs="Arial"/>
          <w:b/>
          <w:sz w:val="24"/>
          <w:szCs w:val="24"/>
        </w:rPr>
      </w:pPr>
    </w:p>
    <w:p w:rsidR="00F065B7" w:rsidRPr="00410EDF" w:rsidRDefault="00F065B7" w:rsidP="00C625DB">
      <w:pPr>
        <w:spacing w:after="0" w:line="240" w:lineRule="auto"/>
        <w:jc w:val="both"/>
        <w:rPr>
          <w:rFonts w:ascii="Arial" w:hAnsi="Arial" w:cs="Arial"/>
          <w:b/>
          <w:sz w:val="24"/>
          <w:szCs w:val="24"/>
        </w:rPr>
      </w:pPr>
      <w:r w:rsidRPr="00410EDF">
        <w:rPr>
          <w:rFonts w:ascii="Arial" w:hAnsi="Arial" w:cs="Arial"/>
          <w:sz w:val="24"/>
          <w:szCs w:val="24"/>
        </w:rPr>
        <w:t xml:space="preserve">Tabel nr. VII.1.3.3.-1 VSU colectate si tratate in perioada 2005-2014 in judetul </w:t>
      </w:r>
      <w:r w:rsidR="00217620">
        <w:rPr>
          <w:rFonts w:ascii="Arial" w:hAnsi="Arial" w:cs="Arial"/>
          <w:sz w:val="24"/>
          <w:szCs w:val="24"/>
        </w:rPr>
        <w:t>Brăila</w:t>
      </w:r>
    </w:p>
    <w:tbl>
      <w:tblPr>
        <w:tblW w:w="10495" w:type="dxa"/>
        <w:tblInd w:w="103" w:type="dxa"/>
        <w:tblLook w:val="04A0"/>
      </w:tblPr>
      <w:tblGrid>
        <w:gridCol w:w="1410"/>
        <w:gridCol w:w="844"/>
        <w:gridCol w:w="750"/>
        <w:gridCol w:w="804"/>
        <w:gridCol w:w="844"/>
        <w:gridCol w:w="750"/>
        <w:gridCol w:w="803"/>
        <w:gridCol w:w="845"/>
        <w:gridCol w:w="844"/>
        <w:gridCol w:w="845"/>
        <w:gridCol w:w="844"/>
        <w:gridCol w:w="912"/>
      </w:tblGrid>
      <w:tr w:rsidR="003A19BA" w:rsidRPr="00410EDF" w:rsidTr="003A19BA">
        <w:trPr>
          <w:trHeight w:val="300"/>
        </w:trPr>
        <w:tc>
          <w:tcPr>
            <w:tcW w:w="141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 Anul</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2005</w:t>
            </w:r>
          </w:p>
        </w:tc>
        <w:tc>
          <w:tcPr>
            <w:tcW w:w="745"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2006</w:t>
            </w:r>
          </w:p>
        </w:tc>
        <w:tc>
          <w:tcPr>
            <w:tcW w:w="804"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2007</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2008</w:t>
            </w:r>
          </w:p>
        </w:tc>
        <w:tc>
          <w:tcPr>
            <w:tcW w:w="745"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2009</w:t>
            </w:r>
          </w:p>
        </w:tc>
        <w:tc>
          <w:tcPr>
            <w:tcW w:w="803"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2010</w:t>
            </w:r>
          </w:p>
        </w:tc>
        <w:tc>
          <w:tcPr>
            <w:tcW w:w="845"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2011</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2012</w:t>
            </w:r>
          </w:p>
        </w:tc>
        <w:tc>
          <w:tcPr>
            <w:tcW w:w="845"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2013</w:t>
            </w:r>
          </w:p>
        </w:tc>
        <w:tc>
          <w:tcPr>
            <w:tcW w:w="844" w:type="dxa"/>
            <w:tcBorders>
              <w:top w:val="single" w:sz="4" w:space="0" w:color="auto"/>
              <w:left w:val="nil"/>
              <w:bottom w:val="single" w:sz="4" w:space="0" w:color="auto"/>
              <w:right w:val="single" w:sz="4" w:space="0" w:color="auto"/>
            </w:tcBorders>
            <w:shd w:val="clear" w:color="auto" w:fill="BFBFBF"/>
            <w:noWrap/>
            <w:vAlign w:val="bottom"/>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2014</w:t>
            </w:r>
          </w:p>
        </w:tc>
        <w:tc>
          <w:tcPr>
            <w:tcW w:w="922" w:type="dxa"/>
            <w:tcBorders>
              <w:top w:val="single" w:sz="4" w:space="0" w:color="auto"/>
              <w:left w:val="nil"/>
              <w:bottom w:val="single" w:sz="4" w:space="0" w:color="auto"/>
              <w:right w:val="single" w:sz="4" w:space="0" w:color="auto"/>
            </w:tcBorders>
            <w:shd w:val="clear" w:color="auto" w:fill="BFBFBF"/>
          </w:tcPr>
          <w:p w:rsidR="003A19BA" w:rsidRPr="00410EDF" w:rsidRDefault="003A19BA" w:rsidP="00C625DB">
            <w:pPr>
              <w:spacing w:after="0" w:line="240" w:lineRule="auto"/>
              <w:jc w:val="center"/>
              <w:rPr>
                <w:rFonts w:ascii="Arial" w:hAnsi="Arial" w:cs="Arial"/>
                <w:sz w:val="24"/>
                <w:szCs w:val="24"/>
                <w:lang w:eastAsia="ro-RO"/>
              </w:rPr>
            </w:pPr>
            <w:r w:rsidRPr="00410EDF">
              <w:rPr>
                <w:rFonts w:ascii="Arial" w:hAnsi="Arial" w:cs="Arial"/>
                <w:sz w:val="24"/>
                <w:szCs w:val="24"/>
                <w:lang w:eastAsia="ro-RO"/>
              </w:rPr>
              <w:t>2015</w:t>
            </w:r>
          </w:p>
        </w:tc>
      </w:tr>
      <w:tr w:rsidR="003A19BA" w:rsidRPr="00410EDF" w:rsidTr="003A19BA">
        <w:trPr>
          <w:trHeight w:val="600"/>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 xml:space="preserve">VSU colectate si tratate </w:t>
            </w:r>
          </w:p>
        </w:tc>
        <w:tc>
          <w:tcPr>
            <w:tcW w:w="844"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134</w:t>
            </w:r>
          </w:p>
        </w:tc>
        <w:tc>
          <w:tcPr>
            <w:tcW w:w="745"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238</w:t>
            </w:r>
          </w:p>
        </w:tc>
        <w:tc>
          <w:tcPr>
            <w:tcW w:w="804"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391</w:t>
            </w:r>
          </w:p>
        </w:tc>
        <w:tc>
          <w:tcPr>
            <w:tcW w:w="844"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508</w:t>
            </w:r>
          </w:p>
        </w:tc>
        <w:tc>
          <w:tcPr>
            <w:tcW w:w="745"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485</w:t>
            </w:r>
          </w:p>
        </w:tc>
        <w:tc>
          <w:tcPr>
            <w:tcW w:w="803"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2376</w:t>
            </w:r>
          </w:p>
        </w:tc>
        <w:tc>
          <w:tcPr>
            <w:tcW w:w="845"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1838</w:t>
            </w:r>
          </w:p>
        </w:tc>
        <w:tc>
          <w:tcPr>
            <w:tcW w:w="844"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607</w:t>
            </w:r>
          </w:p>
        </w:tc>
        <w:tc>
          <w:tcPr>
            <w:tcW w:w="845"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98</w:t>
            </w:r>
          </w:p>
        </w:tc>
        <w:tc>
          <w:tcPr>
            <w:tcW w:w="844" w:type="dxa"/>
            <w:tcBorders>
              <w:top w:val="nil"/>
              <w:left w:val="nil"/>
              <w:bottom w:val="single" w:sz="4" w:space="0" w:color="auto"/>
              <w:right w:val="single" w:sz="4" w:space="0" w:color="auto"/>
            </w:tcBorders>
            <w:shd w:val="clear" w:color="auto" w:fill="auto"/>
            <w:noWrap/>
            <w:vAlign w:val="center"/>
            <w:hideMark/>
          </w:tcPr>
          <w:p w:rsidR="003A19BA" w:rsidRPr="00410EDF" w:rsidRDefault="003A19BA" w:rsidP="00C625DB">
            <w:pPr>
              <w:spacing w:after="0" w:line="240" w:lineRule="auto"/>
              <w:jc w:val="center"/>
              <w:rPr>
                <w:rFonts w:ascii="Arial" w:hAnsi="Arial" w:cs="Arial"/>
                <w:b/>
                <w:sz w:val="24"/>
                <w:szCs w:val="24"/>
                <w:lang w:eastAsia="ro-RO"/>
              </w:rPr>
            </w:pPr>
            <w:r w:rsidRPr="00410EDF">
              <w:rPr>
                <w:rFonts w:ascii="Arial" w:hAnsi="Arial" w:cs="Arial"/>
                <w:sz w:val="24"/>
                <w:szCs w:val="24"/>
                <w:lang w:eastAsia="ro-RO"/>
              </w:rPr>
              <w:t>290</w:t>
            </w:r>
          </w:p>
        </w:tc>
        <w:tc>
          <w:tcPr>
            <w:tcW w:w="922" w:type="dxa"/>
            <w:tcBorders>
              <w:top w:val="nil"/>
              <w:left w:val="nil"/>
              <w:bottom w:val="single" w:sz="4" w:space="0" w:color="auto"/>
              <w:right w:val="single" w:sz="4" w:space="0" w:color="auto"/>
            </w:tcBorders>
          </w:tcPr>
          <w:p w:rsidR="003A19BA" w:rsidRPr="00410EDF" w:rsidRDefault="003A19BA" w:rsidP="00C625DB">
            <w:pPr>
              <w:spacing w:after="0" w:line="240" w:lineRule="auto"/>
              <w:jc w:val="center"/>
              <w:rPr>
                <w:rFonts w:ascii="Arial" w:hAnsi="Arial" w:cs="Arial"/>
                <w:sz w:val="24"/>
                <w:szCs w:val="24"/>
                <w:lang w:eastAsia="ro-RO"/>
              </w:rPr>
            </w:pPr>
          </w:p>
          <w:p w:rsidR="003A19BA" w:rsidRPr="00410EDF" w:rsidRDefault="003A19BA" w:rsidP="00C625DB">
            <w:pPr>
              <w:spacing w:after="0" w:line="240" w:lineRule="auto"/>
              <w:jc w:val="center"/>
              <w:rPr>
                <w:rFonts w:ascii="Arial" w:hAnsi="Arial" w:cs="Arial"/>
                <w:sz w:val="24"/>
                <w:szCs w:val="24"/>
                <w:lang w:eastAsia="ro-RO"/>
              </w:rPr>
            </w:pPr>
            <w:r w:rsidRPr="00410EDF">
              <w:rPr>
                <w:rFonts w:ascii="Arial" w:hAnsi="Arial" w:cs="Arial"/>
                <w:sz w:val="24"/>
                <w:szCs w:val="24"/>
                <w:lang w:eastAsia="ro-RO"/>
              </w:rPr>
              <w:t>534</w:t>
            </w:r>
          </w:p>
        </w:tc>
      </w:tr>
    </w:tbl>
    <w:p w:rsidR="00F065B7" w:rsidRPr="00410EDF" w:rsidRDefault="00F065B7" w:rsidP="00C625DB">
      <w:pPr>
        <w:spacing w:after="0" w:line="240" w:lineRule="auto"/>
        <w:jc w:val="both"/>
        <w:rPr>
          <w:rFonts w:ascii="Arial" w:hAnsi="Arial" w:cs="Arial"/>
          <w:b/>
          <w:sz w:val="24"/>
          <w:szCs w:val="24"/>
        </w:rPr>
      </w:pPr>
    </w:p>
    <w:p w:rsidR="00F065B7" w:rsidRPr="00410EDF" w:rsidRDefault="00F065B7" w:rsidP="00C625DB">
      <w:pPr>
        <w:spacing w:after="0" w:line="240" w:lineRule="auto"/>
        <w:jc w:val="center"/>
        <w:rPr>
          <w:rFonts w:ascii="Arial" w:hAnsi="Arial" w:cs="Arial"/>
          <w:b/>
          <w:sz w:val="24"/>
          <w:szCs w:val="24"/>
        </w:rPr>
      </w:pPr>
      <w:r w:rsidRPr="00410EDF">
        <w:rPr>
          <w:rFonts w:ascii="Arial" w:hAnsi="Arial" w:cs="Arial"/>
          <w:b/>
          <w:noProof/>
          <w:sz w:val="24"/>
          <w:szCs w:val="24"/>
          <w:lang w:eastAsia="ro-RO"/>
        </w:rPr>
        <w:lastRenderedPageBreak/>
        <w:drawing>
          <wp:inline distT="0" distB="0" distL="0" distR="0">
            <wp:extent cx="3990975" cy="2419350"/>
            <wp:effectExtent l="19050" t="0" r="9525" b="0"/>
            <wp:docPr id="5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F065B7" w:rsidRDefault="00F065B7" w:rsidP="00C625DB">
      <w:pPr>
        <w:autoSpaceDE w:val="0"/>
        <w:autoSpaceDN w:val="0"/>
        <w:adjustRightInd w:val="0"/>
        <w:spacing w:after="0" w:line="240" w:lineRule="auto"/>
        <w:ind w:firstLine="737"/>
        <w:jc w:val="both"/>
        <w:rPr>
          <w:rFonts w:ascii="Arial" w:hAnsi="Arial" w:cs="Arial"/>
          <w:b/>
          <w:sz w:val="24"/>
          <w:szCs w:val="24"/>
        </w:rPr>
      </w:pPr>
    </w:p>
    <w:p w:rsidR="00BB71FF" w:rsidRPr="00410EDF" w:rsidRDefault="00BB71FF" w:rsidP="00BB71FF">
      <w:pPr>
        <w:spacing w:after="0" w:line="240" w:lineRule="auto"/>
        <w:jc w:val="center"/>
        <w:rPr>
          <w:rFonts w:ascii="Arial" w:hAnsi="Arial" w:cs="Arial"/>
          <w:sz w:val="24"/>
          <w:szCs w:val="24"/>
        </w:rPr>
      </w:pPr>
      <w:r w:rsidRPr="00410EDF">
        <w:rPr>
          <w:rFonts w:ascii="Arial" w:hAnsi="Arial" w:cs="Arial"/>
          <w:sz w:val="24"/>
          <w:szCs w:val="24"/>
        </w:rPr>
        <w:t xml:space="preserve">Figura VII.1.3.3.-1 VSU colectate si tratate in perioada 2005-2014 in judetul </w:t>
      </w:r>
      <w:r>
        <w:rPr>
          <w:rFonts w:ascii="Arial" w:hAnsi="Arial" w:cs="Arial"/>
          <w:sz w:val="24"/>
          <w:szCs w:val="24"/>
        </w:rPr>
        <w:t>Br</w:t>
      </w:r>
      <w:r w:rsidRPr="00410EDF">
        <w:rPr>
          <w:rFonts w:ascii="Arial" w:hAnsi="Arial" w:cs="Arial"/>
          <w:sz w:val="24"/>
          <w:szCs w:val="24"/>
        </w:rPr>
        <w:t>aila</w:t>
      </w:r>
    </w:p>
    <w:p w:rsidR="00BB71FF" w:rsidRPr="00410EDF" w:rsidRDefault="00BB71FF" w:rsidP="00BB71FF">
      <w:pPr>
        <w:spacing w:after="0" w:line="240" w:lineRule="auto"/>
        <w:jc w:val="center"/>
        <w:rPr>
          <w:rFonts w:ascii="Arial" w:hAnsi="Arial" w:cs="Arial"/>
          <w:sz w:val="24"/>
          <w:szCs w:val="24"/>
        </w:rPr>
      </w:pPr>
    </w:p>
    <w:p w:rsidR="00BB71FF" w:rsidRPr="00410EDF" w:rsidRDefault="00BB71FF" w:rsidP="00C625DB">
      <w:pPr>
        <w:autoSpaceDE w:val="0"/>
        <w:autoSpaceDN w:val="0"/>
        <w:adjustRightInd w:val="0"/>
        <w:spacing w:after="0" w:line="240" w:lineRule="auto"/>
        <w:ind w:firstLine="737"/>
        <w:jc w:val="both"/>
        <w:rPr>
          <w:rFonts w:ascii="Arial" w:hAnsi="Arial" w:cs="Arial"/>
          <w:b/>
          <w:sz w:val="24"/>
          <w:szCs w:val="24"/>
        </w:rPr>
      </w:pPr>
    </w:p>
    <w:p w:rsidR="00F065B7" w:rsidRPr="00410EDF" w:rsidRDefault="00F065B7" w:rsidP="00C625DB">
      <w:pPr>
        <w:autoSpaceDE w:val="0"/>
        <w:autoSpaceDN w:val="0"/>
        <w:adjustRightInd w:val="0"/>
        <w:spacing w:after="0" w:line="240" w:lineRule="auto"/>
        <w:ind w:firstLine="737"/>
        <w:jc w:val="both"/>
        <w:rPr>
          <w:rFonts w:ascii="Arial" w:hAnsi="Arial" w:cs="Arial"/>
          <w:b/>
          <w:sz w:val="24"/>
          <w:szCs w:val="24"/>
        </w:rPr>
      </w:pPr>
      <w:r w:rsidRPr="00410EDF">
        <w:rPr>
          <w:rFonts w:ascii="Arial" w:hAnsi="Arial" w:cs="Arial"/>
          <w:sz w:val="24"/>
          <w:szCs w:val="24"/>
        </w:rPr>
        <w:t>Programul de reînnoire a parcului auto, desfăşurat în România (programul Rabla) este finanţat prin Administraţia Fondului pentru Mediu. Principalul deşeu valorificat rezultat din dezmem</w:t>
      </w:r>
      <w:r w:rsidR="007C1699">
        <w:rPr>
          <w:rFonts w:ascii="Arial" w:hAnsi="Arial" w:cs="Arial"/>
          <w:sz w:val="24"/>
          <w:szCs w:val="24"/>
        </w:rPr>
        <w:t>BR</w:t>
      </w:r>
      <w:r w:rsidRPr="00410EDF">
        <w:rPr>
          <w:rFonts w:ascii="Arial" w:hAnsi="Arial" w:cs="Arial"/>
          <w:sz w:val="24"/>
          <w:szCs w:val="24"/>
        </w:rPr>
        <w:t>area vehiculelor colectate, a fost cel metalic. Celelalte părţi componente au fost fie valorificate către societăţi autorizate (de ex. acumulatori uzaţi, sticlă, ulei uzat, anvelope, componente mari de plastic), fie eliminate prin co-incinerare.</w:t>
      </w:r>
    </w:p>
    <w:p w:rsidR="00B77C04" w:rsidRPr="00410EDF" w:rsidRDefault="00B77C04" w:rsidP="00C625DB">
      <w:pPr>
        <w:spacing w:after="0" w:line="240" w:lineRule="auto"/>
        <w:jc w:val="both"/>
        <w:rPr>
          <w:rFonts w:ascii="Arial" w:hAnsi="Arial" w:cs="Arial"/>
          <w:sz w:val="24"/>
          <w:szCs w:val="24"/>
        </w:rPr>
      </w:pPr>
    </w:p>
    <w:p w:rsidR="00F065B7" w:rsidRPr="00410EDF" w:rsidRDefault="00F065B7" w:rsidP="00C625DB">
      <w:pPr>
        <w:spacing w:after="0" w:line="240" w:lineRule="auto"/>
        <w:jc w:val="both"/>
        <w:rPr>
          <w:rFonts w:ascii="Arial" w:hAnsi="Arial" w:cs="Arial"/>
          <w:b/>
          <w:sz w:val="24"/>
          <w:szCs w:val="24"/>
        </w:rPr>
      </w:pPr>
      <w:r w:rsidRPr="00410EDF">
        <w:rPr>
          <w:rFonts w:ascii="Arial" w:hAnsi="Arial" w:cs="Arial"/>
          <w:sz w:val="24"/>
          <w:szCs w:val="24"/>
        </w:rPr>
        <w:t>Tabel nr. VII.1.3.3.- 2 Cantităţi VSU colectate prin Programul de reînnoire a parcului auto</w:t>
      </w:r>
      <w:r w:rsidRPr="00410EDF">
        <w:rPr>
          <w:rFonts w:ascii="Arial" w:hAnsi="Arial" w:cs="Arial"/>
          <w:i/>
          <w:sz w:val="24"/>
          <w:szCs w:val="24"/>
        </w:rPr>
        <w:t>”Rabla”</w:t>
      </w:r>
    </w:p>
    <w:tbl>
      <w:tblPr>
        <w:tblW w:w="10106" w:type="dxa"/>
        <w:jc w:val="center"/>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4"/>
        <w:gridCol w:w="764"/>
        <w:gridCol w:w="845"/>
        <w:gridCol w:w="844"/>
        <w:gridCol w:w="750"/>
        <w:gridCol w:w="813"/>
        <w:gridCol w:w="846"/>
        <w:gridCol w:w="847"/>
        <w:gridCol w:w="1013"/>
        <w:gridCol w:w="850"/>
        <w:gridCol w:w="850"/>
      </w:tblGrid>
      <w:tr w:rsidR="00EB1AAD" w:rsidRPr="00410EDF" w:rsidTr="00EB1AAD">
        <w:trPr>
          <w:jc w:val="center"/>
        </w:trPr>
        <w:tc>
          <w:tcPr>
            <w:tcW w:w="1684" w:type="dxa"/>
            <w:vAlign w:val="center"/>
          </w:tcPr>
          <w:p w:rsidR="00EB1AAD" w:rsidRPr="00410EDF" w:rsidRDefault="00EB1AAD" w:rsidP="00C625DB">
            <w:pPr>
              <w:spacing w:after="0" w:line="240" w:lineRule="auto"/>
              <w:jc w:val="center"/>
              <w:rPr>
                <w:rFonts w:ascii="Arial" w:hAnsi="Arial" w:cs="Arial"/>
                <w:b/>
                <w:sz w:val="24"/>
                <w:szCs w:val="24"/>
              </w:rPr>
            </w:pPr>
          </w:p>
        </w:tc>
        <w:tc>
          <w:tcPr>
            <w:tcW w:w="764" w:type="dxa"/>
            <w:shd w:val="clear" w:color="auto" w:fill="E0E0E0"/>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2005</w:t>
            </w:r>
          </w:p>
        </w:tc>
        <w:tc>
          <w:tcPr>
            <w:tcW w:w="845" w:type="dxa"/>
            <w:shd w:val="clear" w:color="auto" w:fill="E0E0E0"/>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2006</w:t>
            </w:r>
          </w:p>
        </w:tc>
        <w:tc>
          <w:tcPr>
            <w:tcW w:w="844" w:type="dxa"/>
            <w:shd w:val="clear" w:color="auto" w:fill="E0E0E0"/>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2007</w:t>
            </w:r>
          </w:p>
        </w:tc>
        <w:tc>
          <w:tcPr>
            <w:tcW w:w="750" w:type="dxa"/>
            <w:shd w:val="clear" w:color="auto" w:fill="E0E0E0"/>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2008</w:t>
            </w:r>
          </w:p>
        </w:tc>
        <w:tc>
          <w:tcPr>
            <w:tcW w:w="813" w:type="dxa"/>
            <w:shd w:val="clear" w:color="auto" w:fill="E0E0E0"/>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2009</w:t>
            </w:r>
          </w:p>
        </w:tc>
        <w:tc>
          <w:tcPr>
            <w:tcW w:w="846" w:type="dxa"/>
            <w:shd w:val="clear" w:color="auto" w:fill="E0E0E0"/>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2010</w:t>
            </w:r>
          </w:p>
        </w:tc>
        <w:tc>
          <w:tcPr>
            <w:tcW w:w="847" w:type="dxa"/>
            <w:shd w:val="clear" w:color="auto" w:fill="E0E0E0"/>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2011</w:t>
            </w:r>
          </w:p>
        </w:tc>
        <w:tc>
          <w:tcPr>
            <w:tcW w:w="1013" w:type="dxa"/>
            <w:tcBorders>
              <w:right w:val="single" w:sz="4" w:space="0" w:color="auto"/>
            </w:tcBorders>
            <w:shd w:val="clear" w:color="auto" w:fill="E0E0E0"/>
            <w:vAlign w:val="center"/>
          </w:tcPr>
          <w:p w:rsidR="00EB1AAD" w:rsidRPr="00410EDF" w:rsidRDefault="00EB1AAD" w:rsidP="00C625DB">
            <w:pPr>
              <w:spacing w:after="0" w:line="240" w:lineRule="auto"/>
              <w:jc w:val="center"/>
              <w:rPr>
                <w:rFonts w:ascii="Arial" w:hAnsi="Arial" w:cs="Arial"/>
                <w:sz w:val="24"/>
                <w:szCs w:val="24"/>
              </w:rPr>
            </w:pPr>
            <w:r w:rsidRPr="00410EDF">
              <w:rPr>
                <w:rFonts w:ascii="Arial" w:hAnsi="Arial" w:cs="Arial"/>
                <w:sz w:val="24"/>
                <w:szCs w:val="24"/>
              </w:rPr>
              <w:t>2012</w:t>
            </w:r>
          </w:p>
        </w:tc>
        <w:tc>
          <w:tcPr>
            <w:tcW w:w="850" w:type="dxa"/>
            <w:tcBorders>
              <w:left w:val="single" w:sz="4" w:space="0" w:color="auto"/>
            </w:tcBorders>
            <w:shd w:val="clear" w:color="auto" w:fill="E0E0E0"/>
            <w:vAlign w:val="center"/>
          </w:tcPr>
          <w:p w:rsidR="00EB1AAD" w:rsidRPr="00410EDF" w:rsidRDefault="00EB1AAD" w:rsidP="00C625DB">
            <w:pPr>
              <w:spacing w:after="0" w:line="240" w:lineRule="auto"/>
              <w:jc w:val="center"/>
              <w:rPr>
                <w:rFonts w:ascii="Arial" w:hAnsi="Arial" w:cs="Arial"/>
                <w:sz w:val="24"/>
                <w:szCs w:val="24"/>
              </w:rPr>
            </w:pPr>
            <w:r w:rsidRPr="00410EDF">
              <w:rPr>
                <w:rFonts w:ascii="Arial" w:hAnsi="Arial" w:cs="Arial"/>
                <w:sz w:val="24"/>
                <w:szCs w:val="24"/>
              </w:rPr>
              <w:t>2013</w:t>
            </w:r>
          </w:p>
        </w:tc>
        <w:tc>
          <w:tcPr>
            <w:tcW w:w="850" w:type="dxa"/>
            <w:tcBorders>
              <w:left w:val="single" w:sz="4" w:space="0" w:color="auto"/>
            </w:tcBorders>
            <w:shd w:val="clear" w:color="auto" w:fill="E0E0E0"/>
          </w:tcPr>
          <w:p w:rsidR="00EB1AAD" w:rsidRPr="00410EDF" w:rsidRDefault="00EB1AAD" w:rsidP="00C625DB">
            <w:pPr>
              <w:spacing w:after="0" w:line="240" w:lineRule="auto"/>
              <w:jc w:val="center"/>
              <w:rPr>
                <w:rFonts w:ascii="Arial" w:hAnsi="Arial" w:cs="Arial"/>
                <w:sz w:val="24"/>
                <w:szCs w:val="24"/>
              </w:rPr>
            </w:pPr>
            <w:r w:rsidRPr="00410EDF">
              <w:rPr>
                <w:rFonts w:ascii="Arial" w:hAnsi="Arial" w:cs="Arial"/>
                <w:sz w:val="24"/>
                <w:szCs w:val="24"/>
              </w:rPr>
              <w:t>2015</w:t>
            </w:r>
          </w:p>
        </w:tc>
      </w:tr>
      <w:tr w:rsidR="00EB1AAD" w:rsidRPr="00410EDF" w:rsidTr="00B77C04">
        <w:trPr>
          <w:jc w:val="center"/>
        </w:trPr>
        <w:tc>
          <w:tcPr>
            <w:tcW w:w="1684" w:type="dxa"/>
            <w:vAlign w:val="center"/>
          </w:tcPr>
          <w:p w:rsidR="00EB1AAD" w:rsidRPr="00410EDF" w:rsidRDefault="00EB1AAD" w:rsidP="00C625DB">
            <w:pPr>
              <w:spacing w:after="0" w:line="240" w:lineRule="auto"/>
              <w:jc w:val="center"/>
              <w:rPr>
                <w:rFonts w:ascii="Arial" w:hAnsi="Arial" w:cs="Arial"/>
                <w:b/>
                <w:sz w:val="24"/>
                <w:szCs w:val="24"/>
                <w:lang w:val="pt-BR"/>
              </w:rPr>
            </w:pPr>
            <w:r w:rsidRPr="00410EDF">
              <w:rPr>
                <w:rFonts w:ascii="Arial" w:hAnsi="Arial" w:cs="Arial"/>
                <w:sz w:val="24"/>
                <w:szCs w:val="24"/>
                <w:lang w:val="pt-BR"/>
              </w:rPr>
              <w:t>Vehicule scoase din uz colectate (numar/an)</w:t>
            </w:r>
          </w:p>
        </w:tc>
        <w:tc>
          <w:tcPr>
            <w:tcW w:w="764" w:type="dxa"/>
            <w:vAlign w:val="center"/>
          </w:tcPr>
          <w:p w:rsidR="00EB1AAD" w:rsidRPr="00410EDF" w:rsidRDefault="00EB1AAD" w:rsidP="00C625DB">
            <w:pPr>
              <w:spacing w:after="0" w:line="240" w:lineRule="auto"/>
              <w:jc w:val="center"/>
              <w:rPr>
                <w:rFonts w:ascii="Arial" w:hAnsi="Arial" w:cs="Arial"/>
                <w:b/>
                <w:sz w:val="24"/>
                <w:szCs w:val="24"/>
                <w:lang w:val="pt-BR"/>
              </w:rPr>
            </w:pPr>
            <w:r w:rsidRPr="00410EDF">
              <w:rPr>
                <w:rFonts w:ascii="Arial" w:hAnsi="Arial" w:cs="Arial"/>
                <w:sz w:val="24"/>
                <w:szCs w:val="24"/>
                <w:lang w:val="pt-BR"/>
              </w:rPr>
              <w:t>134</w:t>
            </w:r>
          </w:p>
        </w:tc>
        <w:tc>
          <w:tcPr>
            <w:tcW w:w="845" w:type="dxa"/>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238</w:t>
            </w:r>
          </w:p>
        </w:tc>
        <w:tc>
          <w:tcPr>
            <w:tcW w:w="844" w:type="dxa"/>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391</w:t>
            </w:r>
          </w:p>
        </w:tc>
        <w:tc>
          <w:tcPr>
            <w:tcW w:w="750" w:type="dxa"/>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508</w:t>
            </w:r>
          </w:p>
        </w:tc>
        <w:tc>
          <w:tcPr>
            <w:tcW w:w="813" w:type="dxa"/>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485</w:t>
            </w:r>
          </w:p>
        </w:tc>
        <w:tc>
          <w:tcPr>
            <w:tcW w:w="846" w:type="dxa"/>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2376</w:t>
            </w:r>
          </w:p>
        </w:tc>
        <w:tc>
          <w:tcPr>
            <w:tcW w:w="847" w:type="dxa"/>
            <w:vAlign w:val="center"/>
          </w:tcPr>
          <w:p w:rsidR="00EB1AAD" w:rsidRPr="00410EDF" w:rsidRDefault="00EB1AAD" w:rsidP="00C625DB">
            <w:pPr>
              <w:spacing w:after="0" w:line="240" w:lineRule="auto"/>
              <w:jc w:val="center"/>
              <w:rPr>
                <w:rFonts w:ascii="Arial" w:hAnsi="Arial" w:cs="Arial"/>
                <w:b/>
                <w:sz w:val="24"/>
                <w:szCs w:val="24"/>
              </w:rPr>
            </w:pPr>
            <w:r w:rsidRPr="00410EDF">
              <w:rPr>
                <w:rFonts w:ascii="Arial" w:hAnsi="Arial" w:cs="Arial"/>
                <w:sz w:val="24"/>
                <w:szCs w:val="24"/>
              </w:rPr>
              <w:t>1838</w:t>
            </w:r>
          </w:p>
        </w:tc>
        <w:tc>
          <w:tcPr>
            <w:tcW w:w="1013" w:type="dxa"/>
            <w:tcBorders>
              <w:right w:val="single" w:sz="4" w:space="0" w:color="auto"/>
            </w:tcBorders>
            <w:vAlign w:val="center"/>
          </w:tcPr>
          <w:p w:rsidR="00EB1AAD" w:rsidRPr="00410EDF" w:rsidRDefault="00EB1AAD" w:rsidP="00C625DB">
            <w:pPr>
              <w:spacing w:after="0" w:line="240" w:lineRule="auto"/>
              <w:jc w:val="center"/>
              <w:rPr>
                <w:rFonts w:ascii="Arial" w:hAnsi="Arial" w:cs="Arial"/>
                <w:sz w:val="24"/>
                <w:szCs w:val="24"/>
              </w:rPr>
            </w:pPr>
            <w:r w:rsidRPr="00410EDF">
              <w:rPr>
                <w:rFonts w:ascii="Arial" w:hAnsi="Arial" w:cs="Arial"/>
                <w:sz w:val="24"/>
                <w:szCs w:val="24"/>
              </w:rPr>
              <w:t>607</w:t>
            </w:r>
          </w:p>
        </w:tc>
        <w:tc>
          <w:tcPr>
            <w:tcW w:w="850" w:type="dxa"/>
            <w:tcBorders>
              <w:left w:val="single" w:sz="4" w:space="0" w:color="auto"/>
            </w:tcBorders>
            <w:vAlign w:val="center"/>
          </w:tcPr>
          <w:p w:rsidR="00EB1AAD" w:rsidRPr="00410EDF" w:rsidRDefault="00EB1AAD" w:rsidP="00C625DB">
            <w:pPr>
              <w:spacing w:after="0" w:line="240" w:lineRule="auto"/>
              <w:jc w:val="center"/>
              <w:rPr>
                <w:rFonts w:ascii="Arial" w:hAnsi="Arial" w:cs="Arial"/>
                <w:sz w:val="24"/>
                <w:szCs w:val="24"/>
              </w:rPr>
            </w:pPr>
            <w:r w:rsidRPr="00410EDF">
              <w:rPr>
                <w:rFonts w:ascii="Arial" w:hAnsi="Arial" w:cs="Arial"/>
                <w:sz w:val="24"/>
                <w:szCs w:val="24"/>
              </w:rPr>
              <w:t>98</w:t>
            </w:r>
          </w:p>
        </w:tc>
        <w:tc>
          <w:tcPr>
            <w:tcW w:w="850" w:type="dxa"/>
            <w:tcBorders>
              <w:left w:val="single" w:sz="4" w:space="0" w:color="auto"/>
            </w:tcBorders>
            <w:vAlign w:val="center"/>
          </w:tcPr>
          <w:p w:rsidR="00EB1AAD" w:rsidRPr="00410EDF" w:rsidRDefault="00EB1AAD" w:rsidP="00C625DB">
            <w:pPr>
              <w:spacing w:after="0" w:line="240" w:lineRule="auto"/>
              <w:jc w:val="center"/>
              <w:rPr>
                <w:rFonts w:ascii="Arial" w:hAnsi="Arial" w:cs="Arial"/>
                <w:sz w:val="24"/>
                <w:szCs w:val="24"/>
              </w:rPr>
            </w:pPr>
            <w:r w:rsidRPr="00410EDF">
              <w:rPr>
                <w:rFonts w:ascii="Arial" w:hAnsi="Arial" w:cs="Arial"/>
                <w:sz w:val="24"/>
                <w:szCs w:val="24"/>
              </w:rPr>
              <w:t>425</w:t>
            </w:r>
          </w:p>
        </w:tc>
      </w:tr>
    </w:tbl>
    <w:p w:rsidR="00F065B7" w:rsidRPr="00410EDF" w:rsidRDefault="00B77C04" w:rsidP="00C625DB">
      <w:pPr>
        <w:autoSpaceDE w:val="0"/>
        <w:autoSpaceDN w:val="0"/>
        <w:adjustRightInd w:val="0"/>
        <w:spacing w:after="0" w:line="240" w:lineRule="auto"/>
        <w:ind w:firstLine="708"/>
        <w:jc w:val="both"/>
        <w:rPr>
          <w:rFonts w:ascii="Arial" w:hAnsi="Arial" w:cs="Arial"/>
          <w:sz w:val="24"/>
          <w:szCs w:val="24"/>
        </w:rPr>
      </w:pPr>
      <w:r w:rsidRPr="00410EDF">
        <w:rPr>
          <w:rFonts w:ascii="Arial" w:hAnsi="Arial" w:cs="Arial"/>
          <w:sz w:val="24"/>
          <w:szCs w:val="24"/>
        </w:rPr>
        <w:t>Numărul anual de vehicule predate ca VSU a fost în directă corelație cu numărul de tichete alocate la nivel județean prin programul ”Rabla”</w:t>
      </w:r>
    </w:p>
    <w:p w:rsidR="00B77C04" w:rsidRPr="00410EDF" w:rsidRDefault="00B77C04" w:rsidP="00C625DB">
      <w:pPr>
        <w:tabs>
          <w:tab w:val="left" w:leader="dot" w:pos="9356"/>
        </w:tabs>
        <w:spacing w:after="0" w:line="240" w:lineRule="auto"/>
        <w:ind w:left="1624"/>
        <w:rPr>
          <w:rFonts w:ascii="Arial" w:hAnsi="Arial" w:cs="Arial"/>
          <w:sz w:val="24"/>
          <w:szCs w:val="24"/>
        </w:rPr>
      </w:pPr>
    </w:p>
    <w:p w:rsidR="00F065B7" w:rsidRPr="00410EDF" w:rsidRDefault="00F065B7" w:rsidP="00C625DB">
      <w:pPr>
        <w:tabs>
          <w:tab w:val="left" w:pos="1358"/>
          <w:tab w:val="left" w:leader="dot" w:pos="9356"/>
        </w:tabs>
        <w:spacing w:after="0" w:line="240" w:lineRule="auto"/>
        <w:jc w:val="both"/>
        <w:rPr>
          <w:rFonts w:ascii="Arial" w:hAnsi="Arial" w:cs="Arial"/>
          <w:sz w:val="24"/>
          <w:szCs w:val="24"/>
          <w:lang w:eastAsia="ro-RO"/>
        </w:rPr>
      </w:pPr>
      <w:r w:rsidRPr="00410EDF">
        <w:rPr>
          <w:rFonts w:ascii="Arial" w:hAnsi="Arial" w:cs="Arial"/>
          <w:b/>
          <w:sz w:val="24"/>
          <w:szCs w:val="24"/>
        </w:rPr>
        <w:t>VII.1.4.</w:t>
      </w:r>
      <w:r w:rsidRPr="00410EDF">
        <w:rPr>
          <w:rFonts w:ascii="Arial" w:hAnsi="Arial" w:cs="Arial"/>
          <w:b/>
          <w:i/>
          <w:sz w:val="24"/>
          <w:szCs w:val="24"/>
        </w:rPr>
        <w:t>Impacturi şi presiuni privind deşeurile</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lang w:val="it-IT"/>
        </w:rPr>
      </w:pPr>
      <w:r w:rsidRPr="00410EDF">
        <w:rPr>
          <w:rFonts w:ascii="Arial" w:hAnsi="Arial" w:cs="Arial"/>
          <w:sz w:val="24"/>
          <w:szCs w:val="24"/>
          <w:lang w:val="it-IT"/>
        </w:rPr>
        <w:t>Toate activităţile implicate în sistemul de gestionare a deşeurilor, respectiv de colectare, transport, tratare, valorificare, eliminare şi dezafectare a infrastructurii aferente pot avea un impact negativ asupra mediului dacă nu sunt respectate normativele ce stabilesc condiţiile de gestionare ecologică.</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lang w:val="it-IT"/>
        </w:rPr>
      </w:pPr>
      <w:r w:rsidRPr="00410EDF">
        <w:rPr>
          <w:rFonts w:ascii="Arial" w:hAnsi="Arial" w:cs="Arial"/>
          <w:sz w:val="24"/>
          <w:szCs w:val="24"/>
          <w:lang w:val="it-IT"/>
        </w:rPr>
        <w:t xml:space="preserve">Deşeurile industriale </w:t>
      </w:r>
      <w:r w:rsidR="00734C43" w:rsidRPr="00410EDF">
        <w:rPr>
          <w:rFonts w:ascii="Arial" w:hAnsi="Arial" w:cs="Arial"/>
          <w:sz w:val="24"/>
          <w:szCs w:val="24"/>
          <w:lang w:val="it-IT"/>
        </w:rPr>
        <w:t xml:space="preserve">pot </w:t>
      </w:r>
      <w:r w:rsidRPr="00410EDF">
        <w:rPr>
          <w:rFonts w:ascii="Arial" w:hAnsi="Arial" w:cs="Arial"/>
          <w:sz w:val="24"/>
          <w:szCs w:val="24"/>
          <w:lang w:val="it-IT"/>
        </w:rPr>
        <w:t>constitui surse de risc pentru sănătate datorită conţinutului lor în substanţe toxice precum metale grele (plumb, cadmiu), pesticide, solvenţi, uleiuri uzate. Problema cea mai dificilă o constituie materialele periculoase (inclusiv nămolurile toxice, produse petroliere, reziduuri de la vopsitorii, zguri metalurgice) dacă sunt depozitate în comun cu deşeuri solide orăşenești. Aceasta situaţie poate genera apariţia unor amestecuri şi combinaţii inflamabile, explozive sau corozive.</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lang w:val="it-IT"/>
        </w:rPr>
      </w:pPr>
      <w:r w:rsidRPr="00410EDF">
        <w:rPr>
          <w:rFonts w:ascii="Arial" w:hAnsi="Arial" w:cs="Arial"/>
          <w:sz w:val="24"/>
          <w:szCs w:val="24"/>
          <w:lang w:val="it-IT"/>
        </w:rPr>
        <w:t>Principalele forme de impact şi risc determinate de depozitele de deşeuri municipale şi industriale, în ordinea în care sunt percepute de populaţie, sunt:</w:t>
      </w:r>
    </w:p>
    <w:p w:rsidR="00F065B7" w:rsidRPr="00410EDF" w:rsidRDefault="00F065B7" w:rsidP="00252ED3">
      <w:pPr>
        <w:pStyle w:val="ListParagraph"/>
        <w:numPr>
          <w:ilvl w:val="0"/>
          <w:numId w:val="56"/>
        </w:numPr>
        <w:jc w:val="both"/>
        <w:rPr>
          <w:rFonts w:ascii="Arial" w:hAnsi="Arial" w:cs="Arial"/>
          <w:b/>
        </w:rPr>
      </w:pPr>
      <w:r w:rsidRPr="00410EDF">
        <w:rPr>
          <w:rFonts w:ascii="Arial" w:hAnsi="Arial" w:cs="Arial"/>
        </w:rPr>
        <w:t xml:space="preserve">modificări de peisaj şi disconfort vizual; </w:t>
      </w:r>
    </w:p>
    <w:p w:rsidR="00F065B7" w:rsidRPr="00410EDF" w:rsidRDefault="00F065B7" w:rsidP="00252ED3">
      <w:pPr>
        <w:pStyle w:val="ListParagraph"/>
        <w:numPr>
          <w:ilvl w:val="0"/>
          <w:numId w:val="56"/>
        </w:numPr>
        <w:jc w:val="both"/>
        <w:rPr>
          <w:rFonts w:ascii="Arial" w:hAnsi="Arial" w:cs="Arial"/>
          <w:b/>
        </w:rPr>
      </w:pPr>
      <w:r w:rsidRPr="00410EDF">
        <w:rPr>
          <w:rFonts w:ascii="Arial" w:hAnsi="Arial" w:cs="Arial"/>
        </w:rPr>
        <w:t xml:space="preserve">poluarea aerului; </w:t>
      </w:r>
    </w:p>
    <w:p w:rsidR="00F065B7" w:rsidRPr="00410EDF" w:rsidRDefault="00F065B7" w:rsidP="00252ED3">
      <w:pPr>
        <w:pStyle w:val="ListParagraph"/>
        <w:numPr>
          <w:ilvl w:val="0"/>
          <w:numId w:val="56"/>
        </w:numPr>
        <w:jc w:val="both"/>
        <w:rPr>
          <w:rFonts w:ascii="Arial" w:hAnsi="Arial" w:cs="Arial"/>
          <w:b/>
        </w:rPr>
      </w:pPr>
      <w:r w:rsidRPr="00410EDF">
        <w:rPr>
          <w:rFonts w:ascii="Arial" w:hAnsi="Arial" w:cs="Arial"/>
        </w:rPr>
        <w:t xml:space="preserve">poluarea apelor de suprafaţă; </w:t>
      </w:r>
    </w:p>
    <w:p w:rsidR="00F065B7" w:rsidRPr="00410EDF" w:rsidRDefault="00F065B7" w:rsidP="00252ED3">
      <w:pPr>
        <w:pStyle w:val="ListParagraph"/>
        <w:numPr>
          <w:ilvl w:val="0"/>
          <w:numId w:val="56"/>
        </w:numPr>
        <w:jc w:val="both"/>
        <w:rPr>
          <w:rFonts w:ascii="Arial" w:hAnsi="Arial" w:cs="Arial"/>
          <w:b/>
        </w:rPr>
      </w:pPr>
      <w:r w:rsidRPr="00410EDF">
        <w:rPr>
          <w:rFonts w:ascii="Arial" w:hAnsi="Arial" w:cs="Arial"/>
        </w:rPr>
        <w:t xml:space="preserve">modificări ale fertilităţii solurilor şi ale compoziţiei biocenozelor pe terenurile învecinate. </w:t>
      </w: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 xml:space="preserve">Scoaterea din circuitul natural sau economic a terenurilor pentru depozitele de deşeuri este un proces ce poate fi considerat temporar, dar care în termenii conceptului de “dezvoltare </w:t>
      </w:r>
      <w:r w:rsidRPr="00410EDF">
        <w:rPr>
          <w:rFonts w:ascii="Arial" w:hAnsi="Arial" w:cs="Arial"/>
          <w:sz w:val="24"/>
          <w:szCs w:val="24"/>
          <w:lang w:val="it-IT"/>
        </w:rPr>
        <w:lastRenderedPageBreak/>
        <w:t>durabilă”, se întinde pe durata a cel puţin două generaţii dacă se însumează perioadele de amenajare (1-3 ani), exploatare (15-30 ani), refacere ecologică şi postmonitorizare (15-20 ani).</w:t>
      </w: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Astfel, colectarea, stocarea şi transportul pot fi surse generatoare de emisii poluante pentru atmosferă, sol şi implicit pentru sănătatea oamenilor. Actualele practici utilizate în managementul deşeurilor urbane (colectare, transport, depozitare, etc), sunt încă necorespunzătoare, generând un impact negativ asupra factorilor de mediu şi facilitând înmulţirea şi împrăştierea agenţilor purtători de microbi.</w:t>
      </w: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În prezent, în România, eliminarea deşeurilor urbane se face aproape exc</w:t>
      </w:r>
      <w:r w:rsidR="00734C43" w:rsidRPr="00410EDF">
        <w:rPr>
          <w:rFonts w:ascii="Arial" w:hAnsi="Arial" w:cs="Arial"/>
          <w:sz w:val="24"/>
          <w:szCs w:val="24"/>
          <w:lang w:val="it-IT"/>
        </w:rPr>
        <w:t>l</w:t>
      </w:r>
      <w:r w:rsidRPr="00410EDF">
        <w:rPr>
          <w:rFonts w:ascii="Arial" w:hAnsi="Arial" w:cs="Arial"/>
          <w:sz w:val="24"/>
          <w:szCs w:val="24"/>
          <w:lang w:val="it-IT"/>
        </w:rPr>
        <w:t xml:space="preserve">usiv prin depozitare, cu excepţia unui procent de circa </w:t>
      </w:r>
      <w:r w:rsidR="00734C43" w:rsidRPr="00410EDF">
        <w:rPr>
          <w:rFonts w:ascii="Arial" w:hAnsi="Arial" w:cs="Arial"/>
          <w:sz w:val="24"/>
          <w:szCs w:val="24"/>
          <w:lang w:val="it-IT"/>
        </w:rPr>
        <w:t>5</w:t>
      </w:r>
      <w:r w:rsidRPr="00410EDF">
        <w:rPr>
          <w:rFonts w:ascii="Arial" w:hAnsi="Arial" w:cs="Arial"/>
          <w:sz w:val="24"/>
          <w:szCs w:val="24"/>
          <w:lang w:val="it-IT"/>
        </w:rPr>
        <w:t>% (reprezentat mai ales de deşeurile comerciale) care se valorifică. Această situaţie se datorează în mare parte şi necunoaşterii compoziţiei actuale a deşeurilor urbane care a făcut să perpetueze depozitarea ca unică formă de eliminare. Depozitarea este însă soluţia aflată la nivelul cel mai de jos al ierarhiei opţiunilor de eliminare a deşeurilor.</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lang w:val="it-IT"/>
        </w:rPr>
      </w:pPr>
      <w:r w:rsidRPr="00410EDF">
        <w:rPr>
          <w:rFonts w:ascii="Arial" w:hAnsi="Arial" w:cs="Arial"/>
          <w:sz w:val="24"/>
          <w:szCs w:val="24"/>
          <w:lang w:val="it-IT"/>
        </w:rPr>
        <w:t>Impactul asupra mediului este ireversibil. Perioadele de timp pentru descompunerea deşeurilor depozitate variază în funcţie de compoziţia fiecărui tip de deşeu astfel:</w:t>
      </w:r>
    </w:p>
    <w:p w:rsidR="00F065B7" w:rsidRPr="00410EDF" w:rsidRDefault="00F065B7" w:rsidP="00252ED3">
      <w:pPr>
        <w:pStyle w:val="ListParagraph"/>
        <w:numPr>
          <w:ilvl w:val="0"/>
          <w:numId w:val="57"/>
        </w:numPr>
        <w:jc w:val="both"/>
        <w:rPr>
          <w:rFonts w:ascii="Arial" w:hAnsi="Arial" w:cs="Arial"/>
          <w:b/>
        </w:rPr>
      </w:pPr>
      <w:r w:rsidRPr="00410EDF">
        <w:rPr>
          <w:rFonts w:ascii="Arial" w:hAnsi="Arial" w:cs="Arial"/>
        </w:rPr>
        <w:t xml:space="preserve">pentru hârtie şi carton – 3 până la 12 luni, </w:t>
      </w:r>
    </w:p>
    <w:p w:rsidR="00F065B7" w:rsidRPr="00410EDF" w:rsidRDefault="00F065B7" w:rsidP="00252ED3">
      <w:pPr>
        <w:pStyle w:val="ListParagraph"/>
        <w:numPr>
          <w:ilvl w:val="0"/>
          <w:numId w:val="57"/>
        </w:numPr>
        <w:jc w:val="both"/>
        <w:rPr>
          <w:rFonts w:ascii="Arial" w:hAnsi="Arial" w:cs="Arial"/>
          <w:b/>
        </w:rPr>
      </w:pPr>
      <w:r w:rsidRPr="00410EDF">
        <w:rPr>
          <w:rFonts w:ascii="Arial" w:hAnsi="Arial" w:cs="Arial"/>
        </w:rPr>
        <w:t xml:space="preserve">pentru deşeuri biodegradabile din hrana vegetală – 3 luni, </w:t>
      </w:r>
    </w:p>
    <w:p w:rsidR="00F065B7" w:rsidRPr="00410EDF" w:rsidRDefault="00F065B7" w:rsidP="00252ED3">
      <w:pPr>
        <w:pStyle w:val="ListParagraph"/>
        <w:numPr>
          <w:ilvl w:val="0"/>
          <w:numId w:val="57"/>
        </w:numPr>
        <w:jc w:val="both"/>
        <w:rPr>
          <w:rFonts w:ascii="Arial" w:hAnsi="Arial" w:cs="Arial"/>
          <w:b/>
          <w:lang w:val="da-DK"/>
        </w:rPr>
      </w:pPr>
      <w:r w:rsidRPr="00410EDF">
        <w:rPr>
          <w:rFonts w:ascii="Arial" w:hAnsi="Arial" w:cs="Arial"/>
          <w:lang w:val="da-DK"/>
        </w:rPr>
        <w:t xml:space="preserve">pentru ambalajele din sticlă – 1000 ani, </w:t>
      </w:r>
    </w:p>
    <w:p w:rsidR="00F065B7" w:rsidRPr="00410EDF" w:rsidRDefault="00F065B7" w:rsidP="00252ED3">
      <w:pPr>
        <w:pStyle w:val="ListParagraph"/>
        <w:numPr>
          <w:ilvl w:val="0"/>
          <w:numId w:val="57"/>
        </w:numPr>
        <w:jc w:val="both"/>
        <w:rPr>
          <w:rFonts w:ascii="Arial" w:hAnsi="Arial" w:cs="Arial"/>
          <w:b/>
          <w:lang w:val="da-DK"/>
        </w:rPr>
      </w:pPr>
      <w:r w:rsidRPr="00410EDF">
        <w:rPr>
          <w:rFonts w:ascii="Arial" w:hAnsi="Arial" w:cs="Arial"/>
          <w:lang w:val="da-DK"/>
        </w:rPr>
        <w:t xml:space="preserve">pentru ambalajele din plastic tip PET – 100 până la 1000 ani, </w:t>
      </w:r>
    </w:p>
    <w:p w:rsidR="00F065B7" w:rsidRPr="00410EDF" w:rsidRDefault="00F065B7" w:rsidP="00252ED3">
      <w:pPr>
        <w:pStyle w:val="ListParagraph"/>
        <w:numPr>
          <w:ilvl w:val="0"/>
          <w:numId w:val="57"/>
        </w:numPr>
        <w:jc w:val="both"/>
        <w:rPr>
          <w:rFonts w:ascii="Arial" w:hAnsi="Arial" w:cs="Arial"/>
          <w:b/>
          <w:lang w:val="da-DK"/>
        </w:rPr>
      </w:pPr>
      <w:r w:rsidRPr="00410EDF">
        <w:rPr>
          <w:rFonts w:ascii="Arial" w:hAnsi="Arial" w:cs="Arial"/>
          <w:lang w:val="da-DK"/>
        </w:rPr>
        <w:t xml:space="preserve">dozele din aluminiu – 10 până la 100 ani, </w:t>
      </w:r>
    </w:p>
    <w:p w:rsidR="00F065B7" w:rsidRPr="00410EDF" w:rsidRDefault="00F065B7" w:rsidP="00252ED3">
      <w:pPr>
        <w:pStyle w:val="ListParagraph"/>
        <w:numPr>
          <w:ilvl w:val="0"/>
          <w:numId w:val="57"/>
        </w:numPr>
        <w:jc w:val="both"/>
        <w:rPr>
          <w:rFonts w:ascii="Arial" w:hAnsi="Arial" w:cs="Arial"/>
          <w:b/>
          <w:lang w:val="da-DK"/>
        </w:rPr>
      </w:pPr>
      <w:r w:rsidRPr="00410EDF">
        <w:rPr>
          <w:rFonts w:ascii="Arial" w:hAnsi="Arial" w:cs="Arial"/>
          <w:lang w:val="da-DK"/>
        </w:rPr>
        <w:t>textilele – 1 până la 7 ani, etc.</w:t>
      </w:r>
    </w:p>
    <w:p w:rsidR="00F065B7" w:rsidRPr="00410EDF" w:rsidRDefault="00F065B7" w:rsidP="00C625DB">
      <w:pPr>
        <w:autoSpaceDE w:val="0"/>
        <w:autoSpaceDN w:val="0"/>
        <w:adjustRightInd w:val="0"/>
        <w:spacing w:after="0" w:line="240" w:lineRule="auto"/>
        <w:ind w:firstLine="708"/>
        <w:jc w:val="both"/>
        <w:rPr>
          <w:rFonts w:ascii="Arial" w:hAnsi="Arial" w:cs="Arial"/>
          <w:b/>
          <w:sz w:val="24"/>
          <w:szCs w:val="24"/>
          <w:lang w:val="it-IT"/>
        </w:rPr>
      </w:pPr>
      <w:r w:rsidRPr="00410EDF">
        <w:rPr>
          <w:rFonts w:ascii="Arial" w:hAnsi="Arial" w:cs="Arial"/>
          <w:sz w:val="24"/>
          <w:szCs w:val="24"/>
          <w:lang w:val="it-IT"/>
        </w:rPr>
        <w:t>În termeni de biodiversitate, un depozit de deşeuri înseamnă eliminarea de pe suprafaţa afectată acestei folosinţe a unui numar de 30 - 300 specii / ha, fără a considera şi populaţia microbiologică a solului. În plus, biocenozele din vecinătatea depozitului se modifică în sensul că:</w:t>
      </w:r>
    </w:p>
    <w:p w:rsidR="00F065B7" w:rsidRPr="00410EDF" w:rsidRDefault="00F065B7" w:rsidP="00252ED3">
      <w:pPr>
        <w:pStyle w:val="ListParagraph"/>
        <w:numPr>
          <w:ilvl w:val="0"/>
          <w:numId w:val="58"/>
        </w:numPr>
        <w:jc w:val="both"/>
        <w:rPr>
          <w:rFonts w:ascii="Arial" w:hAnsi="Arial" w:cs="Arial"/>
          <w:b/>
          <w:lang w:val="it-IT"/>
        </w:rPr>
      </w:pPr>
      <w:r w:rsidRPr="00410EDF">
        <w:rPr>
          <w:rFonts w:ascii="Arial" w:hAnsi="Arial" w:cs="Arial"/>
          <w:lang w:val="it-IT"/>
        </w:rPr>
        <w:t xml:space="preserve">în asociaţiile vegetale devin dominante speciile ruderale specifice zonelor poluate; </w:t>
      </w:r>
    </w:p>
    <w:p w:rsidR="00F065B7" w:rsidRPr="00410EDF" w:rsidRDefault="00F065B7" w:rsidP="00252ED3">
      <w:pPr>
        <w:pStyle w:val="ListParagraph"/>
        <w:numPr>
          <w:ilvl w:val="0"/>
          <w:numId w:val="58"/>
        </w:numPr>
        <w:jc w:val="both"/>
        <w:rPr>
          <w:rFonts w:ascii="Arial" w:hAnsi="Arial" w:cs="Arial"/>
          <w:b/>
          <w:lang w:val="it-IT"/>
        </w:rPr>
      </w:pPr>
      <w:r w:rsidRPr="00410EDF">
        <w:rPr>
          <w:rFonts w:ascii="Arial" w:hAnsi="Arial" w:cs="Arial"/>
          <w:lang w:val="it-IT"/>
        </w:rPr>
        <w:t xml:space="preserve">unele mamifere, păsări, insecte părăsesc zona, în avantajul celor care îşi găsesc hrana în gunoaie (şobolani, ciori). </w:t>
      </w: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Deşi efectele asupra florei şi faunei sunt teoretic limitate în timp la durata exploatării depozitului, reconstrucţia ecologică realizată dupa eliberarea zonei de sarcini tehnologice nu va mai putea restabili echili</w:t>
      </w:r>
      <w:r w:rsidR="007C1699">
        <w:rPr>
          <w:rFonts w:ascii="Arial" w:hAnsi="Arial" w:cs="Arial"/>
          <w:sz w:val="24"/>
          <w:szCs w:val="24"/>
          <w:lang w:val="it-IT"/>
        </w:rPr>
        <w:t>BR</w:t>
      </w:r>
      <w:r w:rsidRPr="00410EDF">
        <w:rPr>
          <w:rFonts w:ascii="Arial" w:hAnsi="Arial" w:cs="Arial"/>
          <w:sz w:val="24"/>
          <w:szCs w:val="24"/>
          <w:lang w:val="it-IT"/>
        </w:rPr>
        <w:t>ul biologic iniţial, evoluţia biosistemului fiind ireversibil modificată. Terenurile ocupate de depozitele de deşeuri sunt considerate terenuri degradate, care nu mai pot fi utilizate în scopuri agricole.</w:t>
      </w: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Datorită implicaţiilor deosebite pe care le are depozitarea în poluarea solului şi subsolului s-a impus sistarea depozitării pe depozitele neconforme de deşeuri municipale şi industriale. Ca urmare există un singur depozit neconform de deșeuri municipale în operare care este planificat să sisteze activitatea în anul 2017.</w:t>
      </w: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 xml:space="preserve">În ceea ce priveşte industria de foraj şi extracţie a petrolului deşeurile din acest domeniu sunt periculoase pentru om şi mediu. Depozitarea necontrolată duce la poluarea solurilor şi a apelor subterane. Un astfel de exemplu este batalul vechi de şlam petrolier de la Oprişeneşti, depozit neconform, unde s-a sistat depozitarea în anul 2006 dar amplasamentul este încadrat în lista siturilor contaminate. Pe lângă lucrările specifice de dezafectare sunt necesare lucrări de decontaminare pentru sol şi apa freatică. Urmează a se realiza un program de ecologizare deoarece în urma investigaţiilor s-a identificat contaminarea solului. </w:t>
      </w: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Eliminarea deşeurilor menajere din mediul rural pe terenuri neamenajate a fost sistată la 16 iulie 2009 însă depozitările necontrolate nu au dispărut în totalitate. Aproximativ 80% din compoziţia deşeurilor care erau eliminate pe platformele rurale era reprezentată de dejecţiile de la animalele crescute în gospodăriile populaţiei.</w:t>
      </w:r>
    </w:p>
    <w:p w:rsidR="00F065B7" w:rsidRDefault="00F065B7" w:rsidP="00C625DB">
      <w:pPr>
        <w:autoSpaceDE w:val="0"/>
        <w:autoSpaceDN w:val="0"/>
        <w:adjustRightInd w:val="0"/>
        <w:spacing w:after="0" w:line="240" w:lineRule="auto"/>
        <w:jc w:val="both"/>
        <w:rPr>
          <w:rFonts w:ascii="Arial" w:hAnsi="Arial" w:cs="Arial"/>
          <w:sz w:val="24"/>
          <w:szCs w:val="24"/>
          <w:lang w:eastAsia="ro-RO"/>
        </w:rPr>
      </w:pPr>
    </w:p>
    <w:p w:rsidR="006157E7" w:rsidRDefault="006157E7" w:rsidP="00C625DB">
      <w:pPr>
        <w:autoSpaceDE w:val="0"/>
        <w:autoSpaceDN w:val="0"/>
        <w:adjustRightInd w:val="0"/>
        <w:spacing w:after="0" w:line="240" w:lineRule="auto"/>
        <w:jc w:val="both"/>
        <w:rPr>
          <w:rFonts w:ascii="Arial" w:hAnsi="Arial" w:cs="Arial"/>
          <w:sz w:val="24"/>
          <w:szCs w:val="24"/>
          <w:lang w:eastAsia="ro-RO"/>
        </w:rPr>
      </w:pPr>
    </w:p>
    <w:p w:rsidR="006157E7" w:rsidRPr="00410EDF" w:rsidRDefault="006157E7" w:rsidP="00C625DB">
      <w:pPr>
        <w:autoSpaceDE w:val="0"/>
        <w:autoSpaceDN w:val="0"/>
        <w:adjustRightInd w:val="0"/>
        <w:spacing w:after="0" w:line="240" w:lineRule="auto"/>
        <w:jc w:val="both"/>
        <w:rPr>
          <w:rFonts w:ascii="Arial" w:hAnsi="Arial" w:cs="Arial"/>
          <w:sz w:val="24"/>
          <w:szCs w:val="24"/>
          <w:lang w:eastAsia="ro-RO"/>
        </w:rPr>
      </w:pPr>
    </w:p>
    <w:p w:rsidR="00F065B7" w:rsidRPr="00410EDF" w:rsidRDefault="00F065B7" w:rsidP="00C625DB">
      <w:pPr>
        <w:autoSpaceDE w:val="0"/>
        <w:autoSpaceDN w:val="0"/>
        <w:adjustRightInd w:val="0"/>
        <w:spacing w:after="0" w:line="240" w:lineRule="auto"/>
        <w:jc w:val="both"/>
        <w:rPr>
          <w:rFonts w:ascii="Arial" w:hAnsi="Arial" w:cs="Arial"/>
          <w:b/>
          <w:sz w:val="24"/>
          <w:szCs w:val="24"/>
          <w:lang w:eastAsia="ro-RO"/>
        </w:rPr>
      </w:pPr>
      <w:r w:rsidRPr="00410EDF">
        <w:rPr>
          <w:rFonts w:ascii="Arial" w:hAnsi="Arial" w:cs="Arial"/>
          <w:b/>
          <w:sz w:val="24"/>
          <w:szCs w:val="24"/>
          <w:lang w:eastAsia="ro-RO"/>
        </w:rPr>
        <w:lastRenderedPageBreak/>
        <w:t xml:space="preserve">Măsuri aplicate de către autorităţile administrației publice locale și județene pentru îmbunătăţirea managementului deşeurilor </w:t>
      </w:r>
    </w:p>
    <w:p w:rsidR="00D575A4" w:rsidRPr="00410EDF" w:rsidRDefault="00D575A4" w:rsidP="00C625DB">
      <w:pPr>
        <w:autoSpaceDE w:val="0"/>
        <w:autoSpaceDN w:val="0"/>
        <w:adjustRightInd w:val="0"/>
        <w:spacing w:after="0" w:line="240" w:lineRule="auto"/>
        <w:jc w:val="both"/>
        <w:rPr>
          <w:rFonts w:ascii="Arial" w:hAnsi="Arial" w:cs="Arial"/>
          <w:sz w:val="24"/>
          <w:szCs w:val="24"/>
          <w:lang w:eastAsia="ro-RO"/>
        </w:rPr>
      </w:pP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Prin implementarea prevederilor legale în activitatea curentă a agenţilor economici şi a administraţiilor publice locale, se preconizează că impactul gestionării deşeurilor asupra mediului şi sănătăţii umane se va reduce semnificativ.</w:t>
      </w:r>
      <w:r w:rsidR="00734C43" w:rsidRPr="00410EDF">
        <w:rPr>
          <w:rFonts w:ascii="Arial" w:hAnsi="Arial" w:cs="Arial"/>
          <w:sz w:val="24"/>
          <w:szCs w:val="24"/>
          <w:lang w:val="it-IT"/>
        </w:rPr>
        <w:t xml:space="preserve"> </w:t>
      </w:r>
      <w:r w:rsidRPr="00410EDF">
        <w:rPr>
          <w:rFonts w:ascii="Arial" w:hAnsi="Arial" w:cs="Arial"/>
          <w:sz w:val="24"/>
          <w:szCs w:val="24"/>
          <w:lang w:val="it-IT"/>
        </w:rPr>
        <w:t>Obiectivul general al Strategiei Naţionale de Gestionare a Deşeurilor este dezvoltarea unui sistem integrat de gestionare a deşeurilor, eficient din punct de vedere economic şi care să asigure protecţia sănătăţii populaţiei şi a mediului.Aplicarea unui sistem durabil de gestionare a deşeurilor implică schimbări majore ale practicilor actuale. În prezent priorităţile în gestionarea deşeurilor nu sunt în conformitate cu prevederile legislative care stabilesc următoarea ierarhie:</w:t>
      </w:r>
    </w:p>
    <w:p w:rsidR="00F065B7" w:rsidRPr="00410EDF" w:rsidRDefault="003D04DD" w:rsidP="00252ED3">
      <w:pPr>
        <w:pStyle w:val="ListParagraph"/>
        <w:numPr>
          <w:ilvl w:val="0"/>
          <w:numId w:val="59"/>
        </w:numPr>
        <w:jc w:val="both"/>
        <w:rPr>
          <w:rFonts w:ascii="Arial" w:hAnsi="Arial" w:cs="Arial"/>
          <w:b/>
        </w:rPr>
      </w:pPr>
      <w:hyperlink r:id="rId127" w:anchor="#" w:history="1"/>
      <w:r w:rsidR="00F065B7" w:rsidRPr="00410EDF">
        <w:rPr>
          <w:rFonts w:ascii="Arial" w:hAnsi="Arial" w:cs="Arial"/>
        </w:rPr>
        <w:t>prevenirea( minimizarea cantităţilor generate);</w:t>
      </w:r>
    </w:p>
    <w:p w:rsidR="00F065B7" w:rsidRPr="00410EDF" w:rsidRDefault="003D04DD" w:rsidP="00252ED3">
      <w:pPr>
        <w:pStyle w:val="ListParagraph"/>
        <w:numPr>
          <w:ilvl w:val="0"/>
          <w:numId w:val="59"/>
        </w:numPr>
        <w:jc w:val="both"/>
        <w:rPr>
          <w:rFonts w:ascii="Arial" w:hAnsi="Arial" w:cs="Arial"/>
          <w:b/>
        </w:rPr>
      </w:pPr>
      <w:hyperlink r:id="rId128" w:anchor="#" w:history="1"/>
      <w:r w:rsidR="00F065B7" w:rsidRPr="00410EDF">
        <w:rPr>
          <w:rFonts w:ascii="Arial" w:hAnsi="Arial" w:cs="Arial"/>
        </w:rPr>
        <w:t>pregătirea pentru reutilizare;</w:t>
      </w:r>
    </w:p>
    <w:p w:rsidR="00F065B7" w:rsidRPr="00410EDF" w:rsidRDefault="003D04DD" w:rsidP="00252ED3">
      <w:pPr>
        <w:pStyle w:val="ListParagraph"/>
        <w:numPr>
          <w:ilvl w:val="0"/>
          <w:numId w:val="59"/>
        </w:numPr>
        <w:jc w:val="both"/>
        <w:rPr>
          <w:rFonts w:ascii="Arial" w:hAnsi="Arial" w:cs="Arial"/>
          <w:b/>
        </w:rPr>
      </w:pPr>
      <w:hyperlink r:id="rId129" w:anchor="#" w:history="1"/>
      <w:r w:rsidR="00F065B7" w:rsidRPr="00410EDF">
        <w:rPr>
          <w:rFonts w:ascii="Arial" w:hAnsi="Arial" w:cs="Arial"/>
        </w:rPr>
        <w:t>reciclarea;</w:t>
      </w:r>
    </w:p>
    <w:p w:rsidR="00F065B7" w:rsidRPr="00410EDF" w:rsidRDefault="003D04DD" w:rsidP="00252ED3">
      <w:pPr>
        <w:pStyle w:val="ListParagraph"/>
        <w:numPr>
          <w:ilvl w:val="0"/>
          <w:numId w:val="59"/>
        </w:numPr>
        <w:jc w:val="both"/>
        <w:rPr>
          <w:rFonts w:ascii="Arial" w:hAnsi="Arial" w:cs="Arial"/>
          <w:b/>
        </w:rPr>
      </w:pPr>
      <w:hyperlink r:id="rId130" w:anchor="#" w:history="1"/>
      <w:r w:rsidR="00F065B7" w:rsidRPr="00410EDF">
        <w:rPr>
          <w:rFonts w:ascii="Arial" w:hAnsi="Arial" w:cs="Arial"/>
        </w:rPr>
        <w:t>alte operaţiuni de valorificare, de exemplu valorificarea energetică;</w:t>
      </w:r>
    </w:p>
    <w:p w:rsidR="00F065B7" w:rsidRPr="00410EDF" w:rsidRDefault="003D04DD" w:rsidP="00252ED3">
      <w:pPr>
        <w:pStyle w:val="ListParagraph"/>
        <w:numPr>
          <w:ilvl w:val="0"/>
          <w:numId w:val="59"/>
        </w:numPr>
        <w:jc w:val="both"/>
        <w:rPr>
          <w:rFonts w:ascii="Arial" w:hAnsi="Arial" w:cs="Arial"/>
          <w:b/>
        </w:rPr>
      </w:pPr>
      <w:hyperlink r:id="rId131" w:anchor="#" w:history="1"/>
      <w:r w:rsidR="00F065B7" w:rsidRPr="00410EDF">
        <w:rPr>
          <w:rFonts w:ascii="Arial" w:hAnsi="Arial" w:cs="Arial"/>
        </w:rPr>
        <w:t>eliminarea (depozitarea).</w:t>
      </w:r>
    </w:p>
    <w:p w:rsidR="00F065B7" w:rsidRPr="00410EDF" w:rsidRDefault="00F065B7" w:rsidP="00C625DB">
      <w:pPr>
        <w:spacing w:after="0" w:line="240" w:lineRule="auto"/>
        <w:jc w:val="both"/>
        <w:rPr>
          <w:rFonts w:ascii="Arial" w:hAnsi="Arial" w:cs="Arial"/>
          <w:b/>
          <w:sz w:val="24"/>
          <w:szCs w:val="24"/>
        </w:rPr>
      </w:pPr>
    </w:p>
    <w:p w:rsidR="00F065B7" w:rsidRPr="00410EDF" w:rsidRDefault="00F065B7" w:rsidP="00C625DB">
      <w:pPr>
        <w:spacing w:after="0" w:line="240" w:lineRule="auto"/>
        <w:jc w:val="both"/>
        <w:rPr>
          <w:rFonts w:ascii="Arial" w:hAnsi="Arial" w:cs="Arial"/>
          <w:b/>
          <w:sz w:val="24"/>
          <w:szCs w:val="24"/>
        </w:rPr>
      </w:pPr>
      <w:r w:rsidRPr="00410EDF">
        <w:rPr>
          <w:rFonts w:ascii="Arial" w:hAnsi="Arial" w:cs="Arial"/>
          <w:b/>
          <w:sz w:val="24"/>
          <w:szCs w:val="24"/>
        </w:rPr>
        <w:t xml:space="preserve">Planul Judetean de Gestionare a Deşeurilor (PJGD) </w:t>
      </w:r>
    </w:p>
    <w:p w:rsidR="00F065B7" w:rsidRPr="00410EDF" w:rsidRDefault="00F065B7" w:rsidP="00C625DB">
      <w:pPr>
        <w:widowControl w:val="0"/>
        <w:spacing w:after="0" w:line="240" w:lineRule="auto"/>
        <w:jc w:val="both"/>
        <w:rPr>
          <w:rFonts w:ascii="Arial" w:hAnsi="Arial" w:cs="Arial"/>
          <w:b/>
          <w:sz w:val="24"/>
          <w:szCs w:val="24"/>
          <w:lang w:val="it-IT"/>
        </w:rPr>
      </w:pPr>
      <w:r w:rsidRPr="00410EDF">
        <w:rPr>
          <w:rFonts w:ascii="Arial" w:hAnsi="Arial" w:cs="Arial"/>
          <w:sz w:val="24"/>
          <w:szCs w:val="24"/>
          <w:lang w:val="it-IT"/>
        </w:rPr>
        <w:t>Planul Judeţean de Gestionare a Deşeurilor (PJGD) aprobat în 2009 a prevăzut:</w:t>
      </w:r>
    </w:p>
    <w:p w:rsidR="00F065B7" w:rsidRPr="00410EDF" w:rsidRDefault="00F065B7" w:rsidP="00252ED3">
      <w:pPr>
        <w:pStyle w:val="ListParagraph"/>
        <w:numPr>
          <w:ilvl w:val="0"/>
          <w:numId w:val="60"/>
        </w:numPr>
        <w:tabs>
          <w:tab w:val="left" w:pos="171"/>
        </w:tabs>
        <w:jc w:val="both"/>
        <w:rPr>
          <w:rFonts w:ascii="Arial" w:hAnsi="Arial" w:cs="Arial"/>
          <w:b/>
        </w:rPr>
      </w:pPr>
      <w:r w:rsidRPr="00410EDF">
        <w:rPr>
          <w:rFonts w:ascii="Arial" w:hAnsi="Arial" w:cs="Arial"/>
        </w:rPr>
        <w:t>precolectare aport individual la platforme comune pe 4 fracții- colectarea deşeurilor de către populație din gospodării și depozitarea la puncte de colectare (recipienți de depozitare specializați)</w:t>
      </w:r>
    </w:p>
    <w:p w:rsidR="00F065B7" w:rsidRPr="00410EDF" w:rsidRDefault="00F065B7" w:rsidP="00252ED3">
      <w:pPr>
        <w:pStyle w:val="ListParagraph"/>
        <w:numPr>
          <w:ilvl w:val="0"/>
          <w:numId w:val="60"/>
        </w:numPr>
        <w:tabs>
          <w:tab w:val="left" w:pos="171"/>
        </w:tabs>
        <w:jc w:val="both"/>
        <w:rPr>
          <w:rFonts w:ascii="Arial" w:hAnsi="Arial" w:cs="Arial"/>
          <w:b/>
          <w:lang w:val="it-IT"/>
        </w:rPr>
      </w:pPr>
      <w:r w:rsidRPr="00410EDF">
        <w:rPr>
          <w:rFonts w:ascii="Arial" w:hAnsi="Arial" w:cs="Arial"/>
          <w:lang w:val="it-IT"/>
        </w:rPr>
        <w:t xml:space="preserve">colectare-gestionare pe 5 zone Muchea, Făurei, Ianca, Însurăţei si Frecăței, </w:t>
      </w:r>
    </w:p>
    <w:p w:rsidR="00F065B7" w:rsidRPr="00410EDF" w:rsidRDefault="00F065B7" w:rsidP="00252ED3">
      <w:pPr>
        <w:pStyle w:val="ListParagraph"/>
        <w:numPr>
          <w:ilvl w:val="0"/>
          <w:numId w:val="60"/>
        </w:numPr>
        <w:tabs>
          <w:tab w:val="left" w:pos="171"/>
        </w:tabs>
        <w:jc w:val="both"/>
        <w:rPr>
          <w:rFonts w:ascii="Arial" w:hAnsi="Arial" w:cs="Arial"/>
          <w:b/>
          <w:lang w:val="it-IT"/>
        </w:rPr>
      </w:pPr>
      <w:r w:rsidRPr="00410EDF">
        <w:rPr>
          <w:rFonts w:ascii="Arial" w:hAnsi="Arial" w:cs="Arial"/>
          <w:lang w:val="it-IT"/>
        </w:rPr>
        <w:t>3 statii de transfer  Făurei, Frecăței și Însurăţei</w:t>
      </w:r>
    </w:p>
    <w:p w:rsidR="00F065B7" w:rsidRPr="00410EDF" w:rsidRDefault="00F065B7" w:rsidP="00252ED3">
      <w:pPr>
        <w:pStyle w:val="ListParagraph"/>
        <w:numPr>
          <w:ilvl w:val="0"/>
          <w:numId w:val="60"/>
        </w:numPr>
        <w:tabs>
          <w:tab w:val="left" w:pos="171"/>
        </w:tabs>
        <w:jc w:val="both"/>
        <w:rPr>
          <w:rFonts w:ascii="Arial" w:hAnsi="Arial" w:cs="Arial"/>
          <w:b/>
          <w:lang w:val="it-IT"/>
        </w:rPr>
      </w:pPr>
      <w:r w:rsidRPr="00410EDF">
        <w:rPr>
          <w:rFonts w:ascii="Arial" w:hAnsi="Arial" w:cs="Arial"/>
          <w:lang w:val="it-IT"/>
        </w:rPr>
        <w:t>sortarea la depozitele ecologice Muchea și Ianca, la statie de sortare de la Ianca și la nivel centralizat -complex Ecologic Vădeni.</w:t>
      </w:r>
    </w:p>
    <w:p w:rsidR="00F065B7" w:rsidRPr="00410EDF" w:rsidRDefault="00F065B7" w:rsidP="00252ED3">
      <w:pPr>
        <w:pStyle w:val="ListParagraph"/>
        <w:numPr>
          <w:ilvl w:val="0"/>
          <w:numId w:val="60"/>
        </w:numPr>
        <w:tabs>
          <w:tab w:val="left" w:pos="171"/>
        </w:tabs>
        <w:jc w:val="both"/>
        <w:rPr>
          <w:rFonts w:ascii="Arial" w:hAnsi="Arial" w:cs="Arial"/>
          <w:b/>
          <w:lang w:val="it-IT"/>
        </w:rPr>
      </w:pPr>
      <w:r w:rsidRPr="00410EDF">
        <w:rPr>
          <w:rFonts w:ascii="Arial" w:hAnsi="Arial" w:cs="Arial"/>
          <w:lang w:val="it-IT"/>
        </w:rPr>
        <w:t xml:space="preserve">3 statii de compost realizate anterior întocmirii PJGD, Făurei, Ianca și Însurăţei, </w:t>
      </w:r>
    </w:p>
    <w:p w:rsidR="00F065B7" w:rsidRPr="00410EDF" w:rsidRDefault="00F065B7" w:rsidP="00252ED3">
      <w:pPr>
        <w:pStyle w:val="ListParagraph"/>
        <w:numPr>
          <w:ilvl w:val="0"/>
          <w:numId w:val="60"/>
        </w:numPr>
        <w:tabs>
          <w:tab w:val="left" w:pos="171"/>
        </w:tabs>
        <w:jc w:val="both"/>
        <w:rPr>
          <w:rFonts w:ascii="Arial" w:hAnsi="Arial" w:cs="Arial"/>
          <w:b/>
          <w:lang w:val="it-IT"/>
        </w:rPr>
      </w:pPr>
      <w:r w:rsidRPr="00410EDF">
        <w:rPr>
          <w:rFonts w:ascii="Arial" w:hAnsi="Arial" w:cs="Arial"/>
          <w:lang w:val="it-IT"/>
        </w:rPr>
        <w:t>tratare deşeuri- complex integrat la Vădeni tratare a deşeurilor</w:t>
      </w:r>
    </w:p>
    <w:p w:rsidR="00F065B7" w:rsidRPr="00410EDF" w:rsidRDefault="00F065B7" w:rsidP="00252ED3">
      <w:pPr>
        <w:pStyle w:val="ListParagraph"/>
        <w:numPr>
          <w:ilvl w:val="0"/>
          <w:numId w:val="60"/>
        </w:numPr>
        <w:tabs>
          <w:tab w:val="left" w:pos="171"/>
        </w:tabs>
        <w:jc w:val="both"/>
        <w:rPr>
          <w:rFonts w:ascii="Arial" w:hAnsi="Arial" w:cs="Arial"/>
          <w:b/>
          <w:lang w:val="it-IT"/>
        </w:rPr>
      </w:pPr>
      <w:r w:rsidRPr="00410EDF">
        <w:rPr>
          <w:rFonts w:ascii="Arial" w:hAnsi="Arial" w:cs="Arial"/>
          <w:lang w:val="it-IT"/>
        </w:rPr>
        <w:t>eliminare deşeuri-depozitate în două depozite conforme: Muchea (existent) și Ianca ce urmează a se înființa</w:t>
      </w:r>
    </w:p>
    <w:p w:rsidR="00F065B7" w:rsidRPr="00410EDF" w:rsidRDefault="00F065B7" w:rsidP="00C625DB">
      <w:pPr>
        <w:tabs>
          <w:tab w:val="left" w:pos="171"/>
        </w:tabs>
        <w:spacing w:after="0" w:line="240" w:lineRule="auto"/>
        <w:jc w:val="both"/>
        <w:rPr>
          <w:rFonts w:ascii="Arial" w:hAnsi="Arial" w:cs="Arial"/>
          <w:b/>
          <w:sz w:val="24"/>
          <w:szCs w:val="24"/>
          <w:lang w:val="it-IT"/>
        </w:rPr>
      </w:pP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 xml:space="preserve">Ulterior, a fost realizat Planul de investiții pe termen lung pentru perioada 2008 - 2038 ”Managementul Integrat al Deşeurilor în Județul </w:t>
      </w:r>
      <w:r w:rsidR="00217620">
        <w:rPr>
          <w:rFonts w:ascii="Arial" w:hAnsi="Arial" w:cs="Arial"/>
          <w:sz w:val="24"/>
          <w:szCs w:val="24"/>
          <w:lang w:val="it-IT"/>
        </w:rPr>
        <w:t>Brăila</w:t>
      </w:r>
      <w:r w:rsidRPr="00410EDF">
        <w:rPr>
          <w:rFonts w:ascii="Arial" w:hAnsi="Arial" w:cs="Arial"/>
          <w:sz w:val="24"/>
          <w:szCs w:val="24"/>
          <w:lang w:val="it-IT"/>
        </w:rPr>
        <w:t xml:space="preserve">” (MASTERPLAN), (aprobat prin HCJ nr. 95/2009), plan care stabileste calendarul de implementare pentru realizarea investițiilor din PJGD și obținerea finanțărilor prin POS Mediu. </w:t>
      </w:r>
    </w:p>
    <w:p w:rsidR="00F065B7" w:rsidRPr="00410EDF" w:rsidRDefault="00F065B7" w:rsidP="00C625DB">
      <w:pPr>
        <w:widowControl w:val="0"/>
        <w:spacing w:after="0" w:line="240" w:lineRule="auto"/>
        <w:jc w:val="both"/>
        <w:rPr>
          <w:rFonts w:ascii="Arial" w:hAnsi="Arial" w:cs="Arial"/>
          <w:b/>
          <w:sz w:val="24"/>
          <w:szCs w:val="24"/>
          <w:lang w:val="it-IT"/>
        </w:rPr>
      </w:pPr>
    </w:p>
    <w:p w:rsidR="00F065B7" w:rsidRPr="00410EDF" w:rsidRDefault="00F065B7" w:rsidP="00C625DB">
      <w:pPr>
        <w:widowControl w:val="0"/>
        <w:spacing w:after="0" w:line="240" w:lineRule="auto"/>
        <w:jc w:val="both"/>
        <w:rPr>
          <w:rFonts w:ascii="Arial" w:hAnsi="Arial" w:cs="Arial"/>
          <w:b/>
          <w:sz w:val="24"/>
          <w:szCs w:val="24"/>
          <w:lang w:val="it-IT"/>
        </w:rPr>
      </w:pPr>
      <w:r w:rsidRPr="00410EDF">
        <w:rPr>
          <w:rFonts w:ascii="Arial" w:hAnsi="Arial" w:cs="Arial"/>
          <w:sz w:val="24"/>
          <w:szCs w:val="24"/>
          <w:lang w:val="it-IT"/>
        </w:rPr>
        <w:t>Obiectivele proiectului sunt următoarele:</w:t>
      </w:r>
    </w:p>
    <w:p w:rsidR="00F065B7" w:rsidRPr="00410EDF" w:rsidRDefault="00F065B7" w:rsidP="00252ED3">
      <w:pPr>
        <w:pStyle w:val="ListParagraph"/>
        <w:widowControl w:val="0"/>
        <w:numPr>
          <w:ilvl w:val="0"/>
          <w:numId w:val="61"/>
        </w:numPr>
        <w:jc w:val="both"/>
        <w:rPr>
          <w:rFonts w:ascii="Arial" w:hAnsi="Arial" w:cs="Arial"/>
          <w:b/>
          <w:lang w:val="it-IT"/>
        </w:rPr>
      </w:pPr>
      <w:r w:rsidRPr="00410EDF">
        <w:rPr>
          <w:rFonts w:ascii="Arial" w:hAnsi="Arial" w:cs="Arial"/>
          <w:lang w:val="it-IT"/>
        </w:rPr>
        <w:t>Asigurarea conformităţii cu legislaţia UE şi cu legislaţia românească privind depozitarea deşeurilor biodegradabile, prin construirea unei staţii de compostare a deşeurilor, precum şi prin implementarea unui sistem de colectare selectivă a acestora;</w:t>
      </w:r>
    </w:p>
    <w:p w:rsidR="00F065B7" w:rsidRPr="00410EDF" w:rsidRDefault="00F065B7" w:rsidP="00252ED3">
      <w:pPr>
        <w:pStyle w:val="ListParagraph"/>
        <w:widowControl w:val="0"/>
        <w:numPr>
          <w:ilvl w:val="0"/>
          <w:numId w:val="61"/>
        </w:numPr>
        <w:jc w:val="both"/>
        <w:rPr>
          <w:rFonts w:ascii="Arial" w:hAnsi="Arial" w:cs="Arial"/>
          <w:b/>
          <w:lang w:val="it-IT"/>
        </w:rPr>
      </w:pPr>
      <w:r w:rsidRPr="00410EDF">
        <w:rPr>
          <w:rFonts w:ascii="Arial" w:hAnsi="Arial" w:cs="Arial"/>
          <w:lang w:val="it-IT"/>
        </w:rPr>
        <w:t>Asigurarea conformităţii cu legislaţia UE şi cu legislaţia românească privind colectarea deşeurilor din ambalaje, prin construirea unei staţii de sortare a deşeurilor, precum şi prin implementarea unui sistem de colectare selectivă a acestora;</w:t>
      </w:r>
    </w:p>
    <w:p w:rsidR="00F065B7" w:rsidRPr="00410EDF" w:rsidRDefault="00F065B7" w:rsidP="00252ED3">
      <w:pPr>
        <w:pStyle w:val="ListParagraph"/>
        <w:widowControl w:val="0"/>
        <w:numPr>
          <w:ilvl w:val="0"/>
          <w:numId w:val="61"/>
        </w:numPr>
        <w:jc w:val="both"/>
        <w:rPr>
          <w:rFonts w:ascii="Arial" w:hAnsi="Arial" w:cs="Arial"/>
          <w:b/>
          <w:lang w:val="it-IT"/>
        </w:rPr>
      </w:pPr>
      <w:r w:rsidRPr="00410EDF">
        <w:rPr>
          <w:rFonts w:ascii="Arial" w:hAnsi="Arial" w:cs="Arial"/>
          <w:lang w:val="it-IT"/>
        </w:rPr>
        <w:t>Reducerea costurilor de transport a deşeurilor municipale mixte prin construirea unei staţii de transfer şi achiziţia echipamentelor şi utilajelor necesare pentru transfer;</w:t>
      </w:r>
    </w:p>
    <w:p w:rsidR="00F065B7" w:rsidRPr="00410EDF" w:rsidRDefault="00F065B7" w:rsidP="00252ED3">
      <w:pPr>
        <w:pStyle w:val="ListParagraph"/>
        <w:widowControl w:val="0"/>
        <w:numPr>
          <w:ilvl w:val="0"/>
          <w:numId w:val="61"/>
        </w:numPr>
        <w:jc w:val="both"/>
        <w:rPr>
          <w:rFonts w:ascii="Arial" w:hAnsi="Arial" w:cs="Arial"/>
          <w:b/>
          <w:lang w:val="it-IT"/>
        </w:rPr>
      </w:pPr>
      <w:r w:rsidRPr="00410EDF">
        <w:rPr>
          <w:rFonts w:ascii="Arial" w:hAnsi="Arial" w:cs="Arial"/>
          <w:lang w:val="it-IT"/>
        </w:rPr>
        <w:t>Realizarea unei depozitări a deşeurilor eficientă din punct de vedere ecologic, prin construirea unui centru de management integrat al deşeurilor, a cărei componentă principală este un depozit ecologic;</w:t>
      </w:r>
    </w:p>
    <w:p w:rsidR="00F065B7" w:rsidRPr="00410EDF" w:rsidRDefault="00F065B7" w:rsidP="00252ED3">
      <w:pPr>
        <w:pStyle w:val="ListParagraph"/>
        <w:widowControl w:val="0"/>
        <w:numPr>
          <w:ilvl w:val="0"/>
          <w:numId w:val="61"/>
        </w:numPr>
        <w:jc w:val="both"/>
        <w:rPr>
          <w:rFonts w:ascii="Arial" w:hAnsi="Arial" w:cs="Arial"/>
          <w:b/>
          <w:lang w:val="it-IT"/>
        </w:rPr>
      </w:pPr>
      <w:r w:rsidRPr="00410EDF">
        <w:rPr>
          <w:rFonts w:ascii="Arial" w:hAnsi="Arial" w:cs="Arial"/>
          <w:lang w:val="it-IT"/>
        </w:rPr>
        <w:t xml:space="preserve">Reducerea la minim a impactului depozitelor urbane asupra mediului, prin închiderea şi reabilitarea depozitelor urbane existente în judeţul </w:t>
      </w:r>
      <w:r w:rsidR="00217620">
        <w:rPr>
          <w:rFonts w:ascii="Arial" w:hAnsi="Arial" w:cs="Arial"/>
          <w:lang w:val="it-IT"/>
        </w:rPr>
        <w:t>Brăila</w:t>
      </w:r>
      <w:r w:rsidRPr="00410EDF">
        <w:rPr>
          <w:rFonts w:ascii="Arial" w:hAnsi="Arial" w:cs="Arial"/>
          <w:lang w:val="it-IT"/>
        </w:rPr>
        <w:t>.</w:t>
      </w:r>
    </w:p>
    <w:p w:rsidR="00F065B7" w:rsidRPr="00410EDF" w:rsidRDefault="00F065B7" w:rsidP="00252ED3">
      <w:pPr>
        <w:pStyle w:val="ListParagraph"/>
        <w:widowControl w:val="0"/>
        <w:numPr>
          <w:ilvl w:val="0"/>
          <w:numId w:val="61"/>
        </w:numPr>
        <w:jc w:val="both"/>
        <w:rPr>
          <w:rFonts w:ascii="Arial" w:hAnsi="Arial" w:cs="Arial"/>
          <w:b/>
          <w:lang w:val="it-IT"/>
        </w:rPr>
      </w:pPr>
      <w:r w:rsidRPr="00410EDF">
        <w:rPr>
          <w:rFonts w:ascii="Arial" w:hAnsi="Arial" w:cs="Arial"/>
          <w:lang w:val="it-IT"/>
        </w:rPr>
        <w:t xml:space="preserve">La acestea se adaugă un contract de furnizare bunuri: “Achiziţii de echipamente pentru colectarea deşeurilor din judeţul </w:t>
      </w:r>
      <w:r w:rsidR="00217620">
        <w:rPr>
          <w:rFonts w:ascii="Arial" w:hAnsi="Arial" w:cs="Arial"/>
          <w:lang w:val="it-IT"/>
        </w:rPr>
        <w:t>Brăila</w:t>
      </w:r>
      <w:r w:rsidRPr="00410EDF">
        <w:rPr>
          <w:rFonts w:ascii="Arial" w:hAnsi="Arial" w:cs="Arial"/>
          <w:lang w:val="it-IT"/>
        </w:rPr>
        <w:t xml:space="preserve">” şi un contract de concesiune servicii pentru </w:t>
      </w:r>
      <w:r w:rsidRPr="00410EDF">
        <w:rPr>
          <w:rFonts w:ascii="Arial" w:hAnsi="Arial" w:cs="Arial"/>
          <w:lang w:val="it-IT"/>
        </w:rPr>
        <w:lastRenderedPageBreak/>
        <w:t xml:space="preserve">desemnarea operatorilor sistemului de management integrat al deşeurilor din judeţul </w:t>
      </w:r>
      <w:r w:rsidR="00217620">
        <w:rPr>
          <w:rFonts w:ascii="Arial" w:hAnsi="Arial" w:cs="Arial"/>
          <w:lang w:val="it-IT"/>
        </w:rPr>
        <w:t>Brăila</w:t>
      </w:r>
      <w:r w:rsidRPr="00410EDF">
        <w:rPr>
          <w:rFonts w:ascii="Arial" w:hAnsi="Arial" w:cs="Arial"/>
          <w:lang w:val="it-IT"/>
        </w:rPr>
        <w:t>.</w:t>
      </w:r>
    </w:p>
    <w:p w:rsidR="00734C43" w:rsidRPr="00410EDF" w:rsidRDefault="00734C43"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 xml:space="preserve">Proiectul de realizare a investiţiilor prevăzute în MASTERPLAN a fost reglementat în iulie 2011 (acord integrat de mediu emis de ARPM Galaţi). Sistemul va deservi o suprafaţă de 4765,76 km² şi întreaga populaţie a judeţului </w:t>
      </w:r>
      <w:r w:rsidR="00217620">
        <w:rPr>
          <w:rFonts w:ascii="Arial" w:hAnsi="Arial" w:cs="Arial"/>
          <w:sz w:val="24"/>
          <w:szCs w:val="24"/>
          <w:lang w:val="it-IT"/>
        </w:rPr>
        <w:t>Brăila</w:t>
      </w:r>
      <w:r w:rsidRPr="00410EDF">
        <w:rPr>
          <w:rFonts w:ascii="Arial" w:hAnsi="Arial" w:cs="Arial"/>
          <w:sz w:val="24"/>
          <w:szCs w:val="24"/>
          <w:lang w:val="it-IT"/>
        </w:rPr>
        <w:t xml:space="preserve"> (362.352 locuitori la nivelul anului 2008).</w:t>
      </w:r>
    </w:p>
    <w:p w:rsidR="00734C43" w:rsidRPr="00410EDF" w:rsidRDefault="00734C43" w:rsidP="00C625DB">
      <w:pPr>
        <w:autoSpaceDE w:val="0"/>
        <w:autoSpaceDN w:val="0"/>
        <w:adjustRightInd w:val="0"/>
        <w:spacing w:after="0" w:line="240" w:lineRule="auto"/>
        <w:ind w:firstLine="708"/>
        <w:jc w:val="both"/>
        <w:rPr>
          <w:rFonts w:ascii="Arial" w:hAnsi="Arial" w:cs="Arial"/>
          <w:sz w:val="24"/>
          <w:szCs w:val="24"/>
          <w:lang w:val="it-IT"/>
        </w:rPr>
      </w:pPr>
    </w:p>
    <w:p w:rsidR="00734C43" w:rsidRPr="00410EDF" w:rsidRDefault="00734C43"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Valoarea totală a proiectului a fost de 117.510.033 lei inclusiv TVA, din care valoarea eligibilă conform POS Mediu este de 104.266.631 lei, împărțită pe surse de finanțare astfel:</w:t>
      </w:r>
    </w:p>
    <w:p w:rsidR="00734C43" w:rsidRPr="00410EDF" w:rsidRDefault="00734C43"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 finanţare nerambursabilă din Fondul European de Dezvoltare Regională şi din bugetul de stat: 103.184.362 lei</w:t>
      </w:r>
    </w:p>
    <w:p w:rsidR="00734C43" w:rsidRPr="00410EDF" w:rsidRDefault="00734C43"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 contribuţia Beneficiarului, din bugetul local: 1.042.269 lei</w:t>
      </w:r>
    </w:p>
    <w:p w:rsidR="00734C43" w:rsidRPr="00410EDF" w:rsidRDefault="00734C43"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 contribuția Beneficiarului la valoarea proiectului, alta decât cea eligibilă conform POS Mediu este de 13.283.402 lei.</w:t>
      </w:r>
    </w:p>
    <w:p w:rsidR="00734C43" w:rsidRPr="00410EDF" w:rsidRDefault="00734C43" w:rsidP="00C625DB">
      <w:pPr>
        <w:spacing w:after="0" w:line="240" w:lineRule="auto"/>
        <w:jc w:val="both"/>
        <w:rPr>
          <w:rFonts w:ascii="Arial" w:hAnsi="Arial" w:cs="Arial"/>
          <w:b/>
          <w:sz w:val="24"/>
          <w:szCs w:val="24"/>
        </w:rPr>
      </w:pPr>
    </w:p>
    <w:p w:rsidR="00734C43" w:rsidRPr="00410EDF" w:rsidRDefault="00734C43" w:rsidP="00C625DB">
      <w:pPr>
        <w:spacing w:after="0" w:line="240" w:lineRule="auto"/>
        <w:jc w:val="both"/>
        <w:rPr>
          <w:rFonts w:ascii="Arial" w:hAnsi="Arial" w:cs="Arial"/>
          <w:b/>
          <w:sz w:val="24"/>
          <w:szCs w:val="24"/>
        </w:rPr>
      </w:pPr>
      <w:r w:rsidRPr="00410EDF">
        <w:rPr>
          <w:rFonts w:ascii="Arial" w:hAnsi="Arial" w:cs="Arial"/>
          <w:b/>
          <w:sz w:val="24"/>
          <w:szCs w:val="24"/>
        </w:rPr>
        <w:t>Lucrările propuse prin proiect au fost:</w:t>
      </w:r>
    </w:p>
    <w:p w:rsidR="00734C43" w:rsidRPr="00410EDF" w:rsidRDefault="00734C43" w:rsidP="00C625DB">
      <w:pPr>
        <w:spacing w:after="0" w:line="240" w:lineRule="auto"/>
        <w:jc w:val="both"/>
        <w:rPr>
          <w:rFonts w:ascii="Arial" w:hAnsi="Arial" w:cs="Arial"/>
          <w:sz w:val="24"/>
          <w:szCs w:val="24"/>
        </w:rPr>
      </w:pPr>
      <w:r w:rsidRPr="00410EDF">
        <w:rPr>
          <w:rFonts w:ascii="Arial" w:hAnsi="Arial" w:cs="Arial"/>
          <w:sz w:val="24"/>
          <w:szCs w:val="24"/>
        </w:rPr>
        <w:t xml:space="preserve">- Implementarea unui sistem de colectare selectivă duală în toate localităţile din judeţul </w:t>
      </w:r>
      <w:r w:rsidR="00217620">
        <w:rPr>
          <w:rFonts w:ascii="Arial" w:hAnsi="Arial" w:cs="Arial"/>
          <w:sz w:val="24"/>
          <w:szCs w:val="24"/>
        </w:rPr>
        <w:t>Brăila</w:t>
      </w:r>
      <w:r w:rsidRPr="00410EDF">
        <w:rPr>
          <w:rFonts w:ascii="Arial" w:hAnsi="Arial" w:cs="Arial"/>
          <w:sz w:val="24"/>
          <w:szCs w:val="24"/>
        </w:rPr>
        <w:t>;</w:t>
      </w:r>
    </w:p>
    <w:p w:rsidR="00734C43" w:rsidRPr="00410EDF" w:rsidRDefault="00734C43" w:rsidP="00C625DB">
      <w:pPr>
        <w:spacing w:after="0" w:line="240" w:lineRule="auto"/>
        <w:jc w:val="both"/>
        <w:rPr>
          <w:rFonts w:ascii="Arial" w:hAnsi="Arial" w:cs="Arial"/>
          <w:sz w:val="24"/>
          <w:szCs w:val="24"/>
        </w:rPr>
      </w:pPr>
      <w:r w:rsidRPr="00410EDF">
        <w:rPr>
          <w:rFonts w:ascii="Arial" w:hAnsi="Arial" w:cs="Arial"/>
          <w:sz w:val="24"/>
          <w:szCs w:val="24"/>
        </w:rPr>
        <w:t xml:space="preserve">- Depozit de deşeuri nepericuloase şi staţie de sortare Ianca; </w:t>
      </w:r>
    </w:p>
    <w:p w:rsidR="00734C43" w:rsidRPr="00410EDF" w:rsidRDefault="00734C43" w:rsidP="00C625DB">
      <w:pPr>
        <w:spacing w:after="0" w:line="240" w:lineRule="auto"/>
        <w:jc w:val="both"/>
        <w:rPr>
          <w:rFonts w:ascii="Arial" w:hAnsi="Arial" w:cs="Arial"/>
          <w:sz w:val="24"/>
          <w:szCs w:val="24"/>
        </w:rPr>
      </w:pPr>
      <w:r w:rsidRPr="00410EDF">
        <w:rPr>
          <w:rFonts w:ascii="Arial" w:hAnsi="Arial" w:cs="Arial"/>
          <w:sz w:val="24"/>
          <w:szCs w:val="24"/>
        </w:rPr>
        <w:t xml:space="preserve">- Staţie de transfer Însurăţei. </w:t>
      </w:r>
    </w:p>
    <w:p w:rsidR="00734C43" w:rsidRPr="00410EDF" w:rsidRDefault="00734C43" w:rsidP="00C625DB">
      <w:pPr>
        <w:spacing w:after="0" w:line="240" w:lineRule="auto"/>
        <w:jc w:val="both"/>
        <w:rPr>
          <w:rFonts w:ascii="Arial" w:hAnsi="Arial" w:cs="Arial"/>
          <w:sz w:val="24"/>
          <w:szCs w:val="24"/>
        </w:rPr>
      </w:pPr>
      <w:r w:rsidRPr="00410EDF">
        <w:rPr>
          <w:rFonts w:ascii="Arial" w:hAnsi="Arial" w:cs="Arial"/>
          <w:sz w:val="24"/>
          <w:szCs w:val="24"/>
        </w:rPr>
        <w:t>- Închiderea depozitului neconform Ianca .</w:t>
      </w:r>
    </w:p>
    <w:p w:rsidR="00734C43" w:rsidRPr="00410EDF" w:rsidRDefault="00734C43" w:rsidP="00C625DB">
      <w:pPr>
        <w:spacing w:after="0" w:line="240" w:lineRule="auto"/>
        <w:jc w:val="both"/>
        <w:rPr>
          <w:rFonts w:ascii="Arial" w:hAnsi="Arial" w:cs="Arial"/>
          <w:sz w:val="24"/>
          <w:szCs w:val="24"/>
        </w:rPr>
      </w:pPr>
      <w:r w:rsidRPr="00410EDF">
        <w:rPr>
          <w:rFonts w:ascii="Arial" w:hAnsi="Arial" w:cs="Arial"/>
          <w:sz w:val="24"/>
          <w:szCs w:val="24"/>
        </w:rPr>
        <w:t xml:space="preserve">- Staţie de sortare şi compostare Vădeni </w:t>
      </w:r>
    </w:p>
    <w:p w:rsidR="00734C43" w:rsidRPr="00410EDF" w:rsidRDefault="00734C43" w:rsidP="00C625DB">
      <w:pPr>
        <w:spacing w:after="0" w:line="240" w:lineRule="auto"/>
        <w:jc w:val="both"/>
        <w:rPr>
          <w:rFonts w:ascii="Arial" w:eastAsia="Times New Roman" w:hAnsi="Arial" w:cs="Arial"/>
          <w:sz w:val="24"/>
          <w:szCs w:val="24"/>
          <w:lang w:eastAsia="ro-RO"/>
        </w:rPr>
      </w:pPr>
    </w:p>
    <w:p w:rsidR="00734C43" w:rsidRPr="00410EDF" w:rsidRDefault="00734C43"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Există întârzieri în implementarea proiectului, deoarece antreprenorul nu a respectat graficul de execuție. Sistemul trebuia inițial pus în funcțiune în toamna 2015, s-a amânat pentru toamna 2016 dar termenul nu s-a respectat. Marea majoritate a lucrarilor a fost realizată până la sfârșitul trim. I 2015, a rămas nerealizată stația Vădeni.Contractul de finanțare POIM nr. 25/9.02.2017 prevede fazarea proiectului cu termen de finalizare 31.01.2019. Valoarea totală a contractului este de 34.181.045 lei cu TVA, din care 29.628.943 lei reprezintă valoarea eligibilă nerambursabilă din Fondul de Coeziune și Bugetul de Stat.</w:t>
      </w:r>
    </w:p>
    <w:p w:rsidR="00734C43" w:rsidRPr="00410EDF" w:rsidRDefault="00734C43"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Investițiile realizate deja nu pot fi puse în funcțiune deoarece nu s-a putut finaliza concesionarea gestiunii serviciului de salu</w:t>
      </w:r>
      <w:r w:rsidR="007C1699">
        <w:rPr>
          <w:rFonts w:ascii="Arial" w:hAnsi="Arial" w:cs="Arial"/>
          <w:sz w:val="24"/>
          <w:szCs w:val="24"/>
          <w:lang w:val="it-IT"/>
        </w:rPr>
        <w:t>BR</w:t>
      </w:r>
      <w:r w:rsidRPr="00410EDF">
        <w:rPr>
          <w:rFonts w:ascii="Arial" w:hAnsi="Arial" w:cs="Arial"/>
          <w:sz w:val="24"/>
          <w:szCs w:val="24"/>
          <w:lang w:val="it-IT"/>
        </w:rPr>
        <w:t>izare și a operării instalațiilor către un operator unic pentru întregul județ.</w:t>
      </w: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 xml:space="preserve">Beneficiarul direct al proiectului va fi Consiliul Judeţean </w:t>
      </w:r>
      <w:r w:rsidR="00217620">
        <w:rPr>
          <w:rFonts w:ascii="Arial" w:hAnsi="Arial" w:cs="Arial"/>
          <w:sz w:val="24"/>
          <w:szCs w:val="24"/>
          <w:lang w:val="it-IT"/>
        </w:rPr>
        <w:t>Brăila</w:t>
      </w:r>
      <w:r w:rsidRPr="00410EDF">
        <w:rPr>
          <w:rFonts w:ascii="Arial" w:hAnsi="Arial" w:cs="Arial"/>
          <w:sz w:val="24"/>
          <w:szCs w:val="24"/>
          <w:lang w:val="it-IT"/>
        </w:rPr>
        <w:t xml:space="preserve"> (în numele Asociaţiei de Dezvoltare Intercomunitară „Eco Dunărea” </w:t>
      </w:r>
      <w:r w:rsidR="00217620">
        <w:rPr>
          <w:rFonts w:ascii="Arial" w:hAnsi="Arial" w:cs="Arial"/>
          <w:sz w:val="24"/>
          <w:szCs w:val="24"/>
          <w:lang w:val="it-IT"/>
        </w:rPr>
        <w:t>Brăila</w:t>
      </w:r>
      <w:r w:rsidRPr="00410EDF">
        <w:rPr>
          <w:rFonts w:ascii="Arial" w:hAnsi="Arial" w:cs="Arial"/>
          <w:sz w:val="24"/>
          <w:szCs w:val="24"/>
          <w:lang w:val="it-IT"/>
        </w:rPr>
        <w:t>).</w:t>
      </w:r>
      <w:r w:rsidR="00734C43" w:rsidRPr="00410EDF">
        <w:rPr>
          <w:rFonts w:ascii="Arial" w:hAnsi="Arial" w:cs="Arial"/>
          <w:sz w:val="24"/>
          <w:szCs w:val="24"/>
          <w:lang w:val="it-IT"/>
        </w:rPr>
        <w:t xml:space="preserve"> </w:t>
      </w:r>
      <w:r w:rsidRPr="00410EDF">
        <w:rPr>
          <w:rFonts w:ascii="Arial" w:hAnsi="Arial" w:cs="Arial"/>
          <w:sz w:val="24"/>
          <w:szCs w:val="24"/>
          <w:lang w:val="it-IT"/>
        </w:rPr>
        <w:t xml:space="preserve">Beneficiarii finali ai acestui proiect de management al deşeurilor vor fi gospodăriile din judeţ, instituţiile administrative şi sociale, precum şi agenţii economici ce îşi desfăşoară activitatea în Judeţul </w:t>
      </w:r>
      <w:r w:rsidR="00217620">
        <w:rPr>
          <w:rFonts w:ascii="Arial" w:hAnsi="Arial" w:cs="Arial"/>
          <w:sz w:val="24"/>
          <w:szCs w:val="24"/>
          <w:lang w:val="it-IT"/>
        </w:rPr>
        <w:t>Brăila</w:t>
      </w:r>
      <w:r w:rsidRPr="00410EDF">
        <w:rPr>
          <w:rFonts w:ascii="Arial" w:hAnsi="Arial" w:cs="Arial"/>
          <w:sz w:val="24"/>
          <w:szCs w:val="24"/>
          <w:lang w:val="it-IT"/>
        </w:rPr>
        <w:t xml:space="preserve">, în funcţie de tipul de deşeu pe care îl produc. Indirect, întreaga populaţie a judeţului va beneficia de pe urma acestui proiect, prin faptul că toţi vor utiliza un sistem de management al deşeurilor cu un impact redus asupra mediului înconjurator. </w:t>
      </w:r>
    </w:p>
    <w:p w:rsidR="00F065B7" w:rsidRPr="00410EDF" w:rsidRDefault="00F065B7"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Până la realizarea investiţiilor planificate s-a implementat deja o soluţie tranzitorie de colectare şi eliminare a deşeurilor menajere din judeţ prin :</w:t>
      </w:r>
    </w:p>
    <w:p w:rsidR="00F065B7" w:rsidRPr="00410EDF" w:rsidRDefault="00F065B7" w:rsidP="00252ED3">
      <w:pPr>
        <w:pStyle w:val="Implicit"/>
        <w:numPr>
          <w:ilvl w:val="0"/>
          <w:numId w:val="62"/>
        </w:numPr>
        <w:tabs>
          <w:tab w:val="clear" w:pos="720"/>
          <w:tab w:val="left" w:pos="187"/>
          <w:tab w:val="left" w:pos="935"/>
          <w:tab w:val="left" w:pos="1260"/>
          <w:tab w:val="left" w:pos="1620"/>
        </w:tabs>
        <w:spacing w:after="0" w:line="240" w:lineRule="auto"/>
        <w:jc w:val="both"/>
        <w:rPr>
          <w:rFonts w:ascii="Arial" w:hAnsi="Arial" w:cs="Arial"/>
          <w:color w:val="auto"/>
          <w:lang w:val="ro-RO"/>
        </w:rPr>
      </w:pPr>
      <w:r w:rsidRPr="00410EDF">
        <w:rPr>
          <w:rFonts w:ascii="Arial" w:hAnsi="Arial" w:cs="Arial"/>
          <w:color w:val="auto"/>
          <w:lang w:val="ro-RO"/>
        </w:rPr>
        <w:t xml:space="preserve">amenajarea a 10 puncte zonale de colectare prevăzute cu containere de mare capacitate (32mc) în localitățile: Frecăţei, Șuțești, Surdila Găiseanca, Bărăganu, Viziru, Cireşu, Jirlău, Movila Miresii, Silistraru şi Măxineni; </w:t>
      </w:r>
    </w:p>
    <w:p w:rsidR="00F065B7" w:rsidRPr="00410EDF" w:rsidRDefault="00F065B7" w:rsidP="00252ED3">
      <w:pPr>
        <w:pStyle w:val="Implicit"/>
        <w:numPr>
          <w:ilvl w:val="0"/>
          <w:numId w:val="62"/>
        </w:numPr>
        <w:tabs>
          <w:tab w:val="clear" w:pos="720"/>
          <w:tab w:val="left" w:pos="187"/>
          <w:tab w:val="left" w:pos="935"/>
          <w:tab w:val="left" w:pos="1260"/>
          <w:tab w:val="left" w:pos="1620"/>
        </w:tabs>
        <w:spacing w:after="0" w:line="240" w:lineRule="auto"/>
        <w:jc w:val="both"/>
        <w:rPr>
          <w:rFonts w:ascii="Arial" w:hAnsi="Arial" w:cs="Arial"/>
          <w:color w:val="auto"/>
        </w:rPr>
      </w:pPr>
      <w:r w:rsidRPr="00410EDF">
        <w:rPr>
          <w:rFonts w:ascii="Arial" w:hAnsi="Arial" w:cs="Arial"/>
          <w:color w:val="auto"/>
        </w:rPr>
        <w:t xml:space="preserve">fiecărui punct de colectare îi sunt arondate câte 3-4 comune, fiecare răspunde pentru colectarea deşeurilor de la populaţie şi depunerea la punctele zonale. Deşeurile sunt colectate de la locuinţe în saci de plastic, transportate cu ajutorul tractoarelor cu remorcă şi descărcate în containere; </w:t>
      </w:r>
    </w:p>
    <w:p w:rsidR="00F065B7" w:rsidRPr="00410EDF" w:rsidRDefault="00F065B7" w:rsidP="00252ED3">
      <w:pPr>
        <w:pStyle w:val="Implicit"/>
        <w:numPr>
          <w:ilvl w:val="0"/>
          <w:numId w:val="62"/>
        </w:numPr>
        <w:tabs>
          <w:tab w:val="clear" w:pos="720"/>
          <w:tab w:val="left" w:pos="187"/>
          <w:tab w:val="left" w:pos="935"/>
          <w:tab w:val="left" w:pos="1260"/>
          <w:tab w:val="left" w:pos="1620"/>
        </w:tabs>
        <w:spacing w:after="0" w:line="240" w:lineRule="auto"/>
        <w:jc w:val="both"/>
        <w:rPr>
          <w:rFonts w:ascii="Arial" w:hAnsi="Arial" w:cs="Arial"/>
          <w:color w:val="auto"/>
        </w:rPr>
      </w:pPr>
      <w:r w:rsidRPr="00410EDF">
        <w:rPr>
          <w:rFonts w:ascii="Arial" w:hAnsi="Arial" w:cs="Arial"/>
          <w:color w:val="auto"/>
        </w:rPr>
        <w:t>colectarea de la populaţie se realizează prin: 6 operatori de salu</w:t>
      </w:r>
      <w:r w:rsidR="007C1699">
        <w:rPr>
          <w:rFonts w:ascii="Arial" w:hAnsi="Arial" w:cs="Arial"/>
          <w:color w:val="auto"/>
        </w:rPr>
        <w:t>BR</w:t>
      </w:r>
      <w:r w:rsidRPr="00410EDF">
        <w:rPr>
          <w:rFonts w:ascii="Arial" w:hAnsi="Arial" w:cs="Arial"/>
          <w:color w:val="auto"/>
        </w:rPr>
        <w:t xml:space="preserve">itate care operează numai în zona rurală, 2 operatori care deservesc şi municipiul </w:t>
      </w:r>
      <w:r w:rsidR="00217620">
        <w:rPr>
          <w:rFonts w:ascii="Arial" w:hAnsi="Arial" w:cs="Arial"/>
          <w:color w:val="auto"/>
        </w:rPr>
        <w:t>Brăila</w:t>
      </w:r>
      <w:r w:rsidRPr="00410EDF">
        <w:rPr>
          <w:rFonts w:ascii="Arial" w:hAnsi="Arial" w:cs="Arial"/>
          <w:color w:val="auto"/>
        </w:rPr>
        <w:t xml:space="preserve"> sau prin servicii proprii de salu</w:t>
      </w:r>
      <w:r w:rsidR="007C1699">
        <w:rPr>
          <w:rFonts w:ascii="Arial" w:hAnsi="Arial" w:cs="Arial"/>
          <w:color w:val="auto"/>
        </w:rPr>
        <w:t>BR</w:t>
      </w:r>
      <w:r w:rsidRPr="00410EDF">
        <w:rPr>
          <w:rFonts w:ascii="Arial" w:hAnsi="Arial" w:cs="Arial"/>
          <w:color w:val="auto"/>
        </w:rPr>
        <w:t>izare organizate de administraţia publică locală, astfel încât toate localităţile beneficiază de servicii de salu</w:t>
      </w:r>
      <w:r w:rsidR="007C1699">
        <w:rPr>
          <w:rFonts w:ascii="Arial" w:hAnsi="Arial" w:cs="Arial"/>
          <w:color w:val="auto"/>
        </w:rPr>
        <w:t>BR</w:t>
      </w:r>
      <w:r w:rsidRPr="00410EDF">
        <w:rPr>
          <w:rFonts w:ascii="Arial" w:hAnsi="Arial" w:cs="Arial"/>
          <w:color w:val="auto"/>
        </w:rPr>
        <w:t>izare.</w:t>
      </w:r>
    </w:p>
    <w:p w:rsidR="00F065B7" w:rsidRPr="00410EDF" w:rsidRDefault="00F065B7" w:rsidP="00252ED3">
      <w:pPr>
        <w:pStyle w:val="ListParagraph"/>
        <w:numPr>
          <w:ilvl w:val="0"/>
          <w:numId w:val="62"/>
        </w:numPr>
        <w:shd w:val="clear" w:color="auto" w:fill="FFFFFF"/>
        <w:tabs>
          <w:tab w:val="num" w:pos="851"/>
        </w:tabs>
        <w:jc w:val="both"/>
        <w:rPr>
          <w:rFonts w:ascii="Arial" w:hAnsi="Arial" w:cs="Arial"/>
          <w:b/>
        </w:rPr>
      </w:pPr>
      <w:r w:rsidRPr="00410EDF">
        <w:rPr>
          <w:rFonts w:ascii="Arial" w:hAnsi="Arial" w:cs="Arial"/>
        </w:rPr>
        <w:t>transportul deșeurilor menajere de la punctele de colectare pana la depozitul ecologic Muchea se realizeaza de catre operatorul de salu</w:t>
      </w:r>
      <w:r w:rsidR="007C1699">
        <w:rPr>
          <w:rFonts w:ascii="Arial" w:hAnsi="Arial" w:cs="Arial"/>
        </w:rPr>
        <w:t>BR</w:t>
      </w:r>
      <w:r w:rsidRPr="00410EDF">
        <w:rPr>
          <w:rFonts w:ascii="Arial" w:hAnsi="Arial" w:cs="Arial"/>
        </w:rPr>
        <w:t xml:space="preserve">itate desemnat in urma procedurii </w:t>
      </w:r>
      <w:r w:rsidRPr="00410EDF">
        <w:rPr>
          <w:rFonts w:ascii="Arial" w:hAnsi="Arial" w:cs="Arial"/>
        </w:rPr>
        <w:lastRenderedPageBreak/>
        <w:t xml:space="preserve">de achizitie publica, cu ajutorul unui cap tractor cu sistem de incarcare – descarcare – basculare cu carlig, si a 11 containere metalice de capacitate mare, proprietate a Consiliului Judetean </w:t>
      </w:r>
      <w:r w:rsidR="007C1699">
        <w:rPr>
          <w:rFonts w:ascii="Arial" w:hAnsi="Arial" w:cs="Arial"/>
        </w:rPr>
        <w:t>BR</w:t>
      </w:r>
      <w:r w:rsidRPr="00410EDF">
        <w:rPr>
          <w:rFonts w:ascii="Arial" w:hAnsi="Arial" w:cs="Arial"/>
        </w:rPr>
        <w:t>aila</w:t>
      </w:r>
    </w:p>
    <w:p w:rsidR="00F065B7" w:rsidRPr="00410EDF" w:rsidRDefault="00F065B7" w:rsidP="00252ED3">
      <w:pPr>
        <w:pStyle w:val="Implicit"/>
        <w:numPr>
          <w:ilvl w:val="0"/>
          <w:numId w:val="62"/>
        </w:numPr>
        <w:tabs>
          <w:tab w:val="clear" w:pos="720"/>
          <w:tab w:val="left" w:pos="187"/>
          <w:tab w:val="left" w:pos="935"/>
          <w:tab w:val="left" w:pos="1260"/>
          <w:tab w:val="left" w:pos="1620"/>
        </w:tabs>
        <w:spacing w:after="0" w:line="240" w:lineRule="auto"/>
        <w:jc w:val="both"/>
        <w:rPr>
          <w:rFonts w:ascii="Arial" w:hAnsi="Arial" w:cs="Arial"/>
          <w:color w:val="auto"/>
        </w:rPr>
      </w:pPr>
      <w:r w:rsidRPr="00410EDF">
        <w:rPr>
          <w:rFonts w:ascii="Arial" w:hAnsi="Arial" w:cs="Arial"/>
          <w:color w:val="auto"/>
        </w:rPr>
        <w:t>după umplere containerele sunt transportate de către S.C. RECORWOOD S.R.L. (prin contract</w:t>
      </w:r>
      <w:r w:rsidRPr="00410EDF">
        <w:rPr>
          <w:rFonts w:ascii="Arial" w:hAnsi="Arial" w:cs="Arial"/>
          <w:color w:val="auto"/>
          <w:lang w:val="ro-RO"/>
        </w:rPr>
        <w:t xml:space="preserve"> de delegare a gestiunii prin concesiune a serviciului de transport</w:t>
      </w:r>
      <w:r w:rsidRPr="00410EDF">
        <w:rPr>
          <w:rFonts w:ascii="Arial" w:hAnsi="Arial" w:cs="Arial"/>
          <w:color w:val="auto"/>
        </w:rPr>
        <w:t xml:space="preserve"> încheiat cu ADI </w:t>
      </w:r>
      <w:r w:rsidRPr="00410EDF">
        <w:rPr>
          <w:rFonts w:ascii="Arial" w:hAnsi="Arial" w:cs="Arial"/>
          <w:color w:val="auto"/>
          <w:lang w:val="ro-RO"/>
        </w:rPr>
        <w:t xml:space="preserve">,,ECO DUNĂREA" </w:t>
      </w:r>
      <w:r w:rsidR="00217620">
        <w:rPr>
          <w:rFonts w:ascii="Arial" w:hAnsi="Arial" w:cs="Arial"/>
          <w:color w:val="auto"/>
          <w:lang w:val="ro-RO"/>
        </w:rPr>
        <w:t>Brăila</w:t>
      </w:r>
      <w:r w:rsidRPr="00410EDF">
        <w:rPr>
          <w:rFonts w:ascii="Arial" w:hAnsi="Arial" w:cs="Arial"/>
          <w:color w:val="auto"/>
          <w:lang w:val="ro-RO"/>
        </w:rPr>
        <w:t xml:space="preserve">) </w:t>
      </w:r>
      <w:r w:rsidRPr="00410EDF">
        <w:rPr>
          <w:rFonts w:ascii="Arial" w:hAnsi="Arial" w:cs="Arial"/>
          <w:color w:val="auto"/>
        </w:rPr>
        <w:t xml:space="preserve">la depozitul Muchea pentru eliminare. Containerele vor fi integrate ulterior în sistemul noilor investiţii şi vor deservi localităţile din Insula Mare a </w:t>
      </w:r>
      <w:r w:rsidR="007C1699">
        <w:rPr>
          <w:rFonts w:ascii="Arial" w:hAnsi="Arial" w:cs="Arial"/>
          <w:color w:val="auto"/>
        </w:rPr>
        <w:t>BR</w:t>
      </w:r>
      <w:r w:rsidRPr="00410EDF">
        <w:rPr>
          <w:rFonts w:ascii="Arial" w:hAnsi="Arial" w:cs="Arial"/>
          <w:color w:val="auto"/>
        </w:rPr>
        <w:t xml:space="preserve">ăilei precum şi municipiul </w:t>
      </w:r>
      <w:r w:rsidR="00217620">
        <w:rPr>
          <w:rFonts w:ascii="Arial" w:hAnsi="Arial" w:cs="Arial"/>
          <w:color w:val="auto"/>
        </w:rPr>
        <w:t>Brăila</w:t>
      </w:r>
      <w:r w:rsidRPr="00410EDF">
        <w:rPr>
          <w:rFonts w:ascii="Arial" w:hAnsi="Arial" w:cs="Arial"/>
          <w:color w:val="auto"/>
        </w:rPr>
        <w:t xml:space="preserve"> pentru deşeurile din parcuri şi grădini care vor fi compostate. </w:t>
      </w:r>
    </w:p>
    <w:p w:rsidR="00F065B7" w:rsidRPr="00410EDF" w:rsidRDefault="00F065B7" w:rsidP="00252ED3">
      <w:pPr>
        <w:pStyle w:val="ListParagraph"/>
        <w:widowControl w:val="0"/>
        <w:numPr>
          <w:ilvl w:val="0"/>
          <w:numId w:val="62"/>
        </w:numPr>
        <w:jc w:val="both"/>
        <w:rPr>
          <w:rFonts w:ascii="Arial" w:hAnsi="Arial" w:cs="Arial"/>
          <w:b/>
          <w:lang w:val="it-IT"/>
        </w:rPr>
      </w:pPr>
      <w:r w:rsidRPr="00410EDF">
        <w:rPr>
          <w:rFonts w:ascii="Arial" w:hAnsi="Arial" w:cs="Arial"/>
          <w:lang w:val="it-IT"/>
        </w:rPr>
        <w:t>Soluţia implementată asigură un grad de acoperire cu servicii de salu</w:t>
      </w:r>
      <w:r w:rsidR="007C1699">
        <w:rPr>
          <w:rFonts w:ascii="Arial" w:hAnsi="Arial" w:cs="Arial"/>
          <w:lang w:val="it-IT"/>
        </w:rPr>
        <w:t>BR</w:t>
      </w:r>
      <w:r w:rsidRPr="00410EDF">
        <w:rPr>
          <w:rFonts w:ascii="Arial" w:hAnsi="Arial" w:cs="Arial"/>
          <w:lang w:val="it-IT"/>
        </w:rPr>
        <w:t>itate de 100% în mediul rural, dar cu caracter temporar, și are caracter de tranziţie până la darea în exploatare a investiţiilor proiectate (sfârșitul anului 2015).</w:t>
      </w:r>
    </w:p>
    <w:p w:rsidR="00F065B7" w:rsidRPr="00410EDF" w:rsidRDefault="00F065B7" w:rsidP="00C625DB">
      <w:pPr>
        <w:pStyle w:val="BodyTextIndent2BodyTextIndent2Char"/>
        <w:ind w:left="0" w:right="23"/>
        <w:rPr>
          <w:rFonts w:ascii="Arial" w:hAnsi="Arial" w:cs="Arial"/>
          <w:bCs/>
          <w:sz w:val="24"/>
          <w:szCs w:val="24"/>
        </w:rPr>
      </w:pPr>
    </w:p>
    <w:p w:rsidR="00F065B7" w:rsidRPr="00410EDF" w:rsidRDefault="00F065B7" w:rsidP="00C625DB">
      <w:pPr>
        <w:tabs>
          <w:tab w:val="left" w:pos="1358"/>
          <w:tab w:val="left" w:leader="dot" w:pos="9356"/>
        </w:tabs>
        <w:spacing w:after="0" w:line="240" w:lineRule="auto"/>
        <w:ind w:left="993"/>
        <w:rPr>
          <w:rFonts w:ascii="Arial" w:hAnsi="Arial" w:cs="Arial"/>
          <w:b/>
          <w:sz w:val="24"/>
          <w:szCs w:val="24"/>
        </w:rPr>
      </w:pPr>
      <w:bookmarkStart w:id="6" w:name="_GoBack"/>
      <w:bookmarkEnd w:id="6"/>
      <w:r w:rsidRPr="00410EDF">
        <w:rPr>
          <w:rFonts w:ascii="Arial" w:hAnsi="Arial" w:cs="Arial"/>
          <w:b/>
          <w:sz w:val="24"/>
          <w:szCs w:val="24"/>
        </w:rPr>
        <w:t>VII.1.5.</w:t>
      </w:r>
      <w:r w:rsidRPr="00410EDF">
        <w:rPr>
          <w:rFonts w:ascii="Arial" w:hAnsi="Arial" w:cs="Arial"/>
          <w:b/>
          <w:i/>
          <w:sz w:val="24"/>
          <w:szCs w:val="24"/>
        </w:rPr>
        <w:t>Tendinţe şi prognoze privind generarea deşeurilor</w:t>
      </w:r>
    </w:p>
    <w:p w:rsidR="00734C43" w:rsidRPr="00410EDF" w:rsidRDefault="00734C43" w:rsidP="00C625DB">
      <w:pPr>
        <w:autoSpaceDE w:val="0"/>
        <w:autoSpaceDN w:val="0"/>
        <w:adjustRightInd w:val="0"/>
        <w:spacing w:after="0" w:line="240" w:lineRule="auto"/>
        <w:ind w:firstLine="708"/>
        <w:jc w:val="both"/>
        <w:rPr>
          <w:rFonts w:ascii="Arial" w:hAnsi="Arial" w:cs="Arial"/>
          <w:sz w:val="24"/>
          <w:szCs w:val="24"/>
          <w:lang w:val="it-IT"/>
        </w:rPr>
      </w:pPr>
      <w:r w:rsidRPr="00410EDF">
        <w:rPr>
          <w:rFonts w:ascii="Arial" w:hAnsi="Arial" w:cs="Arial"/>
          <w:sz w:val="24"/>
          <w:szCs w:val="24"/>
          <w:lang w:val="it-IT"/>
        </w:rPr>
        <w:t>În conformitate cu prevederile legislative în vigoare, este în curs de elaborare Planul Naţional de Gestionare a Deşeurilor, care va stabili măsuri şi acţiuni pentru punerea în practică a obiectivelor stabilite prin Strategia Naţională de Gestionare a Deşeurilor 2014-2020. Pentru elaborarea acestui plan se vor realiza diferite studii, inclusiv referitoare la prognozele privind generarea şi gestionarea deşeurilor municipale şi industriale.</w:t>
      </w:r>
    </w:p>
    <w:p w:rsidR="00F065B7" w:rsidRPr="00C625DB" w:rsidRDefault="00F065B7" w:rsidP="00C625DB">
      <w:pPr>
        <w:autoSpaceDE w:val="0"/>
        <w:autoSpaceDN w:val="0"/>
        <w:adjustRightInd w:val="0"/>
        <w:spacing w:after="0" w:line="240" w:lineRule="auto"/>
        <w:ind w:firstLine="708"/>
        <w:jc w:val="both"/>
        <w:rPr>
          <w:rFonts w:ascii="Arial" w:hAnsi="Arial" w:cs="Arial"/>
          <w:sz w:val="24"/>
          <w:szCs w:val="24"/>
          <w:lang w:val="it-IT"/>
        </w:rPr>
      </w:pPr>
    </w:p>
    <w:p w:rsidR="008914B8" w:rsidRPr="00C625DB" w:rsidRDefault="008914B8" w:rsidP="00C625DB">
      <w:pPr>
        <w:spacing w:after="0" w:line="240" w:lineRule="auto"/>
        <w:jc w:val="both"/>
        <w:rPr>
          <w:rFonts w:ascii="Arial" w:hAnsi="Arial" w:cs="Arial"/>
          <w:b/>
          <w:sz w:val="24"/>
          <w:szCs w:val="24"/>
          <w:lang w:val="en-US"/>
        </w:rPr>
      </w:pPr>
      <w:r w:rsidRPr="00C625DB">
        <w:rPr>
          <w:rFonts w:ascii="Arial" w:hAnsi="Arial" w:cs="Arial"/>
          <w:b/>
          <w:sz w:val="24"/>
          <w:szCs w:val="24"/>
          <w:lang w:val="en-US"/>
        </w:rPr>
        <w:t>VIII. MEDIUL URBAN, SǍNǍTATEA ŞI CALITATEA VIEŢII</w:t>
      </w:r>
    </w:p>
    <w:p w:rsidR="008914B8" w:rsidRPr="009078D0" w:rsidRDefault="008914B8" w:rsidP="00C625DB">
      <w:pPr>
        <w:spacing w:after="0" w:line="240" w:lineRule="auto"/>
        <w:jc w:val="both"/>
        <w:rPr>
          <w:rFonts w:ascii="Arial" w:hAnsi="Arial" w:cs="Arial"/>
          <w:b/>
          <w:sz w:val="24"/>
          <w:szCs w:val="24"/>
          <w:lang w:val="en-US"/>
        </w:rPr>
      </w:pPr>
      <w:r w:rsidRPr="00C625DB">
        <w:rPr>
          <w:rFonts w:ascii="Arial" w:hAnsi="Arial" w:cs="Arial"/>
          <w:b/>
          <w:sz w:val="24"/>
          <w:szCs w:val="24"/>
          <w:lang w:val="en-US"/>
        </w:rPr>
        <w:t xml:space="preserve">    </w:t>
      </w:r>
      <w:r w:rsidRPr="009078D0">
        <w:rPr>
          <w:rFonts w:ascii="Arial" w:hAnsi="Arial" w:cs="Arial"/>
          <w:b/>
          <w:sz w:val="24"/>
          <w:szCs w:val="24"/>
          <w:lang w:val="en-US"/>
        </w:rPr>
        <w:t>VIII.1.Mediul urban şi calitatea vieţii: stare şi consecinţe</w:t>
      </w:r>
    </w:p>
    <w:p w:rsidR="008914B8" w:rsidRPr="009078D0" w:rsidRDefault="008914B8" w:rsidP="00C625DB">
      <w:pPr>
        <w:spacing w:after="0" w:line="240" w:lineRule="auto"/>
        <w:jc w:val="both"/>
        <w:rPr>
          <w:rFonts w:ascii="Arial" w:hAnsi="Arial" w:cs="Arial"/>
          <w:b/>
          <w:i/>
          <w:sz w:val="24"/>
          <w:szCs w:val="24"/>
          <w:lang w:val="en-US"/>
        </w:rPr>
      </w:pPr>
      <w:r w:rsidRPr="009078D0">
        <w:rPr>
          <w:rFonts w:ascii="Arial" w:hAnsi="Arial" w:cs="Arial"/>
          <w:i/>
          <w:sz w:val="24"/>
          <w:szCs w:val="24"/>
          <w:lang w:val="en-US"/>
        </w:rPr>
        <w:t xml:space="preserve">      </w:t>
      </w:r>
      <w:r w:rsidRPr="009078D0">
        <w:rPr>
          <w:rFonts w:ascii="Arial" w:hAnsi="Arial" w:cs="Arial"/>
          <w:b/>
          <w:sz w:val="24"/>
          <w:szCs w:val="24"/>
          <w:lang w:val="en-US"/>
        </w:rPr>
        <w:t>VIII.1.1</w:t>
      </w:r>
      <w:r w:rsidRPr="009078D0">
        <w:rPr>
          <w:rFonts w:ascii="Arial" w:hAnsi="Arial" w:cs="Arial"/>
          <w:b/>
          <w:i/>
          <w:sz w:val="24"/>
          <w:szCs w:val="24"/>
          <w:lang w:val="en-US"/>
        </w:rPr>
        <w:t>.Calitatea aerului din aglomerările urbane şi efectele asupra sănătăţii</w:t>
      </w:r>
    </w:p>
    <w:p w:rsidR="008914B8" w:rsidRPr="009078D0" w:rsidRDefault="008914B8" w:rsidP="00C625DB">
      <w:pPr>
        <w:spacing w:after="0" w:line="240" w:lineRule="auto"/>
        <w:jc w:val="both"/>
        <w:rPr>
          <w:rFonts w:ascii="Arial" w:hAnsi="Arial" w:cs="Arial"/>
          <w:i/>
          <w:sz w:val="24"/>
          <w:szCs w:val="24"/>
          <w:lang w:val="en-US"/>
        </w:rPr>
      </w:pPr>
    </w:p>
    <w:p w:rsidR="008914B8" w:rsidRPr="00C625DB" w:rsidRDefault="008914B8" w:rsidP="00D4086A">
      <w:pPr>
        <w:spacing w:after="0" w:line="240" w:lineRule="auto"/>
        <w:ind w:firstLine="708"/>
        <w:jc w:val="both"/>
        <w:rPr>
          <w:rFonts w:ascii="Arial" w:hAnsi="Arial" w:cs="Arial"/>
          <w:b/>
          <w:sz w:val="24"/>
          <w:szCs w:val="24"/>
        </w:rPr>
      </w:pPr>
      <w:r w:rsidRPr="009078D0">
        <w:rPr>
          <w:rFonts w:ascii="Arial" w:hAnsi="Arial" w:cs="Arial"/>
          <w:sz w:val="24"/>
          <w:szCs w:val="24"/>
        </w:rPr>
        <w:t>Calitatea aerului din aglomerările urbane</w:t>
      </w:r>
      <w:r w:rsidRPr="009078D0">
        <w:rPr>
          <w:rFonts w:ascii="Arial" w:hAnsi="Arial" w:cs="Arial"/>
          <w:i/>
          <w:sz w:val="24"/>
          <w:szCs w:val="24"/>
        </w:rPr>
        <w:t xml:space="preserve">  </w:t>
      </w:r>
      <w:r w:rsidRPr="009078D0">
        <w:rPr>
          <w:rFonts w:ascii="Arial" w:hAnsi="Arial" w:cs="Arial"/>
          <w:sz w:val="24"/>
          <w:szCs w:val="24"/>
        </w:rPr>
        <w:t>este  afectată de depăşiri ale concentraţilor medii anuale la indicatorii  PM</w:t>
      </w:r>
      <w:r w:rsidRPr="009078D0">
        <w:rPr>
          <w:rFonts w:ascii="Arial" w:hAnsi="Arial" w:cs="Arial"/>
          <w:sz w:val="24"/>
          <w:szCs w:val="24"/>
          <w:vertAlign w:val="subscript"/>
        </w:rPr>
        <w:t>10</w:t>
      </w:r>
      <w:r w:rsidRPr="009078D0">
        <w:rPr>
          <w:rFonts w:ascii="Arial" w:hAnsi="Arial" w:cs="Arial"/>
          <w:sz w:val="24"/>
          <w:szCs w:val="24"/>
        </w:rPr>
        <w:t>,</w:t>
      </w:r>
      <w:r w:rsidRPr="00C625DB">
        <w:rPr>
          <w:rFonts w:ascii="Arial" w:hAnsi="Arial" w:cs="Arial"/>
          <w:sz w:val="24"/>
          <w:szCs w:val="24"/>
        </w:rPr>
        <w:t xml:space="preserve"> NO</w:t>
      </w:r>
      <w:r w:rsidRPr="00C625DB">
        <w:rPr>
          <w:rFonts w:ascii="Arial" w:hAnsi="Arial" w:cs="Arial"/>
          <w:sz w:val="24"/>
          <w:szCs w:val="24"/>
          <w:vertAlign w:val="subscript"/>
        </w:rPr>
        <w:t>2</w:t>
      </w:r>
      <w:r w:rsidRPr="00C625DB">
        <w:rPr>
          <w:rFonts w:ascii="Arial" w:hAnsi="Arial" w:cs="Arial"/>
          <w:sz w:val="24"/>
          <w:szCs w:val="24"/>
        </w:rPr>
        <w:t>, SO</w:t>
      </w:r>
      <w:r w:rsidRPr="00C625DB">
        <w:rPr>
          <w:rFonts w:ascii="Arial" w:hAnsi="Arial" w:cs="Arial"/>
          <w:sz w:val="24"/>
          <w:szCs w:val="24"/>
          <w:vertAlign w:val="subscript"/>
        </w:rPr>
        <w:t>2</w:t>
      </w:r>
      <w:r w:rsidRPr="00C625DB">
        <w:rPr>
          <w:rFonts w:ascii="Arial" w:hAnsi="Arial" w:cs="Arial"/>
          <w:sz w:val="24"/>
          <w:szCs w:val="24"/>
        </w:rPr>
        <w:t>, şi O</w:t>
      </w:r>
      <w:r w:rsidRPr="00C625DB">
        <w:rPr>
          <w:rFonts w:ascii="Arial" w:hAnsi="Arial" w:cs="Arial"/>
          <w:sz w:val="24"/>
          <w:szCs w:val="24"/>
          <w:vertAlign w:val="subscript"/>
        </w:rPr>
        <w:t>3</w:t>
      </w:r>
      <w:r w:rsidRPr="00C625DB">
        <w:rPr>
          <w:rFonts w:ascii="Arial" w:hAnsi="Arial" w:cs="Arial"/>
          <w:b/>
          <w:sz w:val="24"/>
          <w:szCs w:val="24"/>
          <w:vertAlign w:val="subscript"/>
        </w:rPr>
        <w:t xml:space="preserve"> .</w:t>
      </w:r>
    </w:p>
    <w:p w:rsidR="008914B8" w:rsidRPr="00C625DB" w:rsidRDefault="008914B8" w:rsidP="00D4086A">
      <w:pPr>
        <w:spacing w:after="0" w:line="240" w:lineRule="auto"/>
        <w:ind w:firstLine="708"/>
        <w:jc w:val="both"/>
        <w:rPr>
          <w:rFonts w:ascii="Arial" w:hAnsi="Arial" w:cs="Arial"/>
          <w:sz w:val="24"/>
          <w:szCs w:val="24"/>
          <w:lang w:eastAsia="ro-RO"/>
        </w:rPr>
      </w:pPr>
      <w:r w:rsidRPr="00C625DB">
        <w:rPr>
          <w:rFonts w:ascii="Arial" w:hAnsi="Arial" w:cs="Arial"/>
          <w:sz w:val="24"/>
          <w:szCs w:val="24"/>
          <w:lang w:eastAsia="ro-RO"/>
        </w:rPr>
        <w:t xml:space="preserve">Principalele surse de poluare a aerului </w:t>
      </w:r>
      <w:r w:rsidRPr="00C625DB">
        <w:rPr>
          <w:rFonts w:ascii="Arial" w:hAnsi="Arial" w:cs="Arial"/>
          <w:sz w:val="24"/>
          <w:szCs w:val="24"/>
        </w:rPr>
        <w:t>din mediul urban</w:t>
      </w:r>
      <w:r w:rsidRPr="00C625DB">
        <w:rPr>
          <w:rFonts w:ascii="Arial" w:hAnsi="Arial" w:cs="Arial"/>
          <w:sz w:val="24"/>
          <w:szCs w:val="24"/>
          <w:lang w:eastAsia="ro-RO"/>
        </w:rPr>
        <w:t xml:space="preserve"> sunt constituite din  trafic, procesele industriale şi încălzirea rezidenţială.</w:t>
      </w:r>
    </w:p>
    <w:p w:rsidR="008914B8" w:rsidRPr="00C625DB" w:rsidRDefault="008914B8" w:rsidP="00C625DB">
      <w:pPr>
        <w:spacing w:after="0" w:line="240" w:lineRule="auto"/>
        <w:jc w:val="both"/>
        <w:rPr>
          <w:rFonts w:ascii="Arial" w:hAnsi="Arial" w:cs="Arial"/>
          <w:i/>
          <w:sz w:val="24"/>
          <w:szCs w:val="24"/>
          <w:lang w:val="en-US"/>
        </w:rPr>
      </w:pPr>
    </w:p>
    <w:p w:rsidR="008914B8" w:rsidRPr="00C625DB" w:rsidRDefault="008914B8" w:rsidP="00C625DB">
      <w:pPr>
        <w:spacing w:after="0" w:line="240" w:lineRule="auto"/>
        <w:jc w:val="both"/>
        <w:rPr>
          <w:rFonts w:ascii="Arial" w:hAnsi="Arial" w:cs="Arial"/>
          <w:b/>
          <w:sz w:val="24"/>
          <w:szCs w:val="24"/>
        </w:rPr>
      </w:pPr>
      <w:r w:rsidRPr="00C625DB">
        <w:rPr>
          <w:rFonts w:ascii="Arial" w:hAnsi="Arial" w:cs="Arial"/>
          <w:b/>
          <w:sz w:val="24"/>
          <w:szCs w:val="24"/>
          <w:lang w:val="en-US"/>
        </w:rPr>
        <w:t xml:space="preserve">            VIII</w:t>
      </w:r>
      <w:r w:rsidRPr="00C625DB">
        <w:rPr>
          <w:rFonts w:ascii="Arial" w:hAnsi="Arial" w:cs="Arial"/>
          <w:b/>
          <w:i/>
          <w:sz w:val="24"/>
          <w:szCs w:val="24"/>
          <w:lang w:val="en-US"/>
        </w:rPr>
        <w:t>.</w:t>
      </w:r>
      <w:r w:rsidRPr="00C625DB">
        <w:rPr>
          <w:rFonts w:ascii="Arial" w:hAnsi="Arial" w:cs="Arial"/>
          <w:b/>
          <w:sz w:val="24"/>
          <w:szCs w:val="24"/>
        </w:rPr>
        <w:t>1.1.1.</w:t>
      </w:r>
      <w:r w:rsidRPr="00C625DB">
        <w:rPr>
          <w:rFonts w:ascii="Arial" w:hAnsi="Arial" w:cs="Arial"/>
          <w:sz w:val="24"/>
          <w:szCs w:val="24"/>
        </w:rPr>
        <w:t xml:space="preserve"> </w:t>
      </w:r>
      <w:r w:rsidRPr="00C625DB">
        <w:rPr>
          <w:rFonts w:ascii="Arial" w:hAnsi="Arial" w:cs="Arial"/>
          <w:b/>
          <w:sz w:val="24"/>
          <w:szCs w:val="24"/>
        </w:rPr>
        <w:t xml:space="preserve">Depăşiri ale concentraţiei medii anuale de PM10, NO2, SO2 şi O3 în   anumite aglomerări urbane  </w:t>
      </w:r>
    </w:p>
    <w:p w:rsidR="008914B8" w:rsidRPr="00C625DB" w:rsidRDefault="008914B8" w:rsidP="00D4086A">
      <w:pPr>
        <w:spacing w:after="0" w:line="240" w:lineRule="auto"/>
        <w:ind w:firstLine="708"/>
        <w:jc w:val="both"/>
        <w:rPr>
          <w:rFonts w:ascii="Arial" w:hAnsi="Arial" w:cs="Arial"/>
          <w:b/>
          <w:sz w:val="24"/>
          <w:szCs w:val="24"/>
        </w:rPr>
      </w:pPr>
      <w:r w:rsidRPr="00C625DB">
        <w:rPr>
          <w:rFonts w:ascii="Arial" w:hAnsi="Arial" w:cs="Arial"/>
          <w:sz w:val="24"/>
          <w:szCs w:val="24"/>
        </w:rPr>
        <w:t>În anul 201</w:t>
      </w:r>
      <w:r w:rsidR="009078D0">
        <w:rPr>
          <w:rFonts w:ascii="Arial" w:hAnsi="Arial" w:cs="Arial"/>
          <w:sz w:val="24"/>
          <w:szCs w:val="24"/>
        </w:rPr>
        <w:t>6</w:t>
      </w:r>
      <w:r w:rsidRPr="00C625DB">
        <w:rPr>
          <w:rFonts w:ascii="Arial" w:hAnsi="Arial" w:cs="Arial"/>
          <w:sz w:val="24"/>
          <w:szCs w:val="24"/>
        </w:rPr>
        <w:t xml:space="preserve"> nu s-au înregistrat depășiri pentru indicatorii monitorizaţi</w:t>
      </w:r>
      <w:r w:rsidRPr="00C625DB">
        <w:rPr>
          <w:rFonts w:ascii="Arial" w:hAnsi="Arial" w:cs="Arial"/>
          <w:b/>
          <w:sz w:val="24"/>
          <w:szCs w:val="24"/>
        </w:rPr>
        <w:t xml:space="preserve">. </w:t>
      </w:r>
    </w:p>
    <w:p w:rsidR="008914B8" w:rsidRPr="00C625DB" w:rsidRDefault="008914B8" w:rsidP="00C625DB">
      <w:pPr>
        <w:spacing w:after="0" w:line="240" w:lineRule="auto"/>
        <w:jc w:val="both"/>
        <w:rPr>
          <w:rFonts w:ascii="Arial" w:hAnsi="Arial" w:cs="Arial"/>
          <w:b/>
          <w:sz w:val="24"/>
          <w:szCs w:val="24"/>
          <w:highlight w:val="cyan"/>
        </w:rPr>
      </w:pPr>
    </w:p>
    <w:p w:rsidR="008914B8" w:rsidRPr="00D4086A" w:rsidRDefault="008914B8" w:rsidP="00C625DB">
      <w:pPr>
        <w:spacing w:after="0" w:line="240" w:lineRule="auto"/>
        <w:jc w:val="both"/>
        <w:rPr>
          <w:rFonts w:ascii="Arial" w:hAnsi="Arial" w:cs="Arial"/>
          <w:b/>
          <w:sz w:val="24"/>
          <w:szCs w:val="24"/>
          <w:lang w:val="en-US"/>
        </w:rPr>
      </w:pPr>
      <w:r w:rsidRPr="00C625DB">
        <w:rPr>
          <w:rFonts w:ascii="Arial" w:hAnsi="Arial" w:cs="Arial"/>
          <w:sz w:val="24"/>
          <w:szCs w:val="24"/>
          <w:lang w:val="en-US"/>
        </w:rPr>
        <w:t xml:space="preserve">   </w:t>
      </w:r>
      <w:r w:rsidRPr="00D4086A">
        <w:rPr>
          <w:rFonts w:ascii="Arial" w:hAnsi="Arial" w:cs="Arial"/>
          <w:b/>
          <w:sz w:val="24"/>
          <w:szCs w:val="24"/>
          <w:lang w:val="en-US"/>
        </w:rPr>
        <w:t>Indicatori Specifici - Cod indicator România RO 04</w:t>
      </w:r>
    </w:p>
    <w:p w:rsidR="008914B8" w:rsidRPr="00C625DB" w:rsidRDefault="008914B8" w:rsidP="00C625DB">
      <w:pPr>
        <w:spacing w:after="0" w:line="240" w:lineRule="auto"/>
        <w:jc w:val="both"/>
        <w:rPr>
          <w:rFonts w:ascii="Arial" w:hAnsi="Arial" w:cs="Arial"/>
          <w:sz w:val="24"/>
          <w:szCs w:val="24"/>
          <w:highlight w:val="yellow"/>
          <w:lang w:val="en-US"/>
        </w:rPr>
      </w:pPr>
    </w:p>
    <w:p w:rsidR="008914B8" w:rsidRPr="00C625DB" w:rsidRDefault="008914B8" w:rsidP="00C625DB">
      <w:pPr>
        <w:spacing w:after="0" w:line="240" w:lineRule="auto"/>
        <w:jc w:val="both"/>
        <w:rPr>
          <w:rFonts w:ascii="Arial" w:hAnsi="Arial" w:cs="Arial"/>
          <w:sz w:val="24"/>
          <w:szCs w:val="24"/>
        </w:rPr>
      </w:pPr>
      <w:r w:rsidRPr="00BB71FF">
        <w:rPr>
          <w:rFonts w:ascii="Arial" w:hAnsi="Arial" w:cs="Arial"/>
          <w:sz w:val="24"/>
          <w:szCs w:val="24"/>
        </w:rPr>
        <w:t>Tabel nr. VIII.1.1.1. – 1 Concentraţiile</w:t>
      </w:r>
      <w:r w:rsidRPr="00C625DB">
        <w:rPr>
          <w:rFonts w:ascii="Arial" w:hAnsi="Arial" w:cs="Arial"/>
          <w:sz w:val="24"/>
          <w:szCs w:val="24"/>
        </w:rPr>
        <w:t xml:space="preserve"> medii ale poluanţilor monitorizaţi în aglomerarea </w:t>
      </w:r>
      <w:r w:rsidR="00217620">
        <w:rPr>
          <w:rFonts w:ascii="Arial" w:hAnsi="Arial" w:cs="Arial"/>
          <w:sz w:val="24"/>
          <w:szCs w:val="24"/>
        </w:rPr>
        <w:t>Brăila</w:t>
      </w:r>
    </w:p>
    <w:tbl>
      <w:tblPr>
        <w:tblW w:w="4736"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405"/>
        <w:gridCol w:w="1195"/>
        <w:gridCol w:w="889"/>
        <w:gridCol w:w="889"/>
        <w:gridCol w:w="889"/>
        <w:gridCol w:w="767"/>
        <w:gridCol w:w="767"/>
        <w:gridCol w:w="767"/>
        <w:gridCol w:w="768"/>
        <w:gridCol w:w="768"/>
        <w:gridCol w:w="767"/>
      </w:tblGrid>
      <w:tr w:rsidR="009078D0" w:rsidRPr="00717595" w:rsidTr="00D4086A">
        <w:trPr>
          <w:trHeight w:val="255"/>
          <w:jc w:val="center"/>
        </w:trPr>
        <w:tc>
          <w:tcPr>
            <w:tcW w:w="712" w:type="pct"/>
            <w:vMerge w:val="restart"/>
            <w:tcBorders>
              <w:top w:val="single" w:sz="12" w:space="0" w:color="000000"/>
              <w:left w:val="single" w:sz="12" w:space="0" w:color="000000"/>
              <w:bottom w:val="single" w:sz="6" w:space="0" w:color="000000"/>
              <w:right w:val="single" w:sz="6" w:space="0" w:color="000000"/>
            </w:tcBorders>
            <w:shd w:val="clear" w:color="auto" w:fill="E5B8B7" w:themeFill="accent2" w:themeFillTint="66"/>
            <w:noWrap/>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POLUANT</w:t>
            </w:r>
          </w:p>
        </w:tc>
        <w:tc>
          <w:tcPr>
            <w:tcW w:w="606" w:type="pct"/>
            <w:vMerge w:val="restart"/>
            <w:tcBorders>
              <w:top w:val="single" w:sz="12" w:space="0" w:color="000000"/>
              <w:left w:val="single" w:sz="6" w:space="0" w:color="000000"/>
              <w:bottom w:val="single" w:sz="6" w:space="0" w:color="000000"/>
              <w:right w:val="single" w:sz="6" w:space="0" w:color="000000"/>
            </w:tcBorders>
            <w:shd w:val="clear" w:color="auto" w:fill="E5B8B7" w:themeFill="accent2" w:themeFillTint="66"/>
            <w:noWrap/>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Tip staţie</w:t>
            </w:r>
          </w:p>
        </w:tc>
        <w:tc>
          <w:tcPr>
            <w:tcW w:w="3682" w:type="pct"/>
            <w:gridSpan w:val="9"/>
            <w:tcBorders>
              <w:top w:val="single" w:sz="12" w:space="0" w:color="000000"/>
              <w:left w:val="single" w:sz="6" w:space="0" w:color="000000"/>
              <w:bottom w:val="single" w:sz="6" w:space="0" w:color="000000"/>
              <w:right w:val="single" w:sz="12" w:space="0" w:color="000000"/>
            </w:tcBorders>
            <w:shd w:val="clear" w:color="auto" w:fill="E5B8B7" w:themeFill="accent2" w:themeFillTint="66"/>
            <w:noWrap/>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Concentraţia medie anuală</w:t>
            </w:r>
          </w:p>
        </w:tc>
      </w:tr>
      <w:tr w:rsidR="009078D0" w:rsidRPr="00717595" w:rsidTr="006157E7">
        <w:trPr>
          <w:trHeight w:val="149"/>
          <w:jc w:val="center"/>
        </w:trPr>
        <w:tc>
          <w:tcPr>
            <w:tcW w:w="712" w:type="pct"/>
            <w:vMerge/>
            <w:tcBorders>
              <w:top w:val="single" w:sz="12" w:space="0" w:color="000000"/>
              <w:left w:val="single" w:sz="12" w:space="0" w:color="000000"/>
              <w:bottom w:val="single" w:sz="6" w:space="0" w:color="000000"/>
              <w:right w:val="single" w:sz="6" w:space="0" w:color="000000"/>
            </w:tcBorders>
            <w:shd w:val="clear" w:color="auto" w:fill="E5B8B7" w:themeFill="accent2" w:themeFillTint="66"/>
            <w:vAlign w:val="center"/>
          </w:tcPr>
          <w:p w:rsidR="009078D0" w:rsidRPr="00717595" w:rsidRDefault="009078D0" w:rsidP="006157E7">
            <w:pPr>
              <w:spacing w:after="0" w:line="240" w:lineRule="auto"/>
              <w:rPr>
                <w:rFonts w:ascii="Arial" w:hAnsi="Arial" w:cs="Arial"/>
              </w:rPr>
            </w:pPr>
          </w:p>
        </w:tc>
        <w:tc>
          <w:tcPr>
            <w:tcW w:w="606" w:type="pct"/>
            <w:vMerge/>
            <w:tcBorders>
              <w:top w:val="single" w:sz="12" w:space="0" w:color="000000"/>
              <w:left w:val="single" w:sz="6" w:space="0" w:color="000000"/>
              <w:bottom w:val="single" w:sz="6" w:space="0" w:color="000000"/>
              <w:right w:val="single" w:sz="6" w:space="0" w:color="000000"/>
            </w:tcBorders>
            <w:shd w:val="clear" w:color="auto" w:fill="E5B8B7" w:themeFill="accent2" w:themeFillTint="66"/>
            <w:vAlign w:val="center"/>
          </w:tcPr>
          <w:p w:rsidR="009078D0" w:rsidRPr="00717595" w:rsidRDefault="009078D0" w:rsidP="006157E7">
            <w:pPr>
              <w:spacing w:after="0" w:line="240" w:lineRule="auto"/>
              <w:rPr>
                <w:rFonts w:ascii="Arial" w:hAnsi="Arial" w:cs="Arial"/>
              </w:rPr>
            </w:pPr>
          </w:p>
        </w:tc>
        <w:tc>
          <w:tcPr>
            <w:tcW w:w="450" w:type="pct"/>
            <w:tcBorders>
              <w:top w:val="single" w:sz="6" w:space="0" w:color="000000"/>
              <w:left w:val="single" w:sz="6" w:space="0" w:color="000000"/>
              <w:bottom w:val="single" w:sz="6" w:space="0" w:color="000000"/>
              <w:right w:val="single" w:sz="4" w:space="0" w:color="auto"/>
            </w:tcBorders>
            <w:shd w:val="clear" w:color="auto" w:fill="E5B8B7" w:themeFill="accent2" w:themeFillTint="66"/>
            <w:vAlign w:val="center"/>
          </w:tcPr>
          <w:p w:rsidR="009078D0" w:rsidRPr="00717595" w:rsidRDefault="009078D0" w:rsidP="006157E7">
            <w:pPr>
              <w:spacing w:after="0" w:line="240" w:lineRule="auto"/>
              <w:jc w:val="center"/>
              <w:rPr>
                <w:rFonts w:ascii="Arial" w:hAnsi="Arial" w:cs="Arial"/>
                <w:b/>
              </w:rPr>
            </w:pPr>
            <w:r w:rsidRPr="00717595">
              <w:rPr>
                <w:rFonts w:ascii="Arial" w:hAnsi="Arial" w:cs="Arial"/>
                <w:b/>
                <w:color w:val="000000"/>
              </w:rPr>
              <w:t>2008</w:t>
            </w:r>
          </w:p>
        </w:tc>
        <w:tc>
          <w:tcPr>
            <w:tcW w:w="450" w:type="pct"/>
            <w:tcBorders>
              <w:top w:val="single" w:sz="6" w:space="0" w:color="000000"/>
              <w:left w:val="single" w:sz="4" w:space="0" w:color="auto"/>
              <w:bottom w:val="single" w:sz="6" w:space="0" w:color="000000"/>
              <w:right w:val="single" w:sz="4" w:space="0" w:color="auto"/>
            </w:tcBorders>
            <w:shd w:val="clear" w:color="auto" w:fill="E5B8B7" w:themeFill="accent2" w:themeFillTint="66"/>
            <w:noWrap/>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2009</w:t>
            </w:r>
          </w:p>
        </w:tc>
        <w:tc>
          <w:tcPr>
            <w:tcW w:w="450" w:type="pct"/>
            <w:tcBorders>
              <w:top w:val="single" w:sz="6" w:space="0" w:color="000000"/>
              <w:left w:val="single" w:sz="4" w:space="0" w:color="auto"/>
              <w:bottom w:val="single" w:sz="6" w:space="0" w:color="000000"/>
              <w:right w:val="single" w:sz="4" w:space="0" w:color="auto"/>
            </w:tcBorders>
            <w:shd w:val="clear" w:color="auto" w:fill="E5B8B7" w:themeFill="accent2" w:themeFillTint="66"/>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2010</w:t>
            </w:r>
          </w:p>
        </w:tc>
        <w:tc>
          <w:tcPr>
            <w:tcW w:w="389" w:type="pct"/>
            <w:tcBorders>
              <w:top w:val="single" w:sz="6" w:space="0" w:color="000000"/>
              <w:left w:val="single" w:sz="4" w:space="0" w:color="auto"/>
              <w:bottom w:val="single" w:sz="6" w:space="0" w:color="000000"/>
              <w:right w:val="single" w:sz="8" w:space="0" w:color="000000"/>
            </w:tcBorders>
            <w:shd w:val="clear" w:color="auto" w:fill="E5B8B7" w:themeFill="accent2" w:themeFillTint="66"/>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2011</w:t>
            </w:r>
          </w:p>
        </w:tc>
        <w:tc>
          <w:tcPr>
            <w:tcW w:w="389" w:type="pct"/>
            <w:tcBorders>
              <w:top w:val="single" w:sz="6" w:space="0" w:color="000000"/>
              <w:left w:val="single" w:sz="8" w:space="0" w:color="000000"/>
              <w:bottom w:val="single" w:sz="6" w:space="0" w:color="000000"/>
              <w:right w:val="single" w:sz="8" w:space="0" w:color="000000"/>
            </w:tcBorders>
            <w:shd w:val="clear" w:color="auto" w:fill="E5B8B7" w:themeFill="accent2" w:themeFillTint="66"/>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2012</w:t>
            </w:r>
          </w:p>
        </w:tc>
        <w:tc>
          <w:tcPr>
            <w:tcW w:w="389" w:type="pct"/>
            <w:tcBorders>
              <w:top w:val="single" w:sz="6" w:space="0" w:color="000000"/>
              <w:left w:val="single" w:sz="8" w:space="0" w:color="000000"/>
              <w:bottom w:val="single" w:sz="6" w:space="0" w:color="000000"/>
              <w:right w:val="single" w:sz="8" w:space="0" w:color="000000"/>
            </w:tcBorders>
            <w:shd w:val="clear" w:color="auto" w:fill="E5B8B7" w:themeFill="accent2" w:themeFillTint="66"/>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2013</w:t>
            </w:r>
          </w:p>
        </w:tc>
        <w:tc>
          <w:tcPr>
            <w:tcW w:w="389" w:type="pct"/>
            <w:tcBorders>
              <w:top w:val="single" w:sz="6" w:space="0" w:color="000000"/>
              <w:left w:val="single" w:sz="8" w:space="0" w:color="000000"/>
              <w:bottom w:val="single" w:sz="6" w:space="0" w:color="000000"/>
              <w:right w:val="single" w:sz="6" w:space="0" w:color="000000"/>
            </w:tcBorders>
            <w:shd w:val="clear" w:color="auto" w:fill="E5B8B7" w:themeFill="accent2" w:themeFillTint="66"/>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2014</w:t>
            </w:r>
          </w:p>
        </w:tc>
        <w:tc>
          <w:tcPr>
            <w:tcW w:w="389" w:type="pct"/>
            <w:tcBorders>
              <w:top w:val="single" w:sz="6" w:space="0" w:color="000000"/>
              <w:left w:val="single" w:sz="6" w:space="0" w:color="000000"/>
              <w:bottom w:val="single" w:sz="6" w:space="0" w:color="000000"/>
              <w:right w:val="single" w:sz="12" w:space="0" w:color="000000"/>
            </w:tcBorders>
            <w:shd w:val="clear" w:color="auto" w:fill="E5B8B7" w:themeFill="accent2" w:themeFillTint="66"/>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2015</w:t>
            </w:r>
          </w:p>
        </w:tc>
        <w:tc>
          <w:tcPr>
            <w:tcW w:w="389" w:type="pct"/>
            <w:tcBorders>
              <w:top w:val="single" w:sz="6" w:space="0" w:color="000000"/>
              <w:left w:val="single" w:sz="6" w:space="0" w:color="000000"/>
              <w:bottom w:val="single" w:sz="6" w:space="0" w:color="000000"/>
              <w:right w:val="single" w:sz="12" w:space="0" w:color="000000"/>
            </w:tcBorders>
            <w:shd w:val="clear" w:color="auto" w:fill="E5B8B7" w:themeFill="accent2" w:themeFillTint="66"/>
            <w:vAlign w:val="center"/>
          </w:tcPr>
          <w:p w:rsidR="009078D0" w:rsidRPr="00717595" w:rsidRDefault="009078D0" w:rsidP="006157E7">
            <w:pPr>
              <w:tabs>
                <w:tab w:val="center" w:pos="4680"/>
                <w:tab w:val="right" w:pos="9000"/>
              </w:tabs>
              <w:spacing w:after="0" w:line="240" w:lineRule="auto"/>
              <w:jc w:val="center"/>
              <w:rPr>
                <w:rFonts w:ascii="Arial" w:hAnsi="Arial" w:cs="Arial"/>
                <w:b/>
                <w:color w:val="000000"/>
              </w:rPr>
            </w:pPr>
            <w:r w:rsidRPr="00717595">
              <w:rPr>
                <w:rFonts w:ascii="Arial" w:hAnsi="Arial" w:cs="Arial"/>
                <w:b/>
                <w:color w:val="000000"/>
              </w:rPr>
              <w:t>2016</w:t>
            </w:r>
          </w:p>
        </w:tc>
      </w:tr>
      <w:tr w:rsidR="009078D0" w:rsidRPr="00717595" w:rsidTr="00D4086A">
        <w:trPr>
          <w:trHeight w:val="255"/>
          <w:jc w:val="center"/>
        </w:trPr>
        <w:tc>
          <w:tcPr>
            <w:tcW w:w="71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color w:val="000000"/>
                <w:vertAlign w:val="subscript"/>
              </w:rPr>
            </w:pPr>
            <w:r w:rsidRPr="00717595">
              <w:rPr>
                <w:rFonts w:ascii="Arial" w:hAnsi="Arial" w:cs="Arial"/>
                <w:color w:val="000000"/>
              </w:rPr>
              <w:t>SO</w:t>
            </w:r>
            <w:r w:rsidRPr="00717595">
              <w:rPr>
                <w:rFonts w:ascii="Arial" w:hAnsi="Arial" w:cs="Arial"/>
                <w:color w:val="000000"/>
                <w:vertAlign w:val="subscript"/>
              </w:rPr>
              <w:t>2</w:t>
            </w:r>
          </w:p>
          <w:p w:rsidR="009078D0" w:rsidRPr="00717595" w:rsidRDefault="009078D0" w:rsidP="006157E7">
            <w:pPr>
              <w:tabs>
                <w:tab w:val="center" w:pos="4680"/>
                <w:tab w:val="right" w:pos="9000"/>
              </w:tabs>
              <w:spacing w:after="0" w:line="240" w:lineRule="auto"/>
              <w:jc w:val="center"/>
              <w:rPr>
                <w:rFonts w:ascii="Arial" w:hAnsi="Arial" w:cs="Arial"/>
                <w:color w:val="000000"/>
              </w:rPr>
            </w:pPr>
            <w:r w:rsidRPr="00717595">
              <w:rPr>
                <w:rFonts w:ascii="Arial" w:hAnsi="Arial" w:cs="Arial"/>
                <w:color w:val="000000"/>
              </w:rPr>
              <w:t>(µg/mc)</w:t>
            </w: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11,62</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11,73</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10,63</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3.59</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9,49</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12,28</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14,39</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16,60</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14,00</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8,01</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4.50</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3,51</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8,63</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14,74</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5.09</w:t>
            </w:r>
          </w:p>
        </w:tc>
      </w:tr>
      <w:tr w:rsidR="009078D0" w:rsidRPr="00717595" w:rsidTr="00D4086A">
        <w:trPr>
          <w:trHeight w:val="255"/>
          <w:jc w:val="center"/>
        </w:trPr>
        <w:tc>
          <w:tcPr>
            <w:tcW w:w="71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color w:val="000000"/>
              </w:rPr>
            </w:pPr>
            <w:r w:rsidRPr="00717595">
              <w:rPr>
                <w:rFonts w:ascii="Arial" w:hAnsi="Arial" w:cs="Arial"/>
                <w:color w:val="000000"/>
              </w:rPr>
              <w:t xml:space="preserve">PM10 </w:t>
            </w:r>
          </w:p>
          <w:p w:rsidR="009078D0" w:rsidRPr="00717595" w:rsidRDefault="009078D0" w:rsidP="006157E7">
            <w:pPr>
              <w:tabs>
                <w:tab w:val="center" w:pos="4680"/>
                <w:tab w:val="right" w:pos="9000"/>
              </w:tabs>
              <w:spacing w:after="0" w:line="240" w:lineRule="auto"/>
              <w:jc w:val="center"/>
              <w:rPr>
                <w:rFonts w:ascii="Arial" w:hAnsi="Arial" w:cs="Arial"/>
                <w:color w:val="000000"/>
              </w:rPr>
            </w:pPr>
            <w:r w:rsidRPr="00717595">
              <w:rPr>
                <w:rFonts w:ascii="Arial" w:hAnsi="Arial" w:cs="Arial"/>
                <w:color w:val="000000"/>
              </w:rPr>
              <w:t>(µg/mc)</w:t>
            </w: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34,02</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29,51</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22,61</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36,68</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21.91</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31,52</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28,1</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24,5</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32,5</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28,07</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36,15</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46,03</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27.93</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28,54</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22,64</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29,07</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24.31</w:t>
            </w:r>
          </w:p>
        </w:tc>
      </w:tr>
      <w:tr w:rsidR="009078D0" w:rsidRPr="00717595" w:rsidTr="00D4086A">
        <w:trPr>
          <w:trHeight w:val="255"/>
          <w:jc w:val="center"/>
        </w:trPr>
        <w:tc>
          <w:tcPr>
            <w:tcW w:w="71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color w:val="000000"/>
                <w:vertAlign w:val="subscript"/>
              </w:rPr>
            </w:pPr>
            <w:r w:rsidRPr="00717595">
              <w:rPr>
                <w:rFonts w:ascii="Arial" w:hAnsi="Arial" w:cs="Arial"/>
                <w:color w:val="000000"/>
              </w:rPr>
              <w:t>O</w:t>
            </w:r>
            <w:r w:rsidRPr="00717595">
              <w:rPr>
                <w:rFonts w:ascii="Arial" w:hAnsi="Arial" w:cs="Arial"/>
                <w:color w:val="000000"/>
                <w:vertAlign w:val="subscript"/>
              </w:rPr>
              <w:t xml:space="preserve">3 </w:t>
            </w:r>
          </w:p>
          <w:p w:rsidR="009078D0" w:rsidRPr="00717595" w:rsidRDefault="009078D0" w:rsidP="006157E7">
            <w:pPr>
              <w:tabs>
                <w:tab w:val="center" w:pos="4680"/>
                <w:tab w:val="right" w:pos="9000"/>
              </w:tabs>
              <w:spacing w:after="0" w:line="240" w:lineRule="auto"/>
              <w:jc w:val="center"/>
              <w:rPr>
                <w:rFonts w:ascii="Arial" w:hAnsi="Arial" w:cs="Arial"/>
                <w:color w:val="000000"/>
              </w:rPr>
            </w:pPr>
            <w:r w:rsidRPr="00717595">
              <w:rPr>
                <w:rFonts w:ascii="Arial" w:hAnsi="Arial" w:cs="Arial"/>
                <w:color w:val="000000"/>
              </w:rPr>
              <w:t>(µg/mc)</w:t>
            </w: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72,66</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65,38</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63,30</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67,42</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57,39</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20,02</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53,23</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36.48</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63,16</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68,8</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66,00</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52,50</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71,80</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69,60</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48,24</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44,13</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50.25</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r>
      <w:tr w:rsidR="009078D0" w:rsidRPr="00717595" w:rsidTr="00D4086A">
        <w:trPr>
          <w:trHeight w:val="255"/>
          <w:jc w:val="center"/>
        </w:trPr>
        <w:tc>
          <w:tcPr>
            <w:tcW w:w="71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color w:val="000000"/>
                <w:vertAlign w:val="subscript"/>
              </w:rPr>
            </w:pPr>
            <w:r w:rsidRPr="00717595">
              <w:rPr>
                <w:rFonts w:ascii="Arial" w:hAnsi="Arial" w:cs="Arial"/>
                <w:color w:val="000000"/>
              </w:rPr>
              <w:t>NO</w:t>
            </w:r>
            <w:r w:rsidRPr="00717595">
              <w:rPr>
                <w:rFonts w:ascii="Arial" w:hAnsi="Arial" w:cs="Arial"/>
                <w:color w:val="000000"/>
                <w:vertAlign w:val="subscript"/>
              </w:rPr>
              <w:t xml:space="preserve">2 </w:t>
            </w:r>
          </w:p>
          <w:p w:rsidR="009078D0" w:rsidRPr="00717595" w:rsidRDefault="009078D0" w:rsidP="006157E7">
            <w:pPr>
              <w:tabs>
                <w:tab w:val="center" w:pos="4680"/>
                <w:tab w:val="right" w:pos="9000"/>
              </w:tabs>
              <w:spacing w:after="0" w:line="240" w:lineRule="auto"/>
              <w:jc w:val="center"/>
              <w:rPr>
                <w:rFonts w:ascii="Arial" w:hAnsi="Arial" w:cs="Arial"/>
                <w:color w:val="000000"/>
              </w:rPr>
            </w:pPr>
            <w:r w:rsidRPr="00717595">
              <w:rPr>
                <w:rFonts w:ascii="Arial" w:hAnsi="Arial" w:cs="Arial"/>
                <w:color w:val="000000"/>
              </w:rPr>
              <w:t>(µg/mc)</w:t>
            </w: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15,76</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12,25</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23,94</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25,36</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24,94</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3,86</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15.5</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12,83</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20.22</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12,65</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9,98</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10,50</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21,70</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5,15</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12,31</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12.68</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43,02</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30,73</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28,09</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30,52</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20.25</w:t>
            </w:r>
          </w:p>
        </w:tc>
      </w:tr>
      <w:tr w:rsidR="009078D0" w:rsidRPr="00717595" w:rsidTr="00D4086A">
        <w:trPr>
          <w:trHeight w:val="255"/>
          <w:jc w:val="center"/>
        </w:trPr>
        <w:tc>
          <w:tcPr>
            <w:tcW w:w="71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color w:val="000000"/>
                <w:vertAlign w:val="subscript"/>
              </w:rPr>
            </w:pPr>
            <w:r w:rsidRPr="00717595">
              <w:rPr>
                <w:rFonts w:ascii="Arial" w:hAnsi="Arial" w:cs="Arial"/>
                <w:color w:val="000000"/>
              </w:rPr>
              <w:t>NO</w:t>
            </w:r>
            <w:r w:rsidRPr="00717595">
              <w:rPr>
                <w:rFonts w:ascii="Arial" w:hAnsi="Arial" w:cs="Arial"/>
                <w:color w:val="000000"/>
                <w:vertAlign w:val="subscript"/>
              </w:rPr>
              <w:t xml:space="preserve">x </w:t>
            </w:r>
          </w:p>
          <w:p w:rsidR="009078D0" w:rsidRPr="00717595" w:rsidRDefault="009078D0" w:rsidP="006157E7">
            <w:pPr>
              <w:tabs>
                <w:tab w:val="center" w:pos="4680"/>
                <w:tab w:val="right" w:pos="9000"/>
              </w:tabs>
              <w:spacing w:after="0" w:line="240" w:lineRule="auto"/>
              <w:jc w:val="center"/>
              <w:rPr>
                <w:rFonts w:ascii="Arial" w:hAnsi="Arial" w:cs="Arial"/>
                <w:color w:val="000000"/>
              </w:rPr>
            </w:pPr>
            <w:r w:rsidRPr="00717595">
              <w:rPr>
                <w:rFonts w:ascii="Arial" w:hAnsi="Arial" w:cs="Arial"/>
                <w:color w:val="000000"/>
              </w:rPr>
              <w:t>(µg/mc)</w:t>
            </w: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21,29</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19,09</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32,95</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33,21</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34,49</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12,14</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20,8</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22,30</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22,30</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16,25</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17,83</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17,25</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31,62</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14,30</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19,78</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19,78</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61,58</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55,37</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43,68</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43,83</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25.23</w:t>
            </w:r>
          </w:p>
        </w:tc>
      </w:tr>
      <w:tr w:rsidR="009078D0" w:rsidRPr="00717595" w:rsidTr="00D4086A">
        <w:trPr>
          <w:trHeight w:val="255"/>
          <w:jc w:val="center"/>
        </w:trPr>
        <w:tc>
          <w:tcPr>
            <w:tcW w:w="71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color w:val="000000"/>
              </w:rPr>
            </w:pPr>
            <w:r w:rsidRPr="00717595">
              <w:rPr>
                <w:rFonts w:ascii="Arial" w:hAnsi="Arial" w:cs="Arial"/>
                <w:color w:val="000000"/>
              </w:rPr>
              <w:lastRenderedPageBreak/>
              <w:t xml:space="preserve">CO </w:t>
            </w:r>
          </w:p>
          <w:p w:rsidR="009078D0" w:rsidRPr="00717595" w:rsidRDefault="009078D0" w:rsidP="006157E7">
            <w:pPr>
              <w:tabs>
                <w:tab w:val="center" w:pos="4680"/>
                <w:tab w:val="right" w:pos="9000"/>
              </w:tabs>
              <w:spacing w:after="0" w:line="240" w:lineRule="auto"/>
              <w:jc w:val="center"/>
              <w:rPr>
                <w:rFonts w:ascii="Arial" w:hAnsi="Arial" w:cs="Arial"/>
                <w:color w:val="000000"/>
              </w:rPr>
            </w:pPr>
            <w:r w:rsidRPr="00717595">
              <w:rPr>
                <w:rFonts w:ascii="Arial" w:hAnsi="Arial" w:cs="Arial"/>
                <w:color w:val="000000"/>
              </w:rPr>
              <w:t>(mg/mc)</w:t>
            </w: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0,12</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0,12</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0,13</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0,13</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0,19</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0,15</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0,22</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0,11</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0.11</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0,16</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0,104</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0,1</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0,15</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0,26</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0,07</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0,08</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0,07</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0.09</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0,98</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0,40</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0,19</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0,42</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0,27</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0,34</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0.19</w:t>
            </w:r>
          </w:p>
        </w:tc>
      </w:tr>
      <w:tr w:rsidR="009078D0" w:rsidRPr="00717595" w:rsidTr="00D4086A">
        <w:trPr>
          <w:trHeight w:val="255"/>
          <w:jc w:val="center"/>
        </w:trPr>
        <w:tc>
          <w:tcPr>
            <w:tcW w:w="71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 xml:space="preserve">Pb </w:t>
            </w:r>
          </w:p>
          <w:p w:rsidR="009078D0" w:rsidRPr="00717595" w:rsidRDefault="009078D0" w:rsidP="006157E7">
            <w:pPr>
              <w:spacing w:after="0" w:line="240" w:lineRule="auto"/>
              <w:jc w:val="center"/>
              <w:rPr>
                <w:rFonts w:ascii="Arial" w:hAnsi="Arial" w:cs="Arial"/>
              </w:rPr>
            </w:pPr>
            <w:r w:rsidRPr="00717595">
              <w:rPr>
                <w:rFonts w:ascii="Arial" w:hAnsi="Arial" w:cs="Arial"/>
              </w:rPr>
              <w:t>(µg/mc)</w:t>
            </w: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0,0423</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tabs>
                <w:tab w:val="center" w:pos="4680"/>
                <w:tab w:val="right" w:pos="9000"/>
              </w:tabs>
              <w:spacing w:after="0" w:line="240" w:lineRule="auto"/>
              <w:jc w:val="center"/>
              <w:rPr>
                <w:rFonts w:ascii="Arial" w:hAnsi="Arial" w:cs="Arial"/>
              </w:rPr>
            </w:pPr>
            <w:r w:rsidRPr="00717595">
              <w:rPr>
                <w:rFonts w:ascii="Arial" w:hAnsi="Arial" w:cs="Arial"/>
              </w:rPr>
              <w:t>In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0,0301</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0,0075</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0,0052</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0,0463</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0,0009</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0,0085</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r>
      <w:tr w:rsidR="009078D0" w:rsidRPr="00717595" w:rsidTr="00D4086A">
        <w:trPr>
          <w:trHeight w:val="255"/>
          <w:jc w:val="center"/>
        </w:trPr>
        <w:tc>
          <w:tcPr>
            <w:tcW w:w="712" w:type="pct"/>
            <w:vMerge w:val="restart"/>
            <w:tcBorders>
              <w:top w:val="single" w:sz="6" w:space="0" w:color="000000"/>
              <w:left w:val="single" w:sz="12"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Benzen</w:t>
            </w:r>
          </w:p>
          <w:p w:rsidR="009078D0" w:rsidRPr="00717595" w:rsidRDefault="009078D0" w:rsidP="006157E7">
            <w:pPr>
              <w:spacing w:after="0" w:line="240" w:lineRule="auto"/>
              <w:jc w:val="center"/>
              <w:rPr>
                <w:rFonts w:ascii="Arial" w:hAnsi="Arial" w:cs="Arial"/>
              </w:rPr>
            </w:pPr>
            <w:r w:rsidRPr="00717595">
              <w:rPr>
                <w:rFonts w:ascii="Arial" w:hAnsi="Arial" w:cs="Arial"/>
              </w:rPr>
              <w:t xml:space="preserve"> (µg/mc)</w:t>
            </w: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Fd urban</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3,145</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0,25</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0,13</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1.2</w:t>
            </w:r>
          </w:p>
        </w:tc>
      </w:tr>
      <w:tr w:rsidR="009078D0" w:rsidRPr="00717595" w:rsidTr="00D4086A">
        <w:trPr>
          <w:trHeight w:val="255"/>
          <w:jc w:val="center"/>
        </w:trPr>
        <w:tc>
          <w:tcPr>
            <w:tcW w:w="712" w:type="pct"/>
            <w:vMerge/>
            <w:tcBorders>
              <w:top w:val="single" w:sz="6" w:space="0" w:color="000000"/>
              <w:left w:val="single" w:sz="12"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p>
        </w:tc>
        <w:tc>
          <w:tcPr>
            <w:tcW w:w="606"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T</w:t>
            </w:r>
          </w:p>
        </w:tc>
        <w:tc>
          <w:tcPr>
            <w:tcW w:w="450" w:type="pct"/>
            <w:tcBorders>
              <w:top w:val="single" w:sz="6" w:space="0" w:color="000000"/>
              <w:left w:val="single" w:sz="6" w:space="0" w:color="000000"/>
              <w:bottom w:val="single" w:sz="6"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4,65</w:t>
            </w:r>
          </w:p>
        </w:tc>
        <w:tc>
          <w:tcPr>
            <w:tcW w:w="450" w:type="pct"/>
            <w:tcBorders>
              <w:top w:val="single" w:sz="6" w:space="0" w:color="000000"/>
              <w:left w:val="single" w:sz="4" w:space="0" w:color="auto"/>
              <w:bottom w:val="single" w:sz="6" w:space="0" w:color="000000"/>
              <w:right w:val="single" w:sz="4" w:space="0" w:color="auto"/>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2,41</w:t>
            </w:r>
          </w:p>
        </w:tc>
        <w:tc>
          <w:tcPr>
            <w:tcW w:w="389" w:type="pct"/>
            <w:tcBorders>
              <w:top w:val="single" w:sz="6" w:space="0" w:color="000000"/>
              <w:left w:val="single" w:sz="4" w:space="0" w:color="auto"/>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8" w:space="0" w:color="000000"/>
            </w:tcBorders>
            <w:shd w:val="clear" w:color="auto" w:fill="F2DBDB" w:themeFill="accent2" w:themeFillTint="33"/>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6"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6"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1.93</w:t>
            </w:r>
          </w:p>
        </w:tc>
      </w:tr>
      <w:tr w:rsidR="009078D0" w:rsidRPr="00717595" w:rsidTr="00D4086A">
        <w:trPr>
          <w:trHeight w:val="255"/>
          <w:jc w:val="center"/>
        </w:trPr>
        <w:tc>
          <w:tcPr>
            <w:tcW w:w="712" w:type="pct"/>
            <w:tcBorders>
              <w:top w:val="single" w:sz="6" w:space="0" w:color="000000"/>
              <w:left w:val="single" w:sz="12" w:space="0" w:color="000000"/>
              <w:bottom w:val="single" w:sz="12"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vertAlign w:val="subscript"/>
              </w:rPr>
            </w:pPr>
            <w:r w:rsidRPr="00717595">
              <w:rPr>
                <w:rFonts w:ascii="Arial" w:hAnsi="Arial" w:cs="Arial"/>
              </w:rPr>
              <w:t>PM</w:t>
            </w:r>
            <w:r w:rsidRPr="00717595">
              <w:rPr>
                <w:rFonts w:ascii="Arial" w:hAnsi="Arial" w:cs="Arial"/>
                <w:vertAlign w:val="subscript"/>
              </w:rPr>
              <w:t xml:space="preserve">2.5 </w:t>
            </w:r>
          </w:p>
          <w:p w:rsidR="009078D0" w:rsidRPr="00717595" w:rsidRDefault="009078D0" w:rsidP="006157E7">
            <w:pPr>
              <w:spacing w:after="0" w:line="240" w:lineRule="auto"/>
              <w:jc w:val="center"/>
              <w:rPr>
                <w:rFonts w:ascii="Arial" w:hAnsi="Arial" w:cs="Arial"/>
              </w:rPr>
            </w:pPr>
            <w:r w:rsidRPr="00717595">
              <w:rPr>
                <w:rFonts w:ascii="Arial" w:hAnsi="Arial" w:cs="Arial"/>
              </w:rPr>
              <w:t>(µg/mc)</w:t>
            </w:r>
          </w:p>
        </w:tc>
        <w:tc>
          <w:tcPr>
            <w:tcW w:w="606" w:type="pct"/>
            <w:tcBorders>
              <w:top w:val="single" w:sz="6" w:space="0" w:color="000000"/>
              <w:left w:val="single" w:sz="6" w:space="0" w:color="000000"/>
              <w:bottom w:val="single" w:sz="12" w:space="0" w:color="000000"/>
              <w:right w:val="single" w:sz="6" w:space="0" w:color="000000"/>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In</w:t>
            </w:r>
          </w:p>
        </w:tc>
        <w:tc>
          <w:tcPr>
            <w:tcW w:w="450" w:type="pct"/>
            <w:tcBorders>
              <w:top w:val="single" w:sz="6" w:space="0" w:color="000000"/>
              <w:left w:val="single" w:sz="6" w:space="0" w:color="000000"/>
              <w:bottom w:val="single" w:sz="12" w:space="0" w:color="000000"/>
              <w:right w:val="single" w:sz="4" w:space="0" w:color="auto"/>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450" w:type="pct"/>
            <w:tcBorders>
              <w:top w:val="single" w:sz="6" w:space="0" w:color="000000"/>
              <w:left w:val="single" w:sz="4" w:space="0" w:color="auto"/>
              <w:bottom w:val="single" w:sz="12" w:space="0" w:color="000000"/>
              <w:right w:val="single" w:sz="4" w:space="0" w:color="auto"/>
            </w:tcBorders>
            <w:shd w:val="clear" w:color="auto" w:fill="F2DBDB" w:themeFill="accent2" w:themeFillTint="33"/>
            <w:noWrap/>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15,46</w:t>
            </w:r>
          </w:p>
        </w:tc>
        <w:tc>
          <w:tcPr>
            <w:tcW w:w="450" w:type="pct"/>
            <w:tcBorders>
              <w:top w:val="single" w:sz="6" w:space="0" w:color="000000"/>
              <w:left w:val="single" w:sz="4" w:space="0" w:color="auto"/>
              <w:bottom w:val="single" w:sz="12"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12"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12"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0,93</w:t>
            </w:r>
          </w:p>
        </w:tc>
        <w:tc>
          <w:tcPr>
            <w:tcW w:w="389" w:type="pct"/>
            <w:tcBorders>
              <w:top w:val="single" w:sz="6" w:space="0" w:color="000000"/>
              <w:left w:val="single" w:sz="8" w:space="0" w:color="000000"/>
              <w:bottom w:val="single" w:sz="12" w:space="0" w:color="000000"/>
              <w:right w:val="single" w:sz="8"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8" w:space="0" w:color="000000"/>
              <w:bottom w:val="single" w:sz="12" w:space="0" w:color="000000"/>
              <w:right w:val="single" w:sz="6"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12"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c>
          <w:tcPr>
            <w:tcW w:w="389" w:type="pct"/>
            <w:tcBorders>
              <w:top w:val="single" w:sz="6" w:space="0" w:color="000000"/>
              <w:left w:val="single" w:sz="6" w:space="0" w:color="000000"/>
              <w:bottom w:val="single" w:sz="12" w:space="0" w:color="000000"/>
              <w:right w:val="single" w:sz="12" w:space="0" w:color="000000"/>
            </w:tcBorders>
            <w:shd w:val="clear" w:color="auto" w:fill="F2DBDB" w:themeFill="accent2" w:themeFillTint="33"/>
            <w:vAlign w:val="center"/>
          </w:tcPr>
          <w:p w:rsidR="009078D0" w:rsidRPr="00717595" w:rsidRDefault="009078D0" w:rsidP="006157E7">
            <w:pPr>
              <w:spacing w:after="0" w:line="240" w:lineRule="auto"/>
              <w:jc w:val="center"/>
              <w:rPr>
                <w:rFonts w:ascii="Arial" w:hAnsi="Arial" w:cs="Arial"/>
              </w:rPr>
            </w:pPr>
            <w:r w:rsidRPr="00717595">
              <w:rPr>
                <w:rFonts w:ascii="Arial" w:hAnsi="Arial" w:cs="Arial"/>
              </w:rPr>
              <w:t>-</w:t>
            </w:r>
          </w:p>
        </w:tc>
      </w:tr>
    </w:tbl>
    <w:p w:rsidR="00D4086A" w:rsidRDefault="00D4086A" w:rsidP="006157E7">
      <w:pPr>
        <w:spacing w:after="0" w:line="240" w:lineRule="auto"/>
        <w:ind w:firstLine="708"/>
        <w:jc w:val="both"/>
        <w:rPr>
          <w:rFonts w:ascii="Arial" w:hAnsi="Arial" w:cs="Arial"/>
          <w:sz w:val="24"/>
          <w:szCs w:val="24"/>
        </w:rPr>
      </w:pPr>
    </w:p>
    <w:p w:rsidR="008914B8" w:rsidRDefault="009078D0" w:rsidP="00D4086A">
      <w:pPr>
        <w:spacing w:after="0" w:line="240" w:lineRule="auto"/>
        <w:ind w:firstLine="708"/>
        <w:jc w:val="both"/>
        <w:rPr>
          <w:rFonts w:ascii="Arial" w:hAnsi="Arial" w:cs="Arial"/>
          <w:sz w:val="24"/>
          <w:szCs w:val="24"/>
        </w:rPr>
      </w:pPr>
      <w:r w:rsidRPr="009078D0">
        <w:rPr>
          <w:rFonts w:ascii="Arial" w:hAnsi="Arial" w:cs="Arial"/>
          <w:sz w:val="24"/>
          <w:szCs w:val="24"/>
        </w:rPr>
        <w:t>Din cauza defecţiunilor apărute la echipamentele de măsurare, pentru unii poluanţi, datele colectate au fost insuficiente pentru a respecta criteriile de agregare a datelor şi/sau obiectivele de calitate în conformitate cu Legea nr.104/2011, privind calitatea aerului înconjurător, drept pentru care, datele prezentate au caracter orientativ.</w:t>
      </w:r>
    </w:p>
    <w:p w:rsidR="00D4086A" w:rsidRDefault="00D4086A" w:rsidP="00D4086A">
      <w:pPr>
        <w:spacing w:after="0" w:line="240" w:lineRule="auto"/>
        <w:ind w:firstLine="708"/>
        <w:jc w:val="both"/>
        <w:rPr>
          <w:rFonts w:ascii="Arial" w:hAnsi="Arial" w:cs="Arial"/>
          <w:sz w:val="24"/>
          <w:szCs w:val="24"/>
        </w:rPr>
      </w:pPr>
    </w:p>
    <w:p w:rsidR="00D4086A" w:rsidRPr="00594535" w:rsidRDefault="00D4086A" w:rsidP="00D4086A">
      <w:pPr>
        <w:jc w:val="both"/>
        <w:rPr>
          <w:rFonts w:ascii="Arial" w:hAnsi="Arial" w:cs="Arial"/>
          <w:b/>
          <w:sz w:val="24"/>
          <w:szCs w:val="24"/>
          <w:lang w:val="en-US"/>
        </w:rPr>
      </w:pPr>
      <w:r w:rsidRPr="00594535">
        <w:rPr>
          <w:rFonts w:ascii="Arial" w:hAnsi="Arial" w:cs="Arial"/>
          <w:b/>
          <w:sz w:val="24"/>
          <w:szCs w:val="24"/>
          <w:lang w:val="en-US"/>
        </w:rPr>
        <w:t>B. Alte date și informații specifice</w:t>
      </w:r>
    </w:p>
    <w:p w:rsidR="00D4086A" w:rsidRDefault="00D4086A" w:rsidP="00D4086A">
      <w:pPr>
        <w:spacing w:after="0" w:line="240" w:lineRule="auto"/>
        <w:jc w:val="both"/>
        <w:rPr>
          <w:rFonts w:ascii="Arial" w:hAnsi="Arial" w:cs="Arial"/>
          <w:sz w:val="24"/>
          <w:szCs w:val="24"/>
          <w:lang w:val="en-US"/>
        </w:rPr>
      </w:pPr>
      <w:r w:rsidRPr="00594535">
        <w:rPr>
          <w:rFonts w:ascii="Arial" w:hAnsi="Arial" w:cs="Arial"/>
          <w:sz w:val="24"/>
          <w:szCs w:val="24"/>
          <w:lang w:val="en-US"/>
        </w:rPr>
        <w:t>Sursele de poluare din mediul urban:</w:t>
      </w:r>
    </w:p>
    <w:p w:rsidR="00D4086A" w:rsidRPr="00594535" w:rsidRDefault="00D4086A" w:rsidP="00D4086A">
      <w:pPr>
        <w:spacing w:after="0" w:line="240" w:lineRule="auto"/>
        <w:jc w:val="both"/>
        <w:rPr>
          <w:rFonts w:ascii="Arial" w:hAnsi="Arial" w:cs="Arial"/>
          <w:sz w:val="24"/>
          <w:szCs w:val="24"/>
        </w:rPr>
      </w:pPr>
      <w:r w:rsidRPr="00594535">
        <w:rPr>
          <w:rFonts w:ascii="Arial" w:hAnsi="Arial" w:cs="Arial"/>
          <w:sz w:val="24"/>
          <w:szCs w:val="24"/>
        </w:rPr>
        <w:t xml:space="preserve">Principalele surse de poluare a aerului </w:t>
      </w:r>
      <w:r w:rsidRPr="00594535">
        <w:rPr>
          <w:rFonts w:ascii="Arial" w:hAnsi="Arial" w:cs="Arial"/>
          <w:sz w:val="24"/>
          <w:szCs w:val="24"/>
          <w:lang w:val="en-US"/>
        </w:rPr>
        <w:t>din mediul urban</w:t>
      </w:r>
      <w:r w:rsidRPr="00594535">
        <w:rPr>
          <w:rFonts w:ascii="Arial" w:hAnsi="Arial" w:cs="Arial"/>
          <w:sz w:val="24"/>
          <w:szCs w:val="24"/>
        </w:rPr>
        <w:t xml:space="preserve"> sunt:</w:t>
      </w:r>
    </w:p>
    <w:p w:rsidR="00D4086A" w:rsidRPr="00594535" w:rsidRDefault="00D4086A" w:rsidP="00252ED3">
      <w:pPr>
        <w:pStyle w:val="ListParagraph"/>
        <w:numPr>
          <w:ilvl w:val="0"/>
          <w:numId w:val="37"/>
        </w:numPr>
        <w:ind w:left="0" w:firstLine="0"/>
        <w:jc w:val="both"/>
        <w:rPr>
          <w:rFonts w:ascii="Arial" w:hAnsi="Arial" w:cs="Arial"/>
        </w:rPr>
      </w:pPr>
      <w:r w:rsidRPr="00594535">
        <w:rPr>
          <w:rFonts w:ascii="Arial" w:hAnsi="Arial" w:cs="Arial"/>
        </w:rPr>
        <w:t>Traficul,</w:t>
      </w:r>
    </w:p>
    <w:p w:rsidR="00D4086A" w:rsidRPr="00594535" w:rsidRDefault="00D4086A" w:rsidP="00252ED3">
      <w:pPr>
        <w:pStyle w:val="ListParagraph"/>
        <w:numPr>
          <w:ilvl w:val="0"/>
          <w:numId w:val="37"/>
        </w:numPr>
        <w:ind w:left="0" w:firstLine="0"/>
        <w:jc w:val="both"/>
        <w:rPr>
          <w:rFonts w:ascii="Arial" w:hAnsi="Arial" w:cs="Arial"/>
        </w:rPr>
      </w:pPr>
      <w:r w:rsidRPr="00594535">
        <w:rPr>
          <w:rFonts w:ascii="Arial" w:hAnsi="Arial" w:cs="Arial"/>
        </w:rPr>
        <w:t>Procesele industriale şi</w:t>
      </w:r>
    </w:p>
    <w:p w:rsidR="00D4086A" w:rsidRPr="00594535" w:rsidRDefault="00D4086A" w:rsidP="00252ED3">
      <w:pPr>
        <w:pStyle w:val="ListParagraph"/>
        <w:numPr>
          <w:ilvl w:val="0"/>
          <w:numId w:val="37"/>
        </w:numPr>
        <w:ind w:left="0" w:firstLine="0"/>
        <w:jc w:val="both"/>
        <w:rPr>
          <w:rFonts w:ascii="Arial" w:hAnsi="Arial" w:cs="Arial"/>
          <w:lang w:val="en-US"/>
        </w:rPr>
      </w:pPr>
      <w:r w:rsidRPr="00594535">
        <w:rPr>
          <w:rFonts w:ascii="Arial" w:hAnsi="Arial" w:cs="Arial"/>
        </w:rPr>
        <w:t>Încălzirea rezidenţială</w:t>
      </w:r>
    </w:p>
    <w:p w:rsidR="00D4086A" w:rsidRPr="00594535" w:rsidRDefault="00D4086A" w:rsidP="00D4086A">
      <w:pPr>
        <w:pStyle w:val="ListParagraph"/>
        <w:ind w:left="0"/>
        <w:jc w:val="both"/>
        <w:rPr>
          <w:rFonts w:ascii="Arial" w:hAnsi="Arial" w:cs="Arial"/>
          <w:lang w:val="en-US"/>
        </w:rPr>
      </w:pPr>
    </w:p>
    <w:p w:rsidR="00630DB9" w:rsidRDefault="00630DB9" w:rsidP="00D4086A">
      <w:pPr>
        <w:spacing w:after="0" w:line="240" w:lineRule="auto"/>
        <w:jc w:val="both"/>
        <w:rPr>
          <w:rFonts w:ascii="Arial" w:hAnsi="Arial" w:cs="Arial"/>
          <w:b/>
          <w:sz w:val="24"/>
          <w:szCs w:val="24"/>
          <w:lang w:val="en-US"/>
        </w:rPr>
      </w:pPr>
    </w:p>
    <w:p w:rsidR="00D4086A" w:rsidRDefault="00D4086A" w:rsidP="00630DB9">
      <w:pPr>
        <w:spacing w:after="0" w:line="240" w:lineRule="auto"/>
        <w:jc w:val="both"/>
        <w:rPr>
          <w:rFonts w:ascii="Arial" w:hAnsi="Arial" w:cs="Arial"/>
          <w:b/>
          <w:sz w:val="24"/>
          <w:szCs w:val="24"/>
        </w:rPr>
      </w:pPr>
      <w:r w:rsidRPr="00594535">
        <w:rPr>
          <w:rFonts w:ascii="Arial" w:hAnsi="Arial" w:cs="Arial"/>
          <w:b/>
          <w:sz w:val="24"/>
          <w:szCs w:val="24"/>
          <w:lang w:val="en-US"/>
        </w:rPr>
        <w:t xml:space="preserve">Indicatori ai efectelor poluării aerului  asupra sănătăţii populației umane </w:t>
      </w:r>
    </w:p>
    <w:p w:rsidR="00BB71FF" w:rsidRDefault="00BB71FF" w:rsidP="00D4086A">
      <w:pPr>
        <w:ind w:right="-567"/>
        <w:jc w:val="both"/>
        <w:rPr>
          <w:rFonts w:ascii="Arial" w:hAnsi="Arial" w:cs="Arial"/>
          <w:sz w:val="24"/>
          <w:szCs w:val="24"/>
        </w:rPr>
      </w:pPr>
    </w:p>
    <w:p w:rsidR="00630DB9" w:rsidRDefault="00D4086A" w:rsidP="00BB71FF">
      <w:pPr>
        <w:spacing w:after="0" w:line="240" w:lineRule="auto"/>
        <w:ind w:right="-567"/>
        <w:jc w:val="both"/>
        <w:rPr>
          <w:rFonts w:ascii="Arial" w:hAnsi="Arial" w:cs="Arial"/>
          <w:sz w:val="24"/>
          <w:szCs w:val="24"/>
          <w:lang w:val="en-US"/>
        </w:rPr>
      </w:pPr>
      <w:r w:rsidRPr="00BB71FF">
        <w:rPr>
          <w:rFonts w:ascii="Arial" w:hAnsi="Arial" w:cs="Arial"/>
          <w:sz w:val="24"/>
          <w:szCs w:val="24"/>
        </w:rPr>
        <w:t>Tabel nr. VIII.1.1.1.- 2</w:t>
      </w:r>
      <w:r w:rsidRPr="00594535">
        <w:rPr>
          <w:rFonts w:ascii="Arial" w:hAnsi="Arial" w:cs="Arial"/>
          <w:b/>
          <w:sz w:val="24"/>
          <w:szCs w:val="24"/>
        </w:rPr>
        <w:t xml:space="preserve"> -</w:t>
      </w:r>
      <w:r w:rsidRPr="00594535">
        <w:rPr>
          <w:rFonts w:ascii="Arial" w:hAnsi="Arial" w:cs="Arial"/>
          <w:sz w:val="24"/>
          <w:szCs w:val="24"/>
          <w:lang w:val="en-US"/>
        </w:rPr>
        <w:t xml:space="preserve"> </w:t>
      </w:r>
      <w:r w:rsidRPr="001739E9">
        <w:rPr>
          <w:rFonts w:ascii="Arial" w:hAnsi="Arial" w:cs="Arial"/>
          <w:sz w:val="24"/>
          <w:szCs w:val="24"/>
          <w:lang w:val="en-US"/>
        </w:rPr>
        <w:t xml:space="preserve">Mortalitatea generală, la nivelul  judeţului </w:t>
      </w:r>
      <w:r w:rsidR="00217620">
        <w:rPr>
          <w:rFonts w:ascii="Arial" w:hAnsi="Arial" w:cs="Arial"/>
          <w:sz w:val="24"/>
          <w:szCs w:val="24"/>
          <w:lang w:val="en-US"/>
        </w:rPr>
        <w:t>Brăila</w:t>
      </w:r>
      <w:r w:rsidRPr="001739E9">
        <w:rPr>
          <w:rFonts w:ascii="Arial" w:hAnsi="Arial" w:cs="Arial"/>
          <w:sz w:val="24"/>
          <w:szCs w:val="24"/>
          <w:lang w:val="en-US"/>
        </w:rPr>
        <w:t>, cea datorată</w:t>
      </w:r>
    </w:p>
    <w:p w:rsidR="00D4086A" w:rsidRPr="001739E9" w:rsidRDefault="00D4086A" w:rsidP="00BB71FF">
      <w:pPr>
        <w:spacing w:after="0" w:line="240" w:lineRule="auto"/>
        <w:ind w:right="-143"/>
        <w:jc w:val="both"/>
        <w:rPr>
          <w:rFonts w:ascii="Arial" w:hAnsi="Arial" w:cs="Arial"/>
          <w:sz w:val="24"/>
          <w:szCs w:val="24"/>
          <w:lang w:val="en-US"/>
        </w:rPr>
      </w:pPr>
      <w:r w:rsidRPr="001739E9">
        <w:rPr>
          <w:rFonts w:ascii="Arial" w:hAnsi="Arial" w:cs="Arial"/>
          <w:sz w:val="24"/>
          <w:szCs w:val="24"/>
          <w:lang w:val="en-US"/>
        </w:rPr>
        <w:t xml:space="preserve"> afecţiunilor respiratorii şi cea prin afecţiuni cardiovasculare în perioada 2012 – 2016 </w:t>
      </w:r>
    </w:p>
    <w:tbl>
      <w:tblPr>
        <w:tblW w:w="9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842"/>
        <w:gridCol w:w="971"/>
        <w:gridCol w:w="971"/>
        <w:gridCol w:w="924"/>
        <w:gridCol w:w="924"/>
      </w:tblGrid>
      <w:tr w:rsidR="00D4086A" w:rsidRPr="0090130C" w:rsidTr="0033527B">
        <w:trPr>
          <w:jc w:val="center"/>
        </w:trPr>
        <w:tc>
          <w:tcPr>
            <w:tcW w:w="4786" w:type="dxa"/>
            <w:shd w:val="clear" w:color="auto" w:fill="FABF8F"/>
          </w:tcPr>
          <w:p w:rsidR="00D4086A" w:rsidRPr="0090130C" w:rsidRDefault="00D4086A" w:rsidP="00BB71FF">
            <w:pPr>
              <w:spacing w:after="0" w:line="240" w:lineRule="auto"/>
              <w:jc w:val="both"/>
              <w:rPr>
                <w:rFonts w:ascii="Arial" w:hAnsi="Arial" w:cs="Arial"/>
                <w:b/>
                <w:sz w:val="24"/>
                <w:szCs w:val="24"/>
                <w:lang w:val="en-US"/>
              </w:rPr>
            </w:pPr>
            <w:r w:rsidRPr="0090130C">
              <w:rPr>
                <w:rFonts w:ascii="Arial" w:hAnsi="Arial" w:cs="Arial"/>
                <w:b/>
                <w:sz w:val="24"/>
                <w:szCs w:val="24"/>
                <w:lang w:val="en-US"/>
              </w:rPr>
              <w:t xml:space="preserve">Judeţul </w:t>
            </w:r>
            <w:r w:rsidR="00217620">
              <w:rPr>
                <w:rFonts w:ascii="Arial" w:hAnsi="Arial" w:cs="Arial"/>
                <w:b/>
                <w:sz w:val="24"/>
                <w:szCs w:val="24"/>
                <w:lang w:val="en-US"/>
              </w:rPr>
              <w:t>Brăila</w:t>
            </w:r>
          </w:p>
        </w:tc>
        <w:tc>
          <w:tcPr>
            <w:tcW w:w="842" w:type="dxa"/>
            <w:shd w:val="clear" w:color="auto" w:fill="FABF8F"/>
          </w:tcPr>
          <w:p w:rsidR="00D4086A" w:rsidRPr="0090130C" w:rsidRDefault="00D4086A" w:rsidP="0033527B">
            <w:pPr>
              <w:spacing w:after="0" w:line="240" w:lineRule="auto"/>
              <w:jc w:val="both"/>
              <w:rPr>
                <w:rFonts w:ascii="Arial" w:hAnsi="Arial" w:cs="Arial"/>
                <w:b/>
                <w:sz w:val="24"/>
                <w:szCs w:val="24"/>
                <w:lang w:val="en-US"/>
              </w:rPr>
            </w:pPr>
            <w:r w:rsidRPr="0090130C">
              <w:rPr>
                <w:rFonts w:ascii="Arial" w:hAnsi="Arial" w:cs="Arial"/>
                <w:b/>
                <w:sz w:val="24"/>
                <w:szCs w:val="24"/>
                <w:lang w:val="en-US"/>
              </w:rPr>
              <w:t>2012</w:t>
            </w:r>
          </w:p>
        </w:tc>
        <w:tc>
          <w:tcPr>
            <w:tcW w:w="971" w:type="dxa"/>
            <w:shd w:val="clear" w:color="auto" w:fill="FABF8F"/>
          </w:tcPr>
          <w:p w:rsidR="00D4086A" w:rsidRPr="0090130C" w:rsidRDefault="00D4086A" w:rsidP="0033527B">
            <w:pPr>
              <w:spacing w:after="0" w:line="240" w:lineRule="auto"/>
              <w:jc w:val="both"/>
              <w:rPr>
                <w:rFonts w:ascii="Arial" w:hAnsi="Arial" w:cs="Arial"/>
                <w:b/>
                <w:sz w:val="24"/>
                <w:szCs w:val="24"/>
                <w:lang w:val="en-US"/>
              </w:rPr>
            </w:pPr>
            <w:r w:rsidRPr="0090130C">
              <w:rPr>
                <w:rFonts w:ascii="Arial" w:hAnsi="Arial" w:cs="Arial"/>
                <w:b/>
                <w:sz w:val="24"/>
                <w:szCs w:val="24"/>
                <w:lang w:val="en-US"/>
              </w:rPr>
              <w:t>2013</w:t>
            </w:r>
          </w:p>
        </w:tc>
        <w:tc>
          <w:tcPr>
            <w:tcW w:w="971" w:type="dxa"/>
            <w:shd w:val="clear" w:color="auto" w:fill="FABF8F"/>
          </w:tcPr>
          <w:p w:rsidR="00D4086A" w:rsidRPr="0090130C" w:rsidRDefault="00D4086A" w:rsidP="0033527B">
            <w:pPr>
              <w:spacing w:after="0" w:line="240" w:lineRule="auto"/>
              <w:jc w:val="both"/>
              <w:rPr>
                <w:rFonts w:ascii="Arial" w:hAnsi="Arial" w:cs="Arial"/>
                <w:b/>
                <w:sz w:val="24"/>
                <w:szCs w:val="24"/>
                <w:lang w:val="en-US"/>
              </w:rPr>
            </w:pPr>
            <w:r w:rsidRPr="0090130C">
              <w:rPr>
                <w:rFonts w:ascii="Arial" w:hAnsi="Arial" w:cs="Arial"/>
                <w:b/>
                <w:sz w:val="24"/>
                <w:szCs w:val="24"/>
                <w:lang w:val="en-US"/>
              </w:rPr>
              <w:t>2014</w:t>
            </w:r>
          </w:p>
        </w:tc>
        <w:tc>
          <w:tcPr>
            <w:tcW w:w="924" w:type="dxa"/>
            <w:shd w:val="clear" w:color="auto" w:fill="FABF8F"/>
          </w:tcPr>
          <w:p w:rsidR="00D4086A" w:rsidRPr="0090130C" w:rsidRDefault="00D4086A" w:rsidP="0033527B">
            <w:pPr>
              <w:spacing w:after="0" w:line="240" w:lineRule="auto"/>
              <w:jc w:val="both"/>
              <w:rPr>
                <w:rFonts w:ascii="Arial" w:hAnsi="Arial" w:cs="Arial"/>
                <w:b/>
                <w:sz w:val="24"/>
                <w:szCs w:val="24"/>
                <w:lang w:val="en-US"/>
              </w:rPr>
            </w:pPr>
            <w:r w:rsidRPr="0090130C">
              <w:rPr>
                <w:rFonts w:ascii="Arial" w:hAnsi="Arial" w:cs="Arial"/>
                <w:b/>
                <w:sz w:val="24"/>
                <w:szCs w:val="24"/>
                <w:lang w:val="en-US"/>
              </w:rPr>
              <w:t>2015</w:t>
            </w:r>
          </w:p>
        </w:tc>
        <w:tc>
          <w:tcPr>
            <w:tcW w:w="924" w:type="dxa"/>
            <w:shd w:val="clear" w:color="auto" w:fill="FABF8F"/>
          </w:tcPr>
          <w:p w:rsidR="00D4086A" w:rsidRPr="001739E9" w:rsidRDefault="00D4086A" w:rsidP="0033527B">
            <w:pPr>
              <w:spacing w:after="0" w:line="240" w:lineRule="auto"/>
              <w:jc w:val="both"/>
              <w:rPr>
                <w:rFonts w:ascii="Arial" w:hAnsi="Arial" w:cs="Arial"/>
                <w:b/>
                <w:sz w:val="24"/>
                <w:szCs w:val="24"/>
                <w:lang w:val="en-US"/>
              </w:rPr>
            </w:pPr>
            <w:r w:rsidRPr="001739E9">
              <w:rPr>
                <w:rFonts w:ascii="Arial" w:hAnsi="Arial" w:cs="Arial"/>
                <w:b/>
                <w:sz w:val="24"/>
                <w:szCs w:val="24"/>
                <w:lang w:val="en-US"/>
              </w:rPr>
              <w:t>2016</w:t>
            </w:r>
          </w:p>
        </w:tc>
      </w:tr>
      <w:tr w:rsidR="00D4086A" w:rsidRPr="0090130C" w:rsidTr="0033527B">
        <w:trPr>
          <w:jc w:val="center"/>
        </w:trPr>
        <w:tc>
          <w:tcPr>
            <w:tcW w:w="4786" w:type="dxa"/>
            <w:shd w:val="clear" w:color="auto" w:fill="EAF1DD"/>
          </w:tcPr>
          <w:p w:rsidR="00D4086A" w:rsidRPr="0090130C" w:rsidRDefault="00D4086A" w:rsidP="0033527B">
            <w:pPr>
              <w:spacing w:after="0" w:line="240" w:lineRule="auto"/>
              <w:jc w:val="both"/>
              <w:rPr>
                <w:rFonts w:ascii="Arial" w:hAnsi="Arial" w:cs="Arial"/>
                <w:sz w:val="24"/>
                <w:szCs w:val="24"/>
              </w:rPr>
            </w:pPr>
            <w:r w:rsidRPr="0090130C">
              <w:rPr>
                <w:rFonts w:ascii="Arial" w:hAnsi="Arial" w:cs="Arial"/>
                <w:sz w:val="24"/>
                <w:szCs w:val="24"/>
                <w:lang w:val="en-US"/>
              </w:rPr>
              <w:t xml:space="preserve">Mortalitate </w:t>
            </w:r>
            <w:r w:rsidRPr="0090130C">
              <w:rPr>
                <w:rFonts w:ascii="Arial" w:hAnsi="Arial" w:cs="Arial"/>
                <w:sz w:val="24"/>
                <w:szCs w:val="24"/>
              </w:rPr>
              <w:t>generală/din care</w:t>
            </w:r>
          </w:p>
        </w:tc>
        <w:tc>
          <w:tcPr>
            <w:tcW w:w="842"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4581</w:t>
            </w:r>
          </w:p>
        </w:tc>
        <w:tc>
          <w:tcPr>
            <w:tcW w:w="971"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4464</w:t>
            </w:r>
          </w:p>
        </w:tc>
        <w:tc>
          <w:tcPr>
            <w:tcW w:w="971"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4455</w:t>
            </w:r>
          </w:p>
        </w:tc>
        <w:tc>
          <w:tcPr>
            <w:tcW w:w="924"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12210</w:t>
            </w:r>
          </w:p>
        </w:tc>
        <w:tc>
          <w:tcPr>
            <w:tcW w:w="924" w:type="dxa"/>
            <w:shd w:val="clear" w:color="auto" w:fill="EAF1DD"/>
          </w:tcPr>
          <w:p w:rsidR="00D4086A" w:rsidRPr="001739E9" w:rsidRDefault="00D4086A" w:rsidP="0033527B">
            <w:pPr>
              <w:spacing w:after="0" w:line="240" w:lineRule="auto"/>
              <w:jc w:val="both"/>
              <w:rPr>
                <w:rFonts w:ascii="Arial" w:hAnsi="Arial" w:cs="Arial"/>
                <w:sz w:val="24"/>
                <w:szCs w:val="24"/>
                <w:lang w:val="en-US"/>
              </w:rPr>
            </w:pPr>
            <w:r w:rsidRPr="001739E9">
              <w:rPr>
                <w:rFonts w:ascii="Arial" w:hAnsi="Arial" w:cs="Arial"/>
                <w:sz w:val="24"/>
                <w:szCs w:val="24"/>
                <w:lang w:val="en-US"/>
              </w:rPr>
              <w:t>4613</w:t>
            </w:r>
          </w:p>
        </w:tc>
      </w:tr>
      <w:tr w:rsidR="00D4086A" w:rsidRPr="0090130C" w:rsidTr="0033527B">
        <w:trPr>
          <w:jc w:val="center"/>
        </w:trPr>
        <w:tc>
          <w:tcPr>
            <w:tcW w:w="4786"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Boli ale aparatului circulator (număr cazuri)</w:t>
            </w:r>
          </w:p>
        </w:tc>
        <w:tc>
          <w:tcPr>
            <w:tcW w:w="842"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2662</w:t>
            </w:r>
          </w:p>
        </w:tc>
        <w:tc>
          <w:tcPr>
            <w:tcW w:w="971"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2560</w:t>
            </w:r>
          </w:p>
        </w:tc>
        <w:tc>
          <w:tcPr>
            <w:tcW w:w="971"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2484</w:t>
            </w:r>
          </w:p>
        </w:tc>
        <w:tc>
          <w:tcPr>
            <w:tcW w:w="924"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2660</w:t>
            </w:r>
          </w:p>
        </w:tc>
        <w:tc>
          <w:tcPr>
            <w:tcW w:w="924" w:type="dxa"/>
            <w:shd w:val="clear" w:color="auto" w:fill="EAF1DD"/>
          </w:tcPr>
          <w:p w:rsidR="00D4086A" w:rsidRPr="001739E9" w:rsidRDefault="00D4086A" w:rsidP="0033527B">
            <w:pPr>
              <w:spacing w:after="0" w:line="240" w:lineRule="auto"/>
              <w:jc w:val="both"/>
              <w:rPr>
                <w:rFonts w:ascii="Arial" w:hAnsi="Arial" w:cs="Arial"/>
                <w:sz w:val="24"/>
                <w:szCs w:val="24"/>
                <w:lang w:val="en-US"/>
              </w:rPr>
            </w:pPr>
            <w:r w:rsidRPr="001739E9">
              <w:rPr>
                <w:rFonts w:ascii="Arial" w:hAnsi="Arial" w:cs="Arial"/>
                <w:sz w:val="24"/>
                <w:szCs w:val="24"/>
                <w:lang w:val="en-US"/>
              </w:rPr>
              <w:t>2694</w:t>
            </w:r>
          </w:p>
        </w:tc>
      </w:tr>
      <w:tr w:rsidR="00D4086A" w:rsidRPr="0090130C" w:rsidTr="0033527B">
        <w:trPr>
          <w:jc w:val="center"/>
        </w:trPr>
        <w:tc>
          <w:tcPr>
            <w:tcW w:w="4786"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Boală ischemică a inimii (număr cazuri)</w:t>
            </w:r>
          </w:p>
        </w:tc>
        <w:tc>
          <w:tcPr>
            <w:tcW w:w="842"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461</w:t>
            </w:r>
          </w:p>
        </w:tc>
        <w:tc>
          <w:tcPr>
            <w:tcW w:w="971"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367</w:t>
            </w:r>
          </w:p>
        </w:tc>
        <w:tc>
          <w:tcPr>
            <w:tcW w:w="971"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353</w:t>
            </w:r>
          </w:p>
        </w:tc>
        <w:tc>
          <w:tcPr>
            <w:tcW w:w="924"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345</w:t>
            </w:r>
          </w:p>
        </w:tc>
        <w:tc>
          <w:tcPr>
            <w:tcW w:w="924" w:type="dxa"/>
            <w:shd w:val="clear" w:color="auto" w:fill="EAF1DD"/>
          </w:tcPr>
          <w:p w:rsidR="00D4086A" w:rsidRPr="001739E9" w:rsidRDefault="00D4086A" w:rsidP="0033527B">
            <w:pPr>
              <w:spacing w:after="0" w:line="240" w:lineRule="auto"/>
              <w:jc w:val="both"/>
              <w:rPr>
                <w:rFonts w:ascii="Arial" w:hAnsi="Arial" w:cs="Arial"/>
                <w:sz w:val="24"/>
                <w:szCs w:val="24"/>
                <w:lang w:val="en-US"/>
              </w:rPr>
            </w:pPr>
            <w:r w:rsidRPr="001739E9">
              <w:rPr>
                <w:rFonts w:ascii="Arial" w:hAnsi="Arial" w:cs="Arial"/>
                <w:sz w:val="24"/>
                <w:szCs w:val="24"/>
                <w:lang w:val="en-US"/>
              </w:rPr>
              <w:t>594</w:t>
            </w:r>
          </w:p>
        </w:tc>
      </w:tr>
      <w:tr w:rsidR="00D4086A" w:rsidRPr="0090130C" w:rsidTr="0033527B">
        <w:trPr>
          <w:jc w:val="center"/>
        </w:trPr>
        <w:tc>
          <w:tcPr>
            <w:tcW w:w="4786"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Boli respiratorii (număr cazuri)</w:t>
            </w:r>
          </w:p>
        </w:tc>
        <w:tc>
          <w:tcPr>
            <w:tcW w:w="842"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256</w:t>
            </w:r>
          </w:p>
        </w:tc>
        <w:tc>
          <w:tcPr>
            <w:tcW w:w="971"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237</w:t>
            </w:r>
          </w:p>
        </w:tc>
        <w:tc>
          <w:tcPr>
            <w:tcW w:w="971"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260</w:t>
            </w:r>
          </w:p>
        </w:tc>
        <w:tc>
          <w:tcPr>
            <w:tcW w:w="924" w:type="dxa"/>
            <w:shd w:val="clear" w:color="auto" w:fill="EAF1DD"/>
          </w:tcPr>
          <w:p w:rsidR="00D4086A" w:rsidRPr="0090130C" w:rsidRDefault="00D4086A" w:rsidP="0033527B">
            <w:pPr>
              <w:spacing w:after="0" w:line="240" w:lineRule="auto"/>
              <w:jc w:val="both"/>
              <w:rPr>
                <w:rFonts w:ascii="Arial" w:hAnsi="Arial" w:cs="Arial"/>
                <w:sz w:val="24"/>
                <w:szCs w:val="24"/>
                <w:lang w:val="en-US"/>
              </w:rPr>
            </w:pPr>
            <w:r w:rsidRPr="0090130C">
              <w:rPr>
                <w:rFonts w:ascii="Arial" w:hAnsi="Arial" w:cs="Arial"/>
                <w:sz w:val="24"/>
                <w:szCs w:val="24"/>
                <w:lang w:val="en-US"/>
              </w:rPr>
              <w:t>261</w:t>
            </w:r>
          </w:p>
        </w:tc>
        <w:tc>
          <w:tcPr>
            <w:tcW w:w="924" w:type="dxa"/>
            <w:shd w:val="clear" w:color="auto" w:fill="EAF1DD"/>
          </w:tcPr>
          <w:p w:rsidR="00D4086A" w:rsidRPr="001739E9" w:rsidRDefault="00D4086A" w:rsidP="0033527B">
            <w:pPr>
              <w:spacing w:after="0" w:line="240" w:lineRule="auto"/>
              <w:jc w:val="both"/>
              <w:rPr>
                <w:rFonts w:ascii="Arial" w:hAnsi="Arial" w:cs="Arial"/>
                <w:sz w:val="24"/>
                <w:szCs w:val="24"/>
                <w:lang w:val="en-US"/>
              </w:rPr>
            </w:pPr>
            <w:r w:rsidRPr="001739E9">
              <w:rPr>
                <w:rFonts w:ascii="Arial" w:hAnsi="Arial" w:cs="Arial"/>
                <w:sz w:val="24"/>
                <w:szCs w:val="24"/>
                <w:lang w:val="en-US"/>
              </w:rPr>
              <w:t>222</w:t>
            </w:r>
          </w:p>
        </w:tc>
      </w:tr>
    </w:tbl>
    <w:p w:rsidR="00D4086A" w:rsidRPr="001739E9" w:rsidRDefault="00D4086A" w:rsidP="00D4086A">
      <w:pPr>
        <w:jc w:val="both"/>
        <w:rPr>
          <w:rFonts w:ascii="Arial" w:hAnsi="Arial" w:cs="Arial"/>
          <w:i/>
          <w:sz w:val="20"/>
          <w:szCs w:val="20"/>
        </w:rPr>
      </w:pPr>
      <w:r w:rsidRPr="001739E9">
        <w:rPr>
          <w:rFonts w:ascii="Arial" w:hAnsi="Arial" w:cs="Arial"/>
          <w:i/>
          <w:sz w:val="20"/>
          <w:szCs w:val="20"/>
          <w:lang w:val="en-US"/>
        </w:rPr>
        <w:t>Not</w:t>
      </w:r>
      <w:r w:rsidRPr="001739E9">
        <w:rPr>
          <w:rFonts w:ascii="Arial" w:hAnsi="Arial" w:cs="Arial"/>
          <w:i/>
          <w:sz w:val="20"/>
          <w:szCs w:val="20"/>
        </w:rPr>
        <w:t xml:space="preserve">ă: Informații furnizate de către Direcția de Sănătate Publică a județului </w:t>
      </w:r>
      <w:r w:rsidR="00217620">
        <w:rPr>
          <w:rFonts w:ascii="Arial" w:hAnsi="Arial" w:cs="Arial"/>
          <w:i/>
          <w:sz w:val="20"/>
          <w:szCs w:val="20"/>
        </w:rPr>
        <w:t>Brăila</w:t>
      </w:r>
    </w:p>
    <w:p w:rsidR="00D4086A" w:rsidRDefault="00D4086A" w:rsidP="00D4086A">
      <w:pPr>
        <w:jc w:val="center"/>
        <w:rPr>
          <w:rFonts w:ascii="Arial" w:hAnsi="Arial" w:cs="Arial"/>
          <w:sz w:val="24"/>
          <w:szCs w:val="24"/>
          <w:lang w:val="en-US"/>
        </w:rPr>
      </w:pPr>
      <w:r>
        <w:rPr>
          <w:rFonts w:ascii="Arial" w:hAnsi="Arial" w:cs="Arial"/>
          <w:noProof/>
          <w:sz w:val="24"/>
          <w:szCs w:val="24"/>
          <w:shd w:val="clear" w:color="auto" w:fill="F2DBDB"/>
          <w:lang w:eastAsia="ro-RO"/>
        </w:rPr>
        <w:drawing>
          <wp:inline distT="0" distB="0" distL="0" distR="0">
            <wp:extent cx="4733925" cy="2762250"/>
            <wp:effectExtent l="19050" t="0" r="9525" b="0"/>
            <wp:docPr id="224" name="Chart 2" descr="Title: m"/>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D4086A" w:rsidRPr="00844F99" w:rsidRDefault="00D4086A" w:rsidP="00D4086A">
      <w:pPr>
        <w:jc w:val="both"/>
        <w:rPr>
          <w:rFonts w:ascii="Arial" w:hAnsi="Arial" w:cs="Arial"/>
          <w:sz w:val="24"/>
          <w:szCs w:val="24"/>
          <w:lang w:val="en-US"/>
        </w:rPr>
      </w:pPr>
      <w:r w:rsidRPr="00BB71FF">
        <w:rPr>
          <w:rFonts w:ascii="Arial" w:hAnsi="Arial" w:cs="Arial"/>
          <w:sz w:val="24"/>
          <w:szCs w:val="24"/>
        </w:rPr>
        <w:lastRenderedPageBreak/>
        <w:t>Tabel nr. VIII.1.1.1. – 3</w:t>
      </w:r>
      <w:r w:rsidRPr="00594535">
        <w:rPr>
          <w:rFonts w:ascii="Arial" w:hAnsi="Arial" w:cs="Arial"/>
          <w:b/>
          <w:sz w:val="24"/>
          <w:szCs w:val="24"/>
        </w:rPr>
        <w:t xml:space="preserve"> -</w:t>
      </w:r>
      <w:r w:rsidRPr="00594535">
        <w:rPr>
          <w:rFonts w:ascii="Arial" w:hAnsi="Arial" w:cs="Arial"/>
          <w:sz w:val="24"/>
          <w:szCs w:val="24"/>
          <w:lang w:val="en-US"/>
        </w:rPr>
        <w:t xml:space="preserve"> </w:t>
      </w:r>
      <w:r w:rsidRPr="00844F99">
        <w:rPr>
          <w:rFonts w:ascii="Arial" w:hAnsi="Arial" w:cs="Arial"/>
          <w:sz w:val="24"/>
          <w:szCs w:val="24"/>
          <w:lang w:val="en-US"/>
        </w:rPr>
        <w:t>Mortalitate infantilă şi prin afecţiuni respiratorii în mediul Urban în perioada 2012 – 2016</w:t>
      </w:r>
    </w:p>
    <w:tbl>
      <w:tblPr>
        <w:tblW w:w="9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6"/>
        <w:gridCol w:w="884"/>
        <w:gridCol w:w="1017"/>
        <w:gridCol w:w="979"/>
        <w:gridCol w:w="950"/>
        <w:gridCol w:w="956"/>
      </w:tblGrid>
      <w:tr w:rsidR="00D4086A" w:rsidRPr="0090130C" w:rsidTr="0033527B">
        <w:trPr>
          <w:trHeight w:val="392"/>
          <w:jc w:val="center"/>
        </w:trPr>
        <w:tc>
          <w:tcPr>
            <w:tcW w:w="4486" w:type="dxa"/>
            <w:shd w:val="clear" w:color="auto" w:fill="FABF8F"/>
          </w:tcPr>
          <w:p w:rsidR="00D4086A" w:rsidRPr="0090130C" w:rsidRDefault="00D4086A" w:rsidP="0033527B">
            <w:pPr>
              <w:spacing w:after="0" w:line="240" w:lineRule="auto"/>
              <w:rPr>
                <w:rFonts w:ascii="Arial" w:hAnsi="Arial" w:cs="Arial"/>
                <w:b/>
                <w:sz w:val="24"/>
                <w:szCs w:val="24"/>
                <w:lang w:val="en-US"/>
              </w:rPr>
            </w:pPr>
            <w:r w:rsidRPr="0090130C">
              <w:rPr>
                <w:rFonts w:ascii="Arial" w:hAnsi="Arial" w:cs="Arial"/>
                <w:b/>
                <w:sz w:val="24"/>
                <w:szCs w:val="24"/>
                <w:lang w:val="en-US"/>
              </w:rPr>
              <w:t xml:space="preserve">Judeţul </w:t>
            </w:r>
            <w:r w:rsidR="00217620">
              <w:rPr>
                <w:rFonts w:ascii="Arial" w:hAnsi="Arial" w:cs="Arial"/>
                <w:b/>
                <w:sz w:val="24"/>
                <w:szCs w:val="24"/>
                <w:lang w:val="en-US"/>
              </w:rPr>
              <w:t>Brăila</w:t>
            </w:r>
          </w:p>
        </w:tc>
        <w:tc>
          <w:tcPr>
            <w:tcW w:w="884" w:type="dxa"/>
            <w:shd w:val="clear" w:color="auto" w:fill="FABF8F"/>
          </w:tcPr>
          <w:p w:rsidR="00D4086A" w:rsidRPr="0090130C" w:rsidRDefault="00D4086A" w:rsidP="0033527B">
            <w:pPr>
              <w:spacing w:after="0" w:line="240" w:lineRule="auto"/>
              <w:rPr>
                <w:rFonts w:ascii="Arial" w:hAnsi="Arial" w:cs="Arial"/>
                <w:b/>
                <w:sz w:val="24"/>
                <w:szCs w:val="24"/>
                <w:lang w:val="en-US"/>
              </w:rPr>
            </w:pPr>
            <w:r w:rsidRPr="0090130C">
              <w:rPr>
                <w:rFonts w:ascii="Arial" w:hAnsi="Arial" w:cs="Arial"/>
                <w:b/>
                <w:sz w:val="24"/>
                <w:szCs w:val="24"/>
                <w:lang w:val="en-US"/>
              </w:rPr>
              <w:t>2012</w:t>
            </w:r>
          </w:p>
        </w:tc>
        <w:tc>
          <w:tcPr>
            <w:tcW w:w="1017" w:type="dxa"/>
            <w:shd w:val="clear" w:color="auto" w:fill="FABF8F"/>
          </w:tcPr>
          <w:p w:rsidR="00D4086A" w:rsidRPr="0090130C" w:rsidRDefault="00D4086A" w:rsidP="0033527B">
            <w:pPr>
              <w:spacing w:after="0" w:line="240" w:lineRule="auto"/>
              <w:rPr>
                <w:rFonts w:ascii="Arial" w:hAnsi="Arial" w:cs="Arial"/>
                <w:b/>
                <w:sz w:val="24"/>
                <w:szCs w:val="24"/>
                <w:lang w:val="en-US"/>
              </w:rPr>
            </w:pPr>
            <w:r w:rsidRPr="0090130C">
              <w:rPr>
                <w:rFonts w:ascii="Arial" w:hAnsi="Arial" w:cs="Arial"/>
                <w:b/>
                <w:sz w:val="24"/>
                <w:szCs w:val="24"/>
                <w:lang w:val="en-US"/>
              </w:rPr>
              <w:t>2013</w:t>
            </w:r>
          </w:p>
        </w:tc>
        <w:tc>
          <w:tcPr>
            <w:tcW w:w="979" w:type="dxa"/>
            <w:shd w:val="clear" w:color="auto" w:fill="FABF8F"/>
          </w:tcPr>
          <w:p w:rsidR="00D4086A" w:rsidRPr="0090130C" w:rsidRDefault="00D4086A" w:rsidP="0033527B">
            <w:pPr>
              <w:spacing w:after="0" w:line="240" w:lineRule="auto"/>
              <w:rPr>
                <w:rFonts w:ascii="Arial" w:hAnsi="Arial" w:cs="Arial"/>
                <w:b/>
                <w:sz w:val="24"/>
                <w:szCs w:val="24"/>
                <w:lang w:val="en-US"/>
              </w:rPr>
            </w:pPr>
            <w:r w:rsidRPr="0090130C">
              <w:rPr>
                <w:rFonts w:ascii="Arial" w:hAnsi="Arial" w:cs="Arial"/>
                <w:b/>
                <w:sz w:val="24"/>
                <w:szCs w:val="24"/>
                <w:lang w:val="en-US"/>
              </w:rPr>
              <w:t>2014</w:t>
            </w:r>
          </w:p>
        </w:tc>
        <w:tc>
          <w:tcPr>
            <w:tcW w:w="950" w:type="dxa"/>
            <w:shd w:val="clear" w:color="auto" w:fill="FABF8F"/>
          </w:tcPr>
          <w:p w:rsidR="00D4086A" w:rsidRPr="0090130C" w:rsidRDefault="00D4086A" w:rsidP="0033527B">
            <w:pPr>
              <w:spacing w:after="0" w:line="240" w:lineRule="auto"/>
              <w:rPr>
                <w:rFonts w:ascii="Arial" w:hAnsi="Arial" w:cs="Arial"/>
                <w:b/>
                <w:sz w:val="24"/>
                <w:szCs w:val="24"/>
                <w:lang w:val="en-US"/>
              </w:rPr>
            </w:pPr>
            <w:r w:rsidRPr="0090130C">
              <w:rPr>
                <w:rFonts w:ascii="Arial" w:hAnsi="Arial" w:cs="Arial"/>
                <w:b/>
                <w:sz w:val="24"/>
                <w:szCs w:val="24"/>
                <w:lang w:val="en-US"/>
              </w:rPr>
              <w:t>2015</w:t>
            </w:r>
          </w:p>
        </w:tc>
        <w:tc>
          <w:tcPr>
            <w:tcW w:w="956" w:type="dxa"/>
            <w:shd w:val="clear" w:color="auto" w:fill="FABF8F"/>
          </w:tcPr>
          <w:p w:rsidR="00D4086A" w:rsidRPr="007C55B4" w:rsidRDefault="00D4086A" w:rsidP="0033527B">
            <w:pPr>
              <w:spacing w:after="0" w:line="240" w:lineRule="auto"/>
              <w:rPr>
                <w:rFonts w:ascii="Arial" w:hAnsi="Arial" w:cs="Arial"/>
                <w:b/>
                <w:sz w:val="24"/>
                <w:szCs w:val="24"/>
                <w:lang w:val="en-US"/>
              </w:rPr>
            </w:pPr>
            <w:r w:rsidRPr="007C55B4">
              <w:rPr>
                <w:rFonts w:ascii="Arial" w:hAnsi="Arial" w:cs="Arial"/>
                <w:b/>
                <w:sz w:val="24"/>
                <w:szCs w:val="24"/>
                <w:lang w:val="en-US"/>
              </w:rPr>
              <w:t>2016</w:t>
            </w:r>
          </w:p>
        </w:tc>
      </w:tr>
      <w:tr w:rsidR="00D4086A" w:rsidRPr="0090130C" w:rsidTr="0033527B">
        <w:trPr>
          <w:jc w:val="center"/>
        </w:trPr>
        <w:tc>
          <w:tcPr>
            <w:tcW w:w="4486" w:type="dxa"/>
            <w:shd w:val="clear" w:color="auto" w:fill="DAEEF3"/>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Mortalitate infantilă în mediul Urban (decedaţi sub 1 an la 1000 născuţi vii)</w:t>
            </w:r>
          </w:p>
        </w:tc>
        <w:tc>
          <w:tcPr>
            <w:tcW w:w="884" w:type="dxa"/>
            <w:shd w:val="clear" w:color="auto" w:fill="DAEEF3"/>
            <w:vAlign w:val="center"/>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13/9,5</w:t>
            </w:r>
          </w:p>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1017" w:type="dxa"/>
            <w:shd w:val="clear" w:color="auto" w:fill="DAEEF3"/>
            <w:vAlign w:val="center"/>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16/12,1</w:t>
            </w:r>
          </w:p>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979" w:type="dxa"/>
            <w:shd w:val="clear" w:color="auto" w:fill="DAEEF3"/>
            <w:vAlign w:val="center"/>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8/6,03</w:t>
            </w:r>
          </w:p>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950" w:type="dxa"/>
            <w:shd w:val="clear" w:color="auto" w:fill="DAEEF3"/>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5/3,69</w:t>
            </w:r>
          </w:p>
          <w:p w:rsidR="00D4086A" w:rsidRPr="0090130C" w:rsidRDefault="00D4086A" w:rsidP="0033527B">
            <w:pPr>
              <w:spacing w:after="0" w:line="240" w:lineRule="auto"/>
              <w:rPr>
                <w:rFonts w:ascii="Arial" w:hAnsi="Arial" w:cs="Arial"/>
                <w:sz w:val="24"/>
                <w:szCs w:val="24"/>
                <w:vertAlign w:val="subscript"/>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956" w:type="dxa"/>
            <w:shd w:val="clear" w:color="auto" w:fill="DAEEF3"/>
          </w:tcPr>
          <w:p w:rsidR="00D4086A" w:rsidRDefault="00D4086A" w:rsidP="0033527B">
            <w:pPr>
              <w:spacing w:after="0" w:line="240" w:lineRule="auto"/>
              <w:rPr>
                <w:rFonts w:ascii="Times New Roman" w:hAnsi="Times New Roman"/>
                <w:sz w:val="24"/>
                <w:szCs w:val="24"/>
              </w:rPr>
            </w:pPr>
            <w:r w:rsidRPr="00844F99">
              <w:rPr>
                <w:rFonts w:ascii="Times New Roman" w:hAnsi="Times New Roman"/>
                <w:sz w:val="24"/>
                <w:szCs w:val="24"/>
              </w:rPr>
              <w:t>9/7</w:t>
            </w:r>
            <w:r>
              <w:rPr>
                <w:rFonts w:ascii="Times New Roman" w:hAnsi="Times New Roman"/>
                <w:sz w:val="24"/>
                <w:szCs w:val="24"/>
              </w:rPr>
              <w:t>,</w:t>
            </w:r>
            <w:r w:rsidRPr="00844F99">
              <w:rPr>
                <w:rFonts w:ascii="Times New Roman" w:hAnsi="Times New Roman"/>
                <w:sz w:val="24"/>
                <w:szCs w:val="24"/>
              </w:rPr>
              <w:t>29</w:t>
            </w:r>
          </w:p>
          <w:p w:rsidR="00D4086A" w:rsidRPr="00844F99" w:rsidRDefault="00D4086A" w:rsidP="0033527B">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r>
      <w:tr w:rsidR="00D4086A" w:rsidRPr="0090130C" w:rsidTr="0033527B">
        <w:trPr>
          <w:jc w:val="center"/>
        </w:trPr>
        <w:tc>
          <w:tcPr>
            <w:tcW w:w="4486" w:type="dxa"/>
            <w:shd w:val="clear" w:color="auto" w:fill="DAEEF3"/>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Mortalitate infantilă prin afecţiuni respiratorii în mediul Urban (decedaţi sub 1 an la 1000 născuţi vii)</w:t>
            </w:r>
          </w:p>
        </w:tc>
        <w:tc>
          <w:tcPr>
            <w:tcW w:w="884" w:type="dxa"/>
            <w:shd w:val="clear" w:color="auto" w:fill="DAEEF3"/>
            <w:vAlign w:val="center"/>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0/0</w:t>
            </w:r>
          </w:p>
        </w:tc>
        <w:tc>
          <w:tcPr>
            <w:tcW w:w="1017" w:type="dxa"/>
            <w:shd w:val="clear" w:color="auto" w:fill="DAEEF3"/>
            <w:vAlign w:val="center"/>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3/2,27</w:t>
            </w:r>
          </w:p>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979" w:type="dxa"/>
            <w:shd w:val="clear" w:color="auto" w:fill="DAEEF3"/>
            <w:vAlign w:val="center"/>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0/0</w:t>
            </w:r>
          </w:p>
        </w:tc>
        <w:tc>
          <w:tcPr>
            <w:tcW w:w="950" w:type="dxa"/>
            <w:shd w:val="clear" w:color="auto" w:fill="DAEEF3"/>
          </w:tcPr>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lang w:val="en-US"/>
              </w:rPr>
              <w:t>1/0,73</w:t>
            </w:r>
          </w:p>
          <w:p w:rsidR="00D4086A" w:rsidRPr="0090130C" w:rsidRDefault="00D4086A" w:rsidP="0033527B">
            <w:pPr>
              <w:spacing w:after="0" w:line="240" w:lineRule="auto"/>
              <w:rPr>
                <w:rFonts w:ascii="Arial" w:hAnsi="Arial" w:cs="Arial"/>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c>
          <w:tcPr>
            <w:tcW w:w="956" w:type="dxa"/>
            <w:shd w:val="clear" w:color="auto" w:fill="DAEEF3"/>
          </w:tcPr>
          <w:p w:rsidR="00D4086A" w:rsidRPr="007C55B4" w:rsidRDefault="00D4086A" w:rsidP="0033527B">
            <w:pPr>
              <w:spacing w:after="0" w:line="240" w:lineRule="auto"/>
              <w:rPr>
                <w:rFonts w:ascii="Times New Roman" w:hAnsi="Times New Roman"/>
                <w:sz w:val="24"/>
                <w:szCs w:val="24"/>
              </w:rPr>
            </w:pPr>
            <w:r w:rsidRPr="007C55B4">
              <w:rPr>
                <w:rFonts w:ascii="Times New Roman" w:hAnsi="Times New Roman"/>
                <w:sz w:val="24"/>
                <w:szCs w:val="24"/>
              </w:rPr>
              <w:t>2/1</w:t>
            </w:r>
            <w:r>
              <w:rPr>
                <w:rFonts w:ascii="Times New Roman" w:hAnsi="Times New Roman"/>
                <w:sz w:val="24"/>
                <w:szCs w:val="24"/>
              </w:rPr>
              <w:t>,</w:t>
            </w:r>
            <w:r w:rsidRPr="007C55B4">
              <w:rPr>
                <w:rFonts w:ascii="Times New Roman" w:hAnsi="Times New Roman"/>
                <w:sz w:val="24"/>
                <w:szCs w:val="24"/>
              </w:rPr>
              <w:t>46</w:t>
            </w:r>
          </w:p>
          <w:p w:rsidR="00D4086A" w:rsidRPr="0090130C" w:rsidRDefault="00D4086A" w:rsidP="0033527B">
            <w:pPr>
              <w:spacing w:after="0" w:line="240" w:lineRule="auto"/>
              <w:rPr>
                <w:rFonts w:ascii="Arial" w:hAnsi="Arial" w:cs="Arial"/>
                <w:color w:val="FF0000"/>
                <w:sz w:val="24"/>
                <w:szCs w:val="24"/>
                <w:lang w:val="en-US"/>
              </w:rPr>
            </w:pPr>
            <w:r w:rsidRPr="0090130C">
              <w:rPr>
                <w:rFonts w:ascii="Arial" w:hAnsi="Arial" w:cs="Arial"/>
                <w:sz w:val="24"/>
                <w:szCs w:val="24"/>
                <w:vertAlign w:val="superscript"/>
                <w:lang w:val="en-US"/>
              </w:rPr>
              <w:t>0</w:t>
            </w:r>
            <w:r w:rsidRPr="0090130C">
              <w:rPr>
                <w:rFonts w:ascii="Arial" w:hAnsi="Arial" w:cs="Arial"/>
                <w:sz w:val="24"/>
                <w:szCs w:val="24"/>
                <w:lang w:val="en-US"/>
              </w:rPr>
              <w:t>/</w:t>
            </w:r>
            <w:r w:rsidRPr="0090130C">
              <w:rPr>
                <w:rFonts w:ascii="Arial" w:hAnsi="Arial" w:cs="Arial"/>
                <w:sz w:val="24"/>
                <w:szCs w:val="24"/>
                <w:vertAlign w:val="subscript"/>
                <w:lang w:val="en-US"/>
              </w:rPr>
              <w:t>00</w:t>
            </w:r>
          </w:p>
        </w:tc>
      </w:tr>
    </w:tbl>
    <w:p w:rsidR="00D4086A" w:rsidRPr="005D01FF" w:rsidRDefault="00D4086A" w:rsidP="00D4086A">
      <w:pPr>
        <w:jc w:val="both"/>
        <w:rPr>
          <w:rFonts w:ascii="Arial" w:hAnsi="Arial" w:cs="Arial"/>
          <w:i/>
          <w:sz w:val="20"/>
          <w:szCs w:val="20"/>
        </w:rPr>
      </w:pPr>
      <w:r w:rsidRPr="005D01FF">
        <w:rPr>
          <w:rFonts w:ascii="Arial" w:hAnsi="Arial" w:cs="Arial"/>
          <w:i/>
          <w:sz w:val="20"/>
          <w:szCs w:val="20"/>
          <w:lang w:val="en-US"/>
        </w:rPr>
        <w:t>Not</w:t>
      </w:r>
      <w:r w:rsidRPr="005D01FF">
        <w:rPr>
          <w:rFonts w:ascii="Arial" w:hAnsi="Arial" w:cs="Arial"/>
          <w:i/>
          <w:sz w:val="20"/>
          <w:szCs w:val="20"/>
        </w:rPr>
        <w:t xml:space="preserve">ă: Informații furnizate de către Direcția de Sănătate Publică a județului </w:t>
      </w:r>
      <w:r w:rsidR="00217620">
        <w:rPr>
          <w:rFonts w:ascii="Arial" w:hAnsi="Arial" w:cs="Arial"/>
          <w:i/>
          <w:sz w:val="20"/>
          <w:szCs w:val="20"/>
        </w:rPr>
        <w:t>Brăila</w:t>
      </w:r>
    </w:p>
    <w:p w:rsidR="00D4086A" w:rsidRPr="00594535" w:rsidRDefault="00D4086A" w:rsidP="00BB71FF">
      <w:pPr>
        <w:jc w:val="center"/>
        <w:rPr>
          <w:rFonts w:ascii="Arial" w:hAnsi="Arial" w:cs="Arial"/>
          <w:sz w:val="24"/>
          <w:szCs w:val="24"/>
        </w:rPr>
      </w:pPr>
      <w:r>
        <w:rPr>
          <w:rFonts w:ascii="Arial" w:hAnsi="Arial" w:cs="Arial"/>
          <w:noProof/>
          <w:sz w:val="24"/>
          <w:szCs w:val="24"/>
          <w:lang w:eastAsia="ro-RO"/>
        </w:rPr>
        <w:drawing>
          <wp:inline distT="0" distB="0" distL="0" distR="0">
            <wp:extent cx="4733925" cy="2381250"/>
            <wp:effectExtent l="19050" t="0" r="9525" b="0"/>
            <wp:docPr id="223"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D4086A" w:rsidRDefault="00D4086A" w:rsidP="00D4086A">
      <w:pPr>
        <w:tabs>
          <w:tab w:val="left" w:pos="1515"/>
        </w:tabs>
        <w:jc w:val="both"/>
        <w:rPr>
          <w:rFonts w:ascii="Arial" w:hAnsi="Arial" w:cs="Arial"/>
          <w:b/>
          <w:sz w:val="24"/>
          <w:szCs w:val="24"/>
        </w:rPr>
      </w:pPr>
    </w:p>
    <w:p w:rsidR="006157E7" w:rsidRDefault="006157E7" w:rsidP="00D4086A">
      <w:pPr>
        <w:tabs>
          <w:tab w:val="left" w:pos="1515"/>
        </w:tabs>
        <w:jc w:val="both"/>
        <w:rPr>
          <w:rFonts w:ascii="Arial" w:hAnsi="Arial" w:cs="Arial"/>
          <w:b/>
          <w:sz w:val="24"/>
          <w:szCs w:val="24"/>
        </w:rPr>
      </w:pPr>
    </w:p>
    <w:p w:rsidR="00D4086A" w:rsidRPr="00D02803" w:rsidRDefault="00D4086A" w:rsidP="00BB71FF">
      <w:pPr>
        <w:tabs>
          <w:tab w:val="left" w:pos="1515"/>
        </w:tabs>
        <w:spacing w:after="0" w:line="240" w:lineRule="auto"/>
        <w:jc w:val="both"/>
        <w:rPr>
          <w:rFonts w:ascii="Arial" w:hAnsi="Arial" w:cs="Arial"/>
          <w:sz w:val="24"/>
          <w:szCs w:val="24"/>
        </w:rPr>
      </w:pPr>
      <w:r w:rsidRPr="00BB71FF">
        <w:rPr>
          <w:rFonts w:ascii="Arial" w:hAnsi="Arial" w:cs="Arial"/>
          <w:sz w:val="24"/>
          <w:szCs w:val="24"/>
        </w:rPr>
        <w:t>Tabel nr. VIII.1.1.1. – 4</w:t>
      </w:r>
      <w:r w:rsidRPr="00594535">
        <w:rPr>
          <w:rFonts w:ascii="Arial" w:hAnsi="Arial" w:cs="Arial"/>
          <w:b/>
          <w:sz w:val="24"/>
          <w:szCs w:val="24"/>
        </w:rPr>
        <w:t xml:space="preserve"> </w:t>
      </w:r>
      <w:r w:rsidRPr="00E32EE1">
        <w:rPr>
          <w:rFonts w:ascii="Arial" w:hAnsi="Arial" w:cs="Arial"/>
          <w:b/>
          <w:sz w:val="24"/>
          <w:szCs w:val="24"/>
        </w:rPr>
        <w:t>-</w:t>
      </w:r>
      <w:r w:rsidRPr="00E32EE1">
        <w:rPr>
          <w:rFonts w:ascii="Arial" w:hAnsi="Arial" w:cs="Arial"/>
          <w:sz w:val="24"/>
          <w:szCs w:val="24"/>
          <w:lang w:val="en-US"/>
        </w:rPr>
        <w:t xml:space="preserve"> </w:t>
      </w:r>
      <w:r w:rsidRPr="00D02803">
        <w:rPr>
          <w:rFonts w:ascii="Arial" w:hAnsi="Arial" w:cs="Arial"/>
          <w:sz w:val="24"/>
          <w:szCs w:val="24"/>
        </w:rPr>
        <w:t xml:space="preserve">Mortalitatea prin afecțiuni cardiovasculare pe orașele din județul </w:t>
      </w:r>
      <w:r w:rsidR="00217620">
        <w:rPr>
          <w:rFonts w:ascii="Arial" w:hAnsi="Arial" w:cs="Arial"/>
          <w:sz w:val="24"/>
          <w:szCs w:val="24"/>
        </w:rPr>
        <w:t>Brăila</w:t>
      </w:r>
      <w:r w:rsidRPr="00D02803">
        <w:rPr>
          <w:rFonts w:ascii="Arial" w:hAnsi="Arial" w:cs="Arial"/>
          <w:sz w:val="24"/>
          <w:szCs w:val="24"/>
        </w:rPr>
        <w:t xml:space="preserve"> (număr cazuri) în perioada 2012 – 2016</w:t>
      </w:r>
    </w:p>
    <w:tbl>
      <w:tblPr>
        <w:tblW w:w="0" w:type="auto"/>
        <w:jc w:val="center"/>
        <w:tblInd w:w="2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824"/>
        <w:gridCol w:w="930"/>
        <w:gridCol w:w="930"/>
        <w:gridCol w:w="930"/>
        <w:gridCol w:w="930"/>
      </w:tblGrid>
      <w:tr w:rsidR="00D4086A" w:rsidRPr="0090130C" w:rsidTr="0033527B">
        <w:trPr>
          <w:jc w:val="center"/>
        </w:trPr>
        <w:tc>
          <w:tcPr>
            <w:tcW w:w="2214" w:type="dxa"/>
            <w:shd w:val="clear" w:color="auto" w:fill="FABF8F"/>
          </w:tcPr>
          <w:p w:rsidR="00D4086A" w:rsidRPr="0090130C" w:rsidRDefault="00D4086A" w:rsidP="00BB71FF">
            <w:pPr>
              <w:tabs>
                <w:tab w:val="left" w:pos="1139"/>
              </w:tabs>
              <w:spacing w:after="0" w:line="240" w:lineRule="auto"/>
              <w:rPr>
                <w:rFonts w:ascii="Arial" w:hAnsi="Arial" w:cs="Arial"/>
                <w:b/>
                <w:sz w:val="24"/>
                <w:szCs w:val="24"/>
              </w:rPr>
            </w:pPr>
            <w:r w:rsidRPr="0090130C">
              <w:rPr>
                <w:rFonts w:ascii="Arial" w:hAnsi="Arial" w:cs="Arial"/>
                <w:b/>
                <w:sz w:val="24"/>
                <w:szCs w:val="24"/>
              </w:rPr>
              <w:t>Mortalitate prin afecțiuni cardiovasculare</w:t>
            </w:r>
          </w:p>
        </w:tc>
        <w:tc>
          <w:tcPr>
            <w:tcW w:w="824" w:type="dxa"/>
            <w:shd w:val="clear" w:color="auto" w:fill="FABF8F"/>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2012</w:t>
            </w:r>
          </w:p>
        </w:tc>
        <w:tc>
          <w:tcPr>
            <w:tcW w:w="930" w:type="dxa"/>
            <w:shd w:val="clear" w:color="auto" w:fill="FABF8F"/>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2013</w:t>
            </w:r>
          </w:p>
        </w:tc>
        <w:tc>
          <w:tcPr>
            <w:tcW w:w="930" w:type="dxa"/>
            <w:shd w:val="clear" w:color="auto" w:fill="FABF8F"/>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2014</w:t>
            </w:r>
          </w:p>
        </w:tc>
        <w:tc>
          <w:tcPr>
            <w:tcW w:w="930" w:type="dxa"/>
            <w:shd w:val="clear" w:color="auto" w:fill="FABF8F"/>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2015</w:t>
            </w:r>
          </w:p>
        </w:tc>
        <w:tc>
          <w:tcPr>
            <w:tcW w:w="930" w:type="dxa"/>
            <w:shd w:val="clear" w:color="auto" w:fill="FABF8F"/>
          </w:tcPr>
          <w:p w:rsidR="00D4086A" w:rsidRPr="00D02803" w:rsidRDefault="00D4086A" w:rsidP="0033527B">
            <w:pPr>
              <w:tabs>
                <w:tab w:val="left" w:pos="1139"/>
              </w:tabs>
              <w:spacing w:after="0" w:line="240" w:lineRule="auto"/>
              <w:jc w:val="both"/>
              <w:rPr>
                <w:rFonts w:ascii="Arial" w:hAnsi="Arial" w:cs="Arial"/>
                <w:b/>
                <w:sz w:val="24"/>
                <w:szCs w:val="24"/>
              </w:rPr>
            </w:pPr>
            <w:r w:rsidRPr="00D02803">
              <w:rPr>
                <w:rFonts w:ascii="Arial" w:hAnsi="Arial" w:cs="Arial"/>
                <w:b/>
                <w:sz w:val="24"/>
                <w:szCs w:val="24"/>
              </w:rPr>
              <w:t>2016</w:t>
            </w:r>
          </w:p>
        </w:tc>
      </w:tr>
      <w:tr w:rsidR="00D4086A" w:rsidRPr="0090130C" w:rsidTr="0033527B">
        <w:trPr>
          <w:jc w:val="center"/>
        </w:trPr>
        <w:tc>
          <w:tcPr>
            <w:tcW w:w="2214" w:type="dxa"/>
            <w:shd w:val="clear" w:color="auto" w:fill="E5DFEC"/>
          </w:tcPr>
          <w:p w:rsidR="00D4086A" w:rsidRPr="0090130C" w:rsidRDefault="00217620" w:rsidP="0033527B">
            <w:pPr>
              <w:tabs>
                <w:tab w:val="left" w:pos="1139"/>
              </w:tabs>
              <w:spacing w:after="0" w:line="240" w:lineRule="auto"/>
              <w:jc w:val="both"/>
              <w:rPr>
                <w:rFonts w:ascii="Arial" w:hAnsi="Arial" w:cs="Arial"/>
                <w:sz w:val="24"/>
                <w:szCs w:val="24"/>
              </w:rPr>
            </w:pPr>
            <w:r>
              <w:rPr>
                <w:rFonts w:ascii="Arial" w:hAnsi="Arial" w:cs="Arial"/>
                <w:sz w:val="24"/>
                <w:szCs w:val="24"/>
              </w:rPr>
              <w:t>Brăila</w:t>
            </w:r>
          </w:p>
        </w:tc>
        <w:tc>
          <w:tcPr>
            <w:tcW w:w="824"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1103</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1145</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1147</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1242</w:t>
            </w:r>
          </w:p>
        </w:tc>
        <w:tc>
          <w:tcPr>
            <w:tcW w:w="930" w:type="dxa"/>
            <w:shd w:val="clear" w:color="auto" w:fill="E5DFEC"/>
          </w:tcPr>
          <w:p w:rsidR="00D4086A" w:rsidRPr="00D02803" w:rsidRDefault="00D4086A" w:rsidP="0033527B">
            <w:pPr>
              <w:tabs>
                <w:tab w:val="left" w:pos="1139"/>
              </w:tabs>
              <w:spacing w:after="0" w:line="240" w:lineRule="auto"/>
              <w:jc w:val="center"/>
              <w:rPr>
                <w:rFonts w:ascii="Times New Roman" w:hAnsi="Times New Roman"/>
                <w:sz w:val="24"/>
                <w:szCs w:val="24"/>
              </w:rPr>
            </w:pPr>
            <w:r w:rsidRPr="00D02803">
              <w:rPr>
                <w:rFonts w:ascii="Times New Roman" w:hAnsi="Times New Roman"/>
                <w:sz w:val="24"/>
                <w:szCs w:val="24"/>
              </w:rPr>
              <w:t>1178</w:t>
            </w:r>
          </w:p>
        </w:tc>
      </w:tr>
      <w:tr w:rsidR="00D4086A" w:rsidRPr="0090130C" w:rsidTr="0033527B">
        <w:trPr>
          <w:jc w:val="center"/>
        </w:trPr>
        <w:tc>
          <w:tcPr>
            <w:tcW w:w="2214"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Ianca</w:t>
            </w:r>
          </w:p>
        </w:tc>
        <w:tc>
          <w:tcPr>
            <w:tcW w:w="824"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78</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86</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71</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71</w:t>
            </w:r>
          </w:p>
        </w:tc>
        <w:tc>
          <w:tcPr>
            <w:tcW w:w="930" w:type="dxa"/>
            <w:shd w:val="clear" w:color="auto" w:fill="E5DFEC"/>
          </w:tcPr>
          <w:p w:rsidR="00D4086A" w:rsidRPr="00D02803" w:rsidRDefault="00D4086A" w:rsidP="0033527B">
            <w:pPr>
              <w:tabs>
                <w:tab w:val="left" w:pos="1139"/>
              </w:tabs>
              <w:spacing w:after="0" w:line="240" w:lineRule="auto"/>
              <w:jc w:val="center"/>
              <w:rPr>
                <w:rFonts w:ascii="Times New Roman" w:hAnsi="Times New Roman"/>
                <w:sz w:val="24"/>
                <w:szCs w:val="24"/>
              </w:rPr>
            </w:pPr>
            <w:r w:rsidRPr="00D02803">
              <w:rPr>
                <w:rFonts w:ascii="Times New Roman" w:hAnsi="Times New Roman"/>
                <w:sz w:val="24"/>
                <w:szCs w:val="24"/>
              </w:rPr>
              <w:t>90</w:t>
            </w:r>
          </w:p>
        </w:tc>
      </w:tr>
      <w:tr w:rsidR="00D4086A" w:rsidRPr="0090130C" w:rsidTr="0033527B">
        <w:trPr>
          <w:jc w:val="center"/>
        </w:trPr>
        <w:tc>
          <w:tcPr>
            <w:tcW w:w="2214"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Făurei</w:t>
            </w:r>
          </w:p>
        </w:tc>
        <w:tc>
          <w:tcPr>
            <w:tcW w:w="824"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34</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23</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23</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33</w:t>
            </w:r>
          </w:p>
        </w:tc>
        <w:tc>
          <w:tcPr>
            <w:tcW w:w="930" w:type="dxa"/>
            <w:shd w:val="clear" w:color="auto" w:fill="E5DFEC"/>
          </w:tcPr>
          <w:p w:rsidR="00D4086A" w:rsidRPr="00D02803" w:rsidRDefault="00D4086A" w:rsidP="0033527B">
            <w:pPr>
              <w:tabs>
                <w:tab w:val="left" w:pos="1139"/>
              </w:tabs>
              <w:spacing w:after="0" w:line="240" w:lineRule="auto"/>
              <w:jc w:val="center"/>
              <w:rPr>
                <w:rFonts w:ascii="Times New Roman" w:hAnsi="Times New Roman"/>
                <w:sz w:val="24"/>
                <w:szCs w:val="24"/>
              </w:rPr>
            </w:pPr>
            <w:r w:rsidRPr="00D02803">
              <w:rPr>
                <w:rFonts w:ascii="Times New Roman" w:hAnsi="Times New Roman"/>
                <w:sz w:val="24"/>
                <w:szCs w:val="24"/>
              </w:rPr>
              <w:t>31</w:t>
            </w:r>
          </w:p>
        </w:tc>
      </w:tr>
      <w:tr w:rsidR="00D4086A" w:rsidRPr="0090130C" w:rsidTr="0033527B">
        <w:trPr>
          <w:jc w:val="center"/>
        </w:trPr>
        <w:tc>
          <w:tcPr>
            <w:tcW w:w="2214"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Însurăței</w:t>
            </w:r>
          </w:p>
        </w:tc>
        <w:tc>
          <w:tcPr>
            <w:tcW w:w="824"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61</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55</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54</w:t>
            </w:r>
          </w:p>
        </w:tc>
        <w:tc>
          <w:tcPr>
            <w:tcW w:w="930" w:type="dxa"/>
            <w:shd w:val="clear" w:color="auto" w:fill="E5DFEC"/>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51</w:t>
            </w:r>
          </w:p>
        </w:tc>
        <w:tc>
          <w:tcPr>
            <w:tcW w:w="930" w:type="dxa"/>
            <w:shd w:val="clear" w:color="auto" w:fill="E5DFEC"/>
          </w:tcPr>
          <w:p w:rsidR="00D4086A" w:rsidRPr="00D02803" w:rsidRDefault="00D4086A" w:rsidP="0033527B">
            <w:pPr>
              <w:tabs>
                <w:tab w:val="left" w:pos="1139"/>
              </w:tabs>
              <w:spacing w:after="0" w:line="240" w:lineRule="auto"/>
              <w:jc w:val="center"/>
              <w:rPr>
                <w:rFonts w:ascii="Times New Roman" w:hAnsi="Times New Roman"/>
                <w:sz w:val="24"/>
                <w:szCs w:val="24"/>
              </w:rPr>
            </w:pPr>
            <w:r w:rsidRPr="00D02803">
              <w:rPr>
                <w:rFonts w:ascii="Times New Roman" w:hAnsi="Times New Roman"/>
                <w:sz w:val="24"/>
                <w:szCs w:val="24"/>
              </w:rPr>
              <w:t>59</w:t>
            </w:r>
          </w:p>
        </w:tc>
      </w:tr>
    </w:tbl>
    <w:p w:rsidR="00D4086A" w:rsidRPr="00D02803" w:rsidRDefault="00D4086A" w:rsidP="00D4086A">
      <w:pPr>
        <w:jc w:val="both"/>
        <w:rPr>
          <w:rFonts w:ascii="Arial" w:hAnsi="Arial" w:cs="Arial"/>
          <w:i/>
          <w:sz w:val="20"/>
          <w:szCs w:val="20"/>
        </w:rPr>
      </w:pPr>
      <w:r>
        <w:rPr>
          <w:rFonts w:ascii="Arial" w:hAnsi="Arial" w:cs="Arial"/>
          <w:i/>
          <w:color w:val="FF0000"/>
          <w:sz w:val="20"/>
          <w:szCs w:val="20"/>
          <w:lang w:val="en-US"/>
        </w:rPr>
        <w:t xml:space="preserve">                    </w:t>
      </w:r>
      <w:r w:rsidRPr="00D02803">
        <w:rPr>
          <w:rFonts w:ascii="Arial" w:hAnsi="Arial" w:cs="Arial"/>
          <w:i/>
          <w:sz w:val="20"/>
          <w:szCs w:val="20"/>
          <w:lang w:val="en-US"/>
        </w:rPr>
        <w:t>Not</w:t>
      </w:r>
      <w:r w:rsidRPr="00D02803">
        <w:rPr>
          <w:rFonts w:ascii="Arial" w:hAnsi="Arial" w:cs="Arial"/>
          <w:i/>
          <w:sz w:val="20"/>
          <w:szCs w:val="20"/>
        </w:rPr>
        <w:t xml:space="preserve">ă: Informații furnizate de către Direcția de Sănătate Publică a județului </w:t>
      </w:r>
      <w:r w:rsidR="00217620">
        <w:rPr>
          <w:rFonts w:ascii="Arial" w:hAnsi="Arial" w:cs="Arial"/>
          <w:i/>
          <w:sz w:val="20"/>
          <w:szCs w:val="20"/>
        </w:rPr>
        <w:t>Brăila</w:t>
      </w:r>
    </w:p>
    <w:p w:rsidR="00D4086A" w:rsidRPr="00594535" w:rsidRDefault="00D4086A" w:rsidP="00D4086A">
      <w:pPr>
        <w:tabs>
          <w:tab w:val="left" w:pos="1139"/>
        </w:tabs>
        <w:jc w:val="center"/>
        <w:rPr>
          <w:rFonts w:ascii="Arial" w:hAnsi="Arial" w:cs="Arial"/>
          <w:b/>
          <w:sz w:val="24"/>
          <w:szCs w:val="24"/>
        </w:rPr>
      </w:pPr>
      <w:r>
        <w:rPr>
          <w:rFonts w:ascii="Arial" w:hAnsi="Arial" w:cs="Arial"/>
          <w:b/>
          <w:noProof/>
          <w:sz w:val="24"/>
          <w:szCs w:val="24"/>
          <w:lang w:eastAsia="ro-RO"/>
        </w:rPr>
        <w:drawing>
          <wp:inline distT="0" distB="0" distL="0" distR="0">
            <wp:extent cx="5905500" cy="2190750"/>
            <wp:effectExtent l="19050" t="0" r="19050" b="0"/>
            <wp:docPr id="222"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D4086A" w:rsidRPr="00083DC8" w:rsidRDefault="00D4086A" w:rsidP="00C36A94">
      <w:pPr>
        <w:tabs>
          <w:tab w:val="left" w:pos="1139"/>
        </w:tabs>
        <w:spacing w:after="0" w:line="240" w:lineRule="auto"/>
        <w:jc w:val="both"/>
        <w:rPr>
          <w:rFonts w:ascii="Arial" w:hAnsi="Arial" w:cs="Arial"/>
          <w:sz w:val="24"/>
          <w:szCs w:val="24"/>
        </w:rPr>
      </w:pPr>
      <w:r w:rsidRPr="00BB71FF">
        <w:rPr>
          <w:rFonts w:ascii="Arial" w:hAnsi="Arial" w:cs="Arial"/>
          <w:sz w:val="24"/>
          <w:szCs w:val="24"/>
        </w:rPr>
        <w:lastRenderedPageBreak/>
        <w:t>Tabel nr. VIII.1.1.1. – 5 -</w:t>
      </w:r>
      <w:r w:rsidRPr="00594535">
        <w:rPr>
          <w:rFonts w:ascii="Arial" w:hAnsi="Arial" w:cs="Arial"/>
          <w:sz w:val="24"/>
          <w:szCs w:val="24"/>
          <w:lang w:val="en-US"/>
        </w:rPr>
        <w:t xml:space="preserve"> </w:t>
      </w:r>
      <w:r w:rsidRPr="00083DC8">
        <w:rPr>
          <w:rFonts w:ascii="Arial" w:hAnsi="Arial" w:cs="Arial"/>
          <w:sz w:val="24"/>
          <w:szCs w:val="24"/>
        </w:rPr>
        <w:t xml:space="preserve">Incidența cazurilor de astm </w:t>
      </w:r>
      <w:r w:rsidR="007C1699">
        <w:rPr>
          <w:rFonts w:ascii="Arial" w:hAnsi="Arial" w:cs="Arial"/>
          <w:sz w:val="24"/>
          <w:szCs w:val="24"/>
        </w:rPr>
        <w:t>BR</w:t>
      </w:r>
      <w:r w:rsidRPr="00083DC8">
        <w:rPr>
          <w:rFonts w:ascii="Arial" w:hAnsi="Arial" w:cs="Arial"/>
          <w:sz w:val="24"/>
          <w:szCs w:val="24"/>
        </w:rPr>
        <w:t xml:space="preserve">onșic pe orașele din județul </w:t>
      </w:r>
      <w:r w:rsidR="00217620">
        <w:rPr>
          <w:rFonts w:ascii="Arial" w:hAnsi="Arial" w:cs="Arial"/>
          <w:sz w:val="24"/>
          <w:szCs w:val="24"/>
        </w:rPr>
        <w:t>Brăila</w:t>
      </w:r>
      <w:r w:rsidRPr="00083DC8">
        <w:rPr>
          <w:rFonts w:ascii="Arial" w:hAnsi="Arial" w:cs="Arial"/>
          <w:sz w:val="24"/>
          <w:szCs w:val="24"/>
        </w:rPr>
        <w:t xml:space="preserve"> (număr cazuri) </w:t>
      </w:r>
      <w:r w:rsidRPr="00083DC8">
        <w:rPr>
          <w:rFonts w:ascii="Arial" w:hAnsi="Arial" w:cs="Arial"/>
          <w:sz w:val="24"/>
          <w:szCs w:val="24"/>
          <w:lang w:val="en-US"/>
        </w:rPr>
        <w:t>corelată cu PM</w:t>
      </w:r>
      <w:r w:rsidRPr="00083DC8">
        <w:rPr>
          <w:rFonts w:ascii="Arial" w:hAnsi="Arial" w:cs="Arial"/>
          <w:sz w:val="24"/>
          <w:szCs w:val="24"/>
          <w:vertAlign w:val="subscript"/>
          <w:lang w:val="en-US"/>
        </w:rPr>
        <w:t>10</w:t>
      </w:r>
      <w:r w:rsidRPr="00083DC8">
        <w:rPr>
          <w:rFonts w:ascii="Arial" w:hAnsi="Arial" w:cs="Arial"/>
          <w:sz w:val="24"/>
          <w:szCs w:val="24"/>
          <w:lang w:val="en-US"/>
        </w:rPr>
        <w:t xml:space="preserve"> - concentraţie medie/an</w:t>
      </w:r>
      <w:r w:rsidRPr="00083DC8">
        <w:rPr>
          <w:rFonts w:ascii="Arial" w:hAnsi="Arial" w:cs="Arial"/>
          <w:sz w:val="24"/>
          <w:szCs w:val="24"/>
        </w:rPr>
        <w:t xml:space="preserve"> (µg/mc) perioada 2012 –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21"/>
        <w:gridCol w:w="848"/>
        <w:gridCol w:w="980"/>
        <w:gridCol w:w="980"/>
        <w:gridCol w:w="980"/>
        <w:gridCol w:w="979"/>
      </w:tblGrid>
      <w:tr w:rsidR="00D4086A" w:rsidRPr="0090130C" w:rsidTr="0033527B">
        <w:trPr>
          <w:jc w:val="center"/>
        </w:trPr>
        <w:tc>
          <w:tcPr>
            <w:tcW w:w="4521" w:type="dxa"/>
            <w:shd w:val="clear" w:color="auto" w:fill="FBD4B4"/>
          </w:tcPr>
          <w:p w:rsidR="00D4086A" w:rsidRPr="0090130C" w:rsidRDefault="00D4086A" w:rsidP="00C36A94">
            <w:pPr>
              <w:tabs>
                <w:tab w:val="left" w:pos="1139"/>
              </w:tabs>
              <w:spacing w:after="0" w:line="240" w:lineRule="auto"/>
              <w:jc w:val="both"/>
              <w:rPr>
                <w:rFonts w:ascii="Arial" w:hAnsi="Arial" w:cs="Arial"/>
                <w:b/>
                <w:sz w:val="24"/>
                <w:szCs w:val="24"/>
              </w:rPr>
            </w:pPr>
            <w:r w:rsidRPr="0090130C">
              <w:rPr>
                <w:rFonts w:ascii="Arial" w:hAnsi="Arial" w:cs="Arial"/>
                <w:b/>
                <w:sz w:val="24"/>
                <w:szCs w:val="24"/>
              </w:rPr>
              <w:t xml:space="preserve">Număr cazuri de astm </w:t>
            </w:r>
            <w:r w:rsidR="007C1699">
              <w:rPr>
                <w:rFonts w:ascii="Arial" w:hAnsi="Arial" w:cs="Arial"/>
                <w:b/>
                <w:sz w:val="24"/>
                <w:szCs w:val="24"/>
              </w:rPr>
              <w:t>BR</w:t>
            </w:r>
            <w:r w:rsidRPr="0090130C">
              <w:rPr>
                <w:rFonts w:ascii="Arial" w:hAnsi="Arial" w:cs="Arial"/>
                <w:b/>
                <w:sz w:val="24"/>
                <w:szCs w:val="24"/>
              </w:rPr>
              <w:t>onșic</w:t>
            </w:r>
          </w:p>
        </w:tc>
        <w:tc>
          <w:tcPr>
            <w:tcW w:w="848" w:type="dxa"/>
            <w:shd w:val="clear" w:color="auto" w:fill="FBD4B4"/>
            <w:vAlign w:val="center"/>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2012</w:t>
            </w:r>
          </w:p>
        </w:tc>
        <w:tc>
          <w:tcPr>
            <w:tcW w:w="980" w:type="dxa"/>
            <w:shd w:val="clear" w:color="auto" w:fill="FBD4B4"/>
            <w:vAlign w:val="center"/>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2013</w:t>
            </w:r>
          </w:p>
        </w:tc>
        <w:tc>
          <w:tcPr>
            <w:tcW w:w="980" w:type="dxa"/>
            <w:shd w:val="clear" w:color="auto" w:fill="FBD4B4"/>
            <w:vAlign w:val="center"/>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2014</w:t>
            </w:r>
          </w:p>
        </w:tc>
        <w:tc>
          <w:tcPr>
            <w:tcW w:w="980" w:type="dxa"/>
            <w:shd w:val="clear" w:color="auto" w:fill="FBD4B4"/>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2015</w:t>
            </w:r>
          </w:p>
        </w:tc>
        <w:tc>
          <w:tcPr>
            <w:tcW w:w="979" w:type="dxa"/>
            <w:shd w:val="clear" w:color="auto" w:fill="FBD4B4"/>
          </w:tcPr>
          <w:p w:rsidR="00D4086A" w:rsidRPr="00083DC8" w:rsidRDefault="00D4086A" w:rsidP="0033527B">
            <w:pPr>
              <w:tabs>
                <w:tab w:val="left" w:pos="1139"/>
              </w:tabs>
              <w:spacing w:after="0" w:line="240" w:lineRule="auto"/>
              <w:jc w:val="both"/>
              <w:rPr>
                <w:rFonts w:ascii="Arial" w:hAnsi="Arial" w:cs="Arial"/>
                <w:b/>
                <w:sz w:val="24"/>
                <w:szCs w:val="24"/>
              </w:rPr>
            </w:pPr>
            <w:r w:rsidRPr="00083DC8">
              <w:rPr>
                <w:rFonts w:ascii="Arial" w:hAnsi="Arial" w:cs="Arial"/>
                <w:b/>
                <w:sz w:val="24"/>
                <w:szCs w:val="24"/>
              </w:rPr>
              <w:t>2016</w:t>
            </w:r>
          </w:p>
        </w:tc>
      </w:tr>
      <w:tr w:rsidR="00D4086A" w:rsidRPr="0090130C" w:rsidTr="0033527B">
        <w:trPr>
          <w:jc w:val="center"/>
        </w:trPr>
        <w:tc>
          <w:tcPr>
            <w:tcW w:w="4521" w:type="dxa"/>
            <w:shd w:val="clear" w:color="auto" w:fill="DAEEF3"/>
          </w:tcPr>
          <w:p w:rsidR="00D4086A" w:rsidRPr="0090130C" w:rsidRDefault="00217620" w:rsidP="0033527B">
            <w:pPr>
              <w:tabs>
                <w:tab w:val="left" w:pos="1139"/>
              </w:tabs>
              <w:spacing w:after="0" w:line="240" w:lineRule="auto"/>
              <w:jc w:val="both"/>
              <w:rPr>
                <w:rFonts w:ascii="Arial" w:hAnsi="Arial" w:cs="Arial"/>
                <w:b/>
                <w:sz w:val="24"/>
                <w:szCs w:val="24"/>
              </w:rPr>
            </w:pPr>
            <w:r>
              <w:rPr>
                <w:rFonts w:ascii="Arial" w:hAnsi="Arial" w:cs="Arial"/>
                <w:b/>
                <w:sz w:val="24"/>
                <w:szCs w:val="24"/>
              </w:rPr>
              <w:t>Brăila</w:t>
            </w:r>
          </w:p>
        </w:tc>
        <w:tc>
          <w:tcPr>
            <w:tcW w:w="848"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241</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201</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217</w:t>
            </w:r>
          </w:p>
        </w:tc>
        <w:tc>
          <w:tcPr>
            <w:tcW w:w="980" w:type="dxa"/>
            <w:shd w:val="clear" w:color="auto" w:fill="DAEEF3"/>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210</w:t>
            </w:r>
          </w:p>
        </w:tc>
        <w:tc>
          <w:tcPr>
            <w:tcW w:w="979" w:type="dxa"/>
            <w:shd w:val="clear" w:color="auto" w:fill="DAEEF3"/>
          </w:tcPr>
          <w:p w:rsidR="00D4086A" w:rsidRPr="00083DC8" w:rsidRDefault="00D4086A" w:rsidP="0033527B">
            <w:pPr>
              <w:tabs>
                <w:tab w:val="left" w:pos="1139"/>
              </w:tabs>
              <w:spacing w:after="0" w:line="240" w:lineRule="auto"/>
              <w:jc w:val="center"/>
              <w:rPr>
                <w:rFonts w:ascii="Times New Roman" w:hAnsi="Times New Roman"/>
                <w:sz w:val="24"/>
                <w:szCs w:val="24"/>
              </w:rPr>
            </w:pPr>
            <w:r w:rsidRPr="00083DC8">
              <w:rPr>
                <w:rFonts w:ascii="Times New Roman" w:hAnsi="Times New Roman"/>
                <w:sz w:val="24"/>
                <w:szCs w:val="24"/>
              </w:rPr>
              <w:t>181</w:t>
            </w:r>
          </w:p>
        </w:tc>
      </w:tr>
      <w:tr w:rsidR="00D4086A" w:rsidRPr="0090130C" w:rsidTr="0033527B">
        <w:trPr>
          <w:jc w:val="center"/>
        </w:trPr>
        <w:tc>
          <w:tcPr>
            <w:tcW w:w="4521" w:type="dxa"/>
            <w:shd w:val="clear" w:color="auto" w:fill="DAEEF3"/>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Ianca</w:t>
            </w:r>
          </w:p>
        </w:tc>
        <w:tc>
          <w:tcPr>
            <w:tcW w:w="848"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36</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14</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25</w:t>
            </w:r>
          </w:p>
        </w:tc>
        <w:tc>
          <w:tcPr>
            <w:tcW w:w="980" w:type="dxa"/>
            <w:shd w:val="clear" w:color="auto" w:fill="DAEEF3"/>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5</w:t>
            </w:r>
          </w:p>
        </w:tc>
        <w:tc>
          <w:tcPr>
            <w:tcW w:w="979" w:type="dxa"/>
            <w:shd w:val="clear" w:color="auto" w:fill="DAEEF3"/>
          </w:tcPr>
          <w:p w:rsidR="00D4086A" w:rsidRPr="00083DC8" w:rsidRDefault="00D4086A" w:rsidP="0033527B">
            <w:pPr>
              <w:tabs>
                <w:tab w:val="left" w:pos="1139"/>
              </w:tabs>
              <w:spacing w:after="0" w:line="240" w:lineRule="auto"/>
              <w:jc w:val="center"/>
              <w:rPr>
                <w:rFonts w:ascii="Times New Roman" w:hAnsi="Times New Roman"/>
                <w:sz w:val="24"/>
                <w:szCs w:val="24"/>
              </w:rPr>
            </w:pPr>
            <w:r w:rsidRPr="00083DC8">
              <w:rPr>
                <w:rFonts w:ascii="Times New Roman" w:hAnsi="Times New Roman"/>
                <w:sz w:val="24"/>
                <w:szCs w:val="24"/>
              </w:rPr>
              <w:t>31</w:t>
            </w:r>
          </w:p>
        </w:tc>
      </w:tr>
      <w:tr w:rsidR="00D4086A" w:rsidRPr="0090130C" w:rsidTr="0033527B">
        <w:trPr>
          <w:jc w:val="center"/>
        </w:trPr>
        <w:tc>
          <w:tcPr>
            <w:tcW w:w="4521" w:type="dxa"/>
            <w:shd w:val="clear" w:color="auto" w:fill="DAEEF3"/>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Făurei</w:t>
            </w:r>
          </w:p>
        </w:tc>
        <w:tc>
          <w:tcPr>
            <w:tcW w:w="848"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31</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19</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27</w:t>
            </w:r>
          </w:p>
        </w:tc>
        <w:tc>
          <w:tcPr>
            <w:tcW w:w="980" w:type="dxa"/>
            <w:shd w:val="clear" w:color="auto" w:fill="DAEEF3"/>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9</w:t>
            </w:r>
          </w:p>
        </w:tc>
        <w:tc>
          <w:tcPr>
            <w:tcW w:w="979" w:type="dxa"/>
            <w:shd w:val="clear" w:color="auto" w:fill="DAEEF3"/>
          </w:tcPr>
          <w:p w:rsidR="00D4086A" w:rsidRPr="00083DC8" w:rsidRDefault="00D4086A" w:rsidP="0033527B">
            <w:pPr>
              <w:tabs>
                <w:tab w:val="left" w:pos="1139"/>
              </w:tabs>
              <w:spacing w:after="0" w:line="240" w:lineRule="auto"/>
              <w:jc w:val="center"/>
              <w:rPr>
                <w:rFonts w:ascii="Times New Roman" w:hAnsi="Times New Roman"/>
                <w:sz w:val="24"/>
                <w:szCs w:val="24"/>
              </w:rPr>
            </w:pPr>
            <w:r w:rsidRPr="00083DC8">
              <w:rPr>
                <w:rFonts w:ascii="Times New Roman" w:hAnsi="Times New Roman"/>
                <w:sz w:val="24"/>
                <w:szCs w:val="24"/>
              </w:rPr>
              <w:t>8</w:t>
            </w:r>
          </w:p>
        </w:tc>
      </w:tr>
      <w:tr w:rsidR="00D4086A" w:rsidRPr="0090130C" w:rsidTr="0033527B">
        <w:trPr>
          <w:jc w:val="center"/>
        </w:trPr>
        <w:tc>
          <w:tcPr>
            <w:tcW w:w="4521" w:type="dxa"/>
            <w:shd w:val="clear" w:color="auto" w:fill="DAEEF3"/>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Însurăței</w:t>
            </w:r>
          </w:p>
        </w:tc>
        <w:tc>
          <w:tcPr>
            <w:tcW w:w="848"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1</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0</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10</w:t>
            </w:r>
          </w:p>
        </w:tc>
        <w:tc>
          <w:tcPr>
            <w:tcW w:w="980" w:type="dxa"/>
            <w:shd w:val="clear" w:color="auto" w:fill="DAEEF3"/>
          </w:tcPr>
          <w:p w:rsidR="00D4086A" w:rsidRPr="0090130C" w:rsidRDefault="00D4086A" w:rsidP="0033527B">
            <w:pPr>
              <w:tabs>
                <w:tab w:val="left" w:pos="1139"/>
              </w:tabs>
              <w:spacing w:after="0" w:line="240" w:lineRule="auto"/>
              <w:jc w:val="both"/>
              <w:rPr>
                <w:rFonts w:ascii="Arial" w:hAnsi="Arial" w:cs="Arial"/>
                <w:sz w:val="24"/>
                <w:szCs w:val="24"/>
              </w:rPr>
            </w:pPr>
            <w:r w:rsidRPr="0090130C">
              <w:rPr>
                <w:rFonts w:ascii="Arial" w:hAnsi="Arial" w:cs="Arial"/>
                <w:sz w:val="24"/>
                <w:szCs w:val="24"/>
              </w:rPr>
              <w:t>1</w:t>
            </w:r>
          </w:p>
        </w:tc>
        <w:tc>
          <w:tcPr>
            <w:tcW w:w="979" w:type="dxa"/>
            <w:shd w:val="clear" w:color="auto" w:fill="DAEEF3"/>
          </w:tcPr>
          <w:p w:rsidR="00D4086A" w:rsidRPr="00083DC8" w:rsidRDefault="00D4086A" w:rsidP="0033527B">
            <w:pPr>
              <w:tabs>
                <w:tab w:val="left" w:pos="1139"/>
              </w:tabs>
              <w:spacing w:after="0" w:line="240" w:lineRule="auto"/>
              <w:jc w:val="center"/>
              <w:rPr>
                <w:rFonts w:ascii="Times New Roman" w:hAnsi="Times New Roman"/>
                <w:sz w:val="24"/>
                <w:szCs w:val="24"/>
              </w:rPr>
            </w:pPr>
            <w:r w:rsidRPr="00083DC8">
              <w:rPr>
                <w:rFonts w:ascii="Times New Roman" w:hAnsi="Times New Roman"/>
                <w:sz w:val="24"/>
                <w:szCs w:val="24"/>
              </w:rPr>
              <w:t>4</w:t>
            </w:r>
          </w:p>
        </w:tc>
      </w:tr>
      <w:tr w:rsidR="00D4086A" w:rsidRPr="0090130C" w:rsidTr="0033527B">
        <w:trPr>
          <w:jc w:val="center"/>
        </w:trPr>
        <w:tc>
          <w:tcPr>
            <w:tcW w:w="4521" w:type="dxa"/>
            <w:shd w:val="clear" w:color="auto" w:fill="DAEEF3"/>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 xml:space="preserve">Total județ </w:t>
            </w:r>
            <w:r w:rsidR="00217620">
              <w:rPr>
                <w:rFonts w:ascii="Arial" w:hAnsi="Arial" w:cs="Arial"/>
                <w:b/>
                <w:sz w:val="24"/>
                <w:szCs w:val="24"/>
              </w:rPr>
              <w:t>Brăila</w:t>
            </w:r>
          </w:p>
        </w:tc>
        <w:tc>
          <w:tcPr>
            <w:tcW w:w="848"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394</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332</w:t>
            </w:r>
          </w:p>
        </w:tc>
        <w:tc>
          <w:tcPr>
            <w:tcW w:w="980" w:type="dxa"/>
            <w:shd w:val="clear" w:color="auto" w:fill="DAEEF3"/>
            <w:vAlign w:val="center"/>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504</w:t>
            </w:r>
          </w:p>
        </w:tc>
        <w:tc>
          <w:tcPr>
            <w:tcW w:w="980" w:type="dxa"/>
            <w:shd w:val="clear" w:color="auto" w:fill="DAEEF3"/>
          </w:tcPr>
          <w:p w:rsidR="00D4086A" w:rsidRPr="0090130C" w:rsidRDefault="00D4086A" w:rsidP="0033527B">
            <w:pPr>
              <w:tabs>
                <w:tab w:val="left" w:pos="1139"/>
              </w:tabs>
              <w:spacing w:after="0" w:line="240" w:lineRule="auto"/>
              <w:jc w:val="both"/>
              <w:rPr>
                <w:rFonts w:ascii="Arial" w:hAnsi="Arial" w:cs="Arial"/>
                <w:b/>
                <w:sz w:val="24"/>
                <w:szCs w:val="24"/>
              </w:rPr>
            </w:pPr>
            <w:r w:rsidRPr="0090130C">
              <w:rPr>
                <w:rFonts w:ascii="Arial" w:hAnsi="Arial" w:cs="Arial"/>
                <w:b/>
                <w:sz w:val="24"/>
                <w:szCs w:val="24"/>
              </w:rPr>
              <w:t>400</w:t>
            </w:r>
          </w:p>
        </w:tc>
        <w:tc>
          <w:tcPr>
            <w:tcW w:w="979" w:type="dxa"/>
            <w:shd w:val="clear" w:color="auto" w:fill="DAEEF3"/>
          </w:tcPr>
          <w:p w:rsidR="00D4086A" w:rsidRPr="00083DC8" w:rsidRDefault="00D4086A" w:rsidP="0033527B">
            <w:pPr>
              <w:tabs>
                <w:tab w:val="left" w:pos="1139"/>
              </w:tabs>
              <w:spacing w:after="0" w:line="240" w:lineRule="auto"/>
              <w:jc w:val="center"/>
              <w:rPr>
                <w:rFonts w:ascii="Times New Roman" w:hAnsi="Times New Roman"/>
                <w:b/>
                <w:sz w:val="24"/>
                <w:szCs w:val="24"/>
              </w:rPr>
            </w:pPr>
            <w:r w:rsidRPr="00083DC8">
              <w:rPr>
                <w:rFonts w:ascii="Times New Roman" w:hAnsi="Times New Roman"/>
                <w:b/>
                <w:sz w:val="24"/>
                <w:szCs w:val="24"/>
              </w:rPr>
              <w:t>399</w:t>
            </w:r>
          </w:p>
        </w:tc>
      </w:tr>
      <w:tr w:rsidR="00D4086A" w:rsidRPr="0090130C" w:rsidTr="0033527B">
        <w:trPr>
          <w:jc w:val="center"/>
        </w:trPr>
        <w:tc>
          <w:tcPr>
            <w:tcW w:w="4521" w:type="dxa"/>
            <w:shd w:val="clear" w:color="auto" w:fill="DAEEF3"/>
          </w:tcPr>
          <w:p w:rsidR="00D4086A" w:rsidRPr="00D4086A" w:rsidRDefault="00D4086A" w:rsidP="0033527B">
            <w:pPr>
              <w:tabs>
                <w:tab w:val="left" w:pos="1139"/>
              </w:tabs>
              <w:spacing w:after="0" w:line="240" w:lineRule="auto"/>
              <w:jc w:val="both"/>
              <w:rPr>
                <w:rFonts w:ascii="Arial" w:hAnsi="Arial" w:cs="Arial"/>
                <w:b/>
                <w:sz w:val="24"/>
                <w:szCs w:val="24"/>
              </w:rPr>
            </w:pPr>
            <w:r w:rsidRPr="00D4086A">
              <w:rPr>
                <w:rFonts w:ascii="Arial" w:hAnsi="Arial" w:cs="Arial"/>
                <w:sz w:val="24"/>
                <w:szCs w:val="24"/>
                <w:lang w:val="en-US"/>
              </w:rPr>
              <w:t>PM</w:t>
            </w:r>
            <w:r w:rsidRPr="00D4086A">
              <w:rPr>
                <w:rFonts w:ascii="Arial" w:hAnsi="Arial" w:cs="Arial"/>
                <w:sz w:val="24"/>
                <w:szCs w:val="24"/>
                <w:vertAlign w:val="subscript"/>
                <w:lang w:val="en-US"/>
              </w:rPr>
              <w:t>10</w:t>
            </w:r>
            <w:r w:rsidRPr="00D4086A">
              <w:rPr>
                <w:rFonts w:ascii="Arial" w:hAnsi="Arial" w:cs="Arial"/>
                <w:sz w:val="24"/>
                <w:szCs w:val="24"/>
                <w:lang w:val="en-US"/>
              </w:rPr>
              <w:t xml:space="preserve"> - concentraţie medie/an</w:t>
            </w:r>
            <w:r w:rsidRPr="00D4086A">
              <w:rPr>
                <w:rFonts w:ascii="Arial" w:hAnsi="Arial" w:cs="Arial"/>
                <w:sz w:val="24"/>
                <w:szCs w:val="24"/>
              </w:rPr>
              <w:t xml:space="preserve">  (µg/mc)</w:t>
            </w:r>
          </w:p>
        </w:tc>
        <w:tc>
          <w:tcPr>
            <w:tcW w:w="848" w:type="dxa"/>
            <w:shd w:val="clear" w:color="auto" w:fill="DAEEF3"/>
            <w:vAlign w:val="center"/>
          </w:tcPr>
          <w:p w:rsidR="00D4086A" w:rsidRPr="0090130C" w:rsidRDefault="00D4086A" w:rsidP="0033527B">
            <w:pPr>
              <w:spacing w:after="0" w:line="240" w:lineRule="auto"/>
              <w:jc w:val="both"/>
              <w:rPr>
                <w:rFonts w:ascii="Arial" w:hAnsi="Arial" w:cs="Arial"/>
                <w:sz w:val="24"/>
                <w:szCs w:val="24"/>
              </w:rPr>
            </w:pPr>
            <w:r w:rsidRPr="0090130C">
              <w:rPr>
                <w:rFonts w:ascii="Arial" w:hAnsi="Arial" w:cs="Arial"/>
                <w:sz w:val="24"/>
                <w:szCs w:val="24"/>
              </w:rPr>
              <w:t>28,07</w:t>
            </w:r>
          </w:p>
        </w:tc>
        <w:tc>
          <w:tcPr>
            <w:tcW w:w="980" w:type="dxa"/>
            <w:shd w:val="clear" w:color="auto" w:fill="DAEEF3"/>
            <w:vAlign w:val="center"/>
          </w:tcPr>
          <w:p w:rsidR="00D4086A" w:rsidRPr="0090130C" w:rsidRDefault="00D4086A" w:rsidP="0033527B">
            <w:pPr>
              <w:spacing w:after="0" w:line="240" w:lineRule="auto"/>
              <w:jc w:val="both"/>
              <w:rPr>
                <w:rFonts w:ascii="Arial" w:hAnsi="Arial" w:cs="Arial"/>
                <w:sz w:val="24"/>
                <w:szCs w:val="24"/>
              </w:rPr>
            </w:pPr>
            <w:r w:rsidRPr="0090130C">
              <w:rPr>
                <w:rFonts w:ascii="Arial" w:hAnsi="Arial" w:cs="Arial"/>
                <w:sz w:val="24"/>
                <w:szCs w:val="24"/>
              </w:rPr>
              <w:t>36,15</w:t>
            </w:r>
          </w:p>
        </w:tc>
        <w:tc>
          <w:tcPr>
            <w:tcW w:w="980" w:type="dxa"/>
            <w:shd w:val="clear" w:color="auto" w:fill="DAEEF3"/>
            <w:vAlign w:val="center"/>
          </w:tcPr>
          <w:p w:rsidR="00D4086A" w:rsidRPr="0090130C" w:rsidRDefault="00D4086A" w:rsidP="0033527B">
            <w:pPr>
              <w:spacing w:after="0" w:line="240" w:lineRule="auto"/>
              <w:jc w:val="both"/>
              <w:rPr>
                <w:rFonts w:ascii="Arial" w:hAnsi="Arial" w:cs="Arial"/>
                <w:sz w:val="24"/>
                <w:szCs w:val="24"/>
              </w:rPr>
            </w:pPr>
            <w:r w:rsidRPr="0090130C">
              <w:rPr>
                <w:rFonts w:ascii="Arial" w:hAnsi="Arial" w:cs="Arial"/>
                <w:sz w:val="24"/>
                <w:szCs w:val="24"/>
              </w:rPr>
              <w:t>46,03</w:t>
            </w:r>
          </w:p>
        </w:tc>
        <w:tc>
          <w:tcPr>
            <w:tcW w:w="980" w:type="dxa"/>
            <w:shd w:val="clear" w:color="auto" w:fill="DAEEF3"/>
          </w:tcPr>
          <w:p w:rsidR="00D4086A" w:rsidRPr="0090130C" w:rsidRDefault="00D4086A" w:rsidP="0033527B">
            <w:pPr>
              <w:spacing w:after="0" w:line="240" w:lineRule="auto"/>
              <w:jc w:val="both"/>
              <w:rPr>
                <w:rFonts w:ascii="Arial" w:hAnsi="Arial" w:cs="Arial"/>
                <w:sz w:val="24"/>
                <w:szCs w:val="24"/>
              </w:rPr>
            </w:pPr>
            <w:r w:rsidRPr="0090130C">
              <w:rPr>
                <w:rFonts w:ascii="Arial" w:hAnsi="Arial" w:cs="Arial"/>
                <w:sz w:val="24"/>
                <w:szCs w:val="24"/>
              </w:rPr>
              <w:t>36,68</w:t>
            </w:r>
          </w:p>
        </w:tc>
        <w:tc>
          <w:tcPr>
            <w:tcW w:w="979" w:type="dxa"/>
            <w:shd w:val="clear" w:color="auto" w:fill="DAEEF3"/>
          </w:tcPr>
          <w:p w:rsidR="00D4086A" w:rsidRPr="0090130C" w:rsidRDefault="00D4086A" w:rsidP="00D4086A">
            <w:pPr>
              <w:spacing w:after="0" w:line="240" w:lineRule="auto"/>
              <w:jc w:val="both"/>
              <w:rPr>
                <w:rFonts w:ascii="Arial" w:hAnsi="Arial" w:cs="Arial"/>
                <w:color w:val="FF0000"/>
                <w:sz w:val="24"/>
                <w:szCs w:val="24"/>
              </w:rPr>
            </w:pPr>
            <w:r w:rsidRPr="00717595">
              <w:rPr>
                <w:rFonts w:ascii="Arial" w:hAnsi="Arial" w:cs="Arial"/>
              </w:rPr>
              <w:t>27</w:t>
            </w:r>
            <w:r>
              <w:rPr>
                <w:rFonts w:ascii="Arial" w:hAnsi="Arial" w:cs="Arial"/>
              </w:rPr>
              <w:t>,</w:t>
            </w:r>
            <w:r w:rsidRPr="00717595">
              <w:rPr>
                <w:rFonts w:ascii="Arial" w:hAnsi="Arial" w:cs="Arial"/>
              </w:rPr>
              <w:t>93</w:t>
            </w:r>
          </w:p>
        </w:tc>
      </w:tr>
    </w:tbl>
    <w:p w:rsidR="00D4086A" w:rsidRPr="00CB3D34" w:rsidRDefault="00D4086A" w:rsidP="00D4086A">
      <w:pPr>
        <w:jc w:val="both"/>
        <w:rPr>
          <w:rFonts w:ascii="Arial" w:hAnsi="Arial" w:cs="Arial"/>
          <w:sz w:val="24"/>
          <w:szCs w:val="24"/>
        </w:rPr>
      </w:pPr>
      <w:r w:rsidRPr="00CB3D34">
        <w:rPr>
          <w:rFonts w:ascii="Arial" w:hAnsi="Arial" w:cs="Arial"/>
          <w:i/>
          <w:sz w:val="20"/>
          <w:szCs w:val="20"/>
          <w:lang w:val="en-US"/>
        </w:rPr>
        <w:t>Not</w:t>
      </w:r>
      <w:r w:rsidRPr="00CB3D34">
        <w:rPr>
          <w:rFonts w:ascii="Arial" w:hAnsi="Arial" w:cs="Arial"/>
          <w:i/>
          <w:sz w:val="20"/>
          <w:szCs w:val="20"/>
        </w:rPr>
        <w:t xml:space="preserve">ă: Informații furnizate de către Direcția de Sănătate Publică a județului </w:t>
      </w:r>
      <w:r w:rsidR="00217620">
        <w:rPr>
          <w:rFonts w:ascii="Arial" w:hAnsi="Arial" w:cs="Arial"/>
          <w:i/>
          <w:sz w:val="20"/>
          <w:szCs w:val="20"/>
        </w:rPr>
        <w:t>Brăila</w:t>
      </w:r>
      <w:r w:rsidRPr="00CB3D34">
        <w:rPr>
          <w:rFonts w:ascii="Arial" w:hAnsi="Arial" w:cs="Arial"/>
          <w:i/>
          <w:sz w:val="20"/>
          <w:szCs w:val="20"/>
        </w:rPr>
        <w:t xml:space="preserve"> </w:t>
      </w:r>
      <w:r w:rsidRPr="00D4086A">
        <w:rPr>
          <w:rFonts w:ascii="Arial" w:hAnsi="Arial" w:cs="Arial"/>
          <w:i/>
          <w:sz w:val="20"/>
          <w:szCs w:val="20"/>
        </w:rPr>
        <w:t xml:space="preserve">și de APM </w:t>
      </w:r>
      <w:r w:rsidR="00217620">
        <w:rPr>
          <w:rFonts w:ascii="Arial" w:hAnsi="Arial" w:cs="Arial"/>
          <w:i/>
          <w:sz w:val="20"/>
          <w:szCs w:val="20"/>
        </w:rPr>
        <w:t>Brăila</w:t>
      </w:r>
    </w:p>
    <w:p w:rsidR="00D4086A" w:rsidRDefault="00D4086A" w:rsidP="00D4086A">
      <w:pPr>
        <w:pStyle w:val="Heading1"/>
        <w:jc w:val="center"/>
        <w:rPr>
          <w:b w:val="0"/>
          <w:sz w:val="24"/>
          <w:szCs w:val="24"/>
        </w:rPr>
      </w:pPr>
      <w:r>
        <w:rPr>
          <w:b w:val="0"/>
          <w:noProof/>
          <w:sz w:val="24"/>
          <w:szCs w:val="24"/>
          <w:lang w:val="ro-RO" w:eastAsia="ro-RO"/>
        </w:rPr>
        <w:drawing>
          <wp:inline distT="0" distB="0" distL="0" distR="0">
            <wp:extent cx="5495925" cy="2505075"/>
            <wp:effectExtent l="19050" t="0" r="9525" b="0"/>
            <wp:docPr id="221" name="Chart 1" descr="Title: Figura nr.VIII.1.1.1. - 4 - Incidența cazurilor de astm bronșic pe orașele din județul Brăila (număr cazuri) - Description: Figura nr.VIII.1.1.1. - 4 - Incidența cazurilor de astm bronșic pe orașele din județul Brăila (număr cazuri)"/>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E860C3" w:rsidRPr="00E860C3" w:rsidRDefault="00E860C3" w:rsidP="00E860C3">
      <w:pPr>
        <w:rPr>
          <w:lang w:val="en-GB"/>
        </w:rPr>
      </w:pPr>
    </w:p>
    <w:p w:rsidR="00D4086A" w:rsidRPr="00121D9E" w:rsidRDefault="00D4086A" w:rsidP="00121D9E">
      <w:pPr>
        <w:tabs>
          <w:tab w:val="left" w:pos="1139"/>
        </w:tabs>
        <w:spacing w:after="0" w:line="240" w:lineRule="auto"/>
        <w:jc w:val="both"/>
        <w:rPr>
          <w:rFonts w:ascii="Arial" w:hAnsi="Arial" w:cs="Arial"/>
          <w:sz w:val="24"/>
          <w:szCs w:val="24"/>
        </w:rPr>
      </w:pPr>
      <w:r w:rsidRPr="00121D9E">
        <w:rPr>
          <w:rFonts w:ascii="Arial" w:hAnsi="Arial" w:cs="Arial"/>
          <w:sz w:val="24"/>
          <w:szCs w:val="24"/>
        </w:rPr>
        <w:t>Tabel nr. VIII.1.1.1. – 6 –</w:t>
      </w:r>
      <w:r w:rsidRPr="00121D9E">
        <w:rPr>
          <w:rFonts w:ascii="Arial" w:hAnsi="Arial" w:cs="Arial"/>
          <w:sz w:val="24"/>
          <w:szCs w:val="24"/>
          <w:lang w:val="en-US"/>
        </w:rPr>
        <w:t xml:space="preserve"> Evoluția </w:t>
      </w:r>
      <w:r w:rsidRPr="00121D9E">
        <w:rPr>
          <w:rFonts w:ascii="Arial" w:hAnsi="Arial" w:cs="Arial"/>
          <w:sz w:val="24"/>
          <w:szCs w:val="24"/>
        </w:rPr>
        <w:t xml:space="preserve"> </w:t>
      </w:r>
      <w:r w:rsidRPr="00121D9E">
        <w:rPr>
          <w:rFonts w:ascii="Arial" w:hAnsi="Arial" w:cs="Arial"/>
          <w:sz w:val="24"/>
          <w:szCs w:val="24"/>
          <w:lang w:val="en-US"/>
        </w:rPr>
        <w:t>concentraţiilor  medii anuale a</w:t>
      </w:r>
      <w:r w:rsidRPr="00121D9E">
        <w:rPr>
          <w:rFonts w:ascii="Arial" w:hAnsi="Arial" w:cs="Arial"/>
          <w:sz w:val="24"/>
          <w:szCs w:val="24"/>
        </w:rPr>
        <w:t xml:space="preserve"> </w:t>
      </w:r>
      <w:r w:rsidRPr="00121D9E">
        <w:rPr>
          <w:rFonts w:ascii="Arial" w:hAnsi="Arial" w:cs="Arial"/>
          <w:sz w:val="24"/>
          <w:szCs w:val="24"/>
          <w:lang w:val="en-US"/>
        </w:rPr>
        <w:t>PM</w:t>
      </w:r>
      <w:r w:rsidRPr="00121D9E">
        <w:rPr>
          <w:rFonts w:ascii="Arial" w:hAnsi="Arial" w:cs="Arial"/>
          <w:sz w:val="24"/>
          <w:szCs w:val="24"/>
          <w:vertAlign w:val="subscript"/>
          <w:lang w:val="en-US"/>
        </w:rPr>
        <w:t>10</w:t>
      </w:r>
      <w:r w:rsidRPr="00121D9E">
        <w:rPr>
          <w:rFonts w:ascii="Arial" w:hAnsi="Arial" w:cs="Arial"/>
          <w:sz w:val="24"/>
          <w:szCs w:val="24"/>
          <w:lang w:val="en-US"/>
        </w:rPr>
        <w:t xml:space="preserve"> - </w:t>
      </w:r>
      <w:r w:rsidRPr="00121D9E">
        <w:rPr>
          <w:rFonts w:ascii="Arial" w:hAnsi="Arial" w:cs="Arial"/>
          <w:sz w:val="24"/>
          <w:szCs w:val="24"/>
        </w:rPr>
        <w:t xml:space="preserve">(µg/mc) în județul </w:t>
      </w:r>
      <w:r w:rsidR="00217620" w:rsidRPr="00121D9E">
        <w:rPr>
          <w:rFonts w:ascii="Arial" w:hAnsi="Arial" w:cs="Arial"/>
          <w:sz w:val="24"/>
          <w:szCs w:val="24"/>
        </w:rPr>
        <w:t>Brăila</w:t>
      </w:r>
      <w:r w:rsidRPr="00121D9E">
        <w:rPr>
          <w:rFonts w:ascii="Arial" w:hAnsi="Arial" w:cs="Arial"/>
          <w:sz w:val="24"/>
          <w:szCs w:val="24"/>
        </w:rPr>
        <w:t xml:space="preserve"> în perioada 2012 – 2016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9"/>
        <w:gridCol w:w="1031"/>
        <w:gridCol w:w="1098"/>
        <w:gridCol w:w="972"/>
        <w:gridCol w:w="1069"/>
        <w:gridCol w:w="1069"/>
      </w:tblGrid>
      <w:tr w:rsidR="00D4086A" w:rsidRPr="0090130C" w:rsidTr="006157E7">
        <w:trPr>
          <w:jc w:val="center"/>
        </w:trPr>
        <w:tc>
          <w:tcPr>
            <w:tcW w:w="4049" w:type="dxa"/>
            <w:shd w:val="clear" w:color="auto" w:fill="E5B8B7" w:themeFill="accent2" w:themeFillTint="66"/>
          </w:tcPr>
          <w:p w:rsidR="00D4086A" w:rsidRPr="0090130C" w:rsidRDefault="00D4086A" w:rsidP="006157E7">
            <w:pPr>
              <w:tabs>
                <w:tab w:val="left" w:pos="1139"/>
              </w:tabs>
              <w:spacing w:after="0" w:line="240" w:lineRule="auto"/>
              <w:jc w:val="both"/>
              <w:rPr>
                <w:rFonts w:ascii="Arial" w:hAnsi="Arial" w:cs="Arial"/>
                <w:b/>
                <w:sz w:val="24"/>
                <w:szCs w:val="24"/>
              </w:rPr>
            </w:pPr>
            <w:r w:rsidRPr="0090130C">
              <w:rPr>
                <w:rFonts w:ascii="Arial" w:hAnsi="Arial" w:cs="Arial"/>
                <w:b/>
                <w:sz w:val="24"/>
                <w:szCs w:val="24"/>
              </w:rPr>
              <w:t>județul</w:t>
            </w:r>
            <w:r w:rsidRPr="0090130C">
              <w:rPr>
                <w:rFonts w:ascii="Arial" w:hAnsi="Arial" w:cs="Arial"/>
                <w:sz w:val="24"/>
                <w:szCs w:val="24"/>
              </w:rPr>
              <w:t xml:space="preserve"> </w:t>
            </w:r>
            <w:r w:rsidR="00217620">
              <w:rPr>
                <w:rFonts w:ascii="Arial" w:hAnsi="Arial" w:cs="Arial"/>
                <w:b/>
                <w:sz w:val="24"/>
                <w:szCs w:val="24"/>
              </w:rPr>
              <w:t>Brăila</w:t>
            </w:r>
          </w:p>
        </w:tc>
        <w:tc>
          <w:tcPr>
            <w:tcW w:w="1031" w:type="dxa"/>
            <w:shd w:val="clear" w:color="auto" w:fill="E5B8B7" w:themeFill="accent2" w:themeFillTint="66"/>
          </w:tcPr>
          <w:p w:rsidR="00D4086A" w:rsidRPr="0090130C" w:rsidRDefault="00D4086A" w:rsidP="006157E7">
            <w:pPr>
              <w:tabs>
                <w:tab w:val="left" w:pos="1139"/>
              </w:tabs>
              <w:spacing w:after="0" w:line="240" w:lineRule="auto"/>
              <w:jc w:val="center"/>
              <w:rPr>
                <w:rFonts w:ascii="Arial" w:hAnsi="Arial" w:cs="Arial"/>
                <w:b/>
                <w:sz w:val="24"/>
                <w:szCs w:val="24"/>
              </w:rPr>
            </w:pPr>
            <w:r w:rsidRPr="0090130C">
              <w:rPr>
                <w:rFonts w:ascii="Arial" w:hAnsi="Arial" w:cs="Arial"/>
                <w:b/>
                <w:sz w:val="24"/>
                <w:szCs w:val="24"/>
              </w:rPr>
              <w:t>2012</w:t>
            </w:r>
          </w:p>
        </w:tc>
        <w:tc>
          <w:tcPr>
            <w:tcW w:w="1098" w:type="dxa"/>
            <w:shd w:val="clear" w:color="auto" w:fill="E5B8B7" w:themeFill="accent2" w:themeFillTint="66"/>
          </w:tcPr>
          <w:p w:rsidR="00D4086A" w:rsidRPr="0090130C" w:rsidRDefault="00D4086A" w:rsidP="006157E7">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2013</w:t>
            </w:r>
          </w:p>
        </w:tc>
        <w:tc>
          <w:tcPr>
            <w:tcW w:w="972" w:type="dxa"/>
            <w:shd w:val="clear" w:color="auto" w:fill="E5B8B7" w:themeFill="accent2" w:themeFillTint="66"/>
          </w:tcPr>
          <w:p w:rsidR="00D4086A" w:rsidRPr="0090130C" w:rsidRDefault="00D4086A" w:rsidP="006157E7">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2014</w:t>
            </w:r>
          </w:p>
        </w:tc>
        <w:tc>
          <w:tcPr>
            <w:tcW w:w="1069" w:type="dxa"/>
            <w:shd w:val="clear" w:color="auto" w:fill="E5B8B7" w:themeFill="accent2" w:themeFillTint="66"/>
          </w:tcPr>
          <w:p w:rsidR="00D4086A" w:rsidRPr="0090130C" w:rsidRDefault="00D4086A" w:rsidP="006157E7">
            <w:pPr>
              <w:tabs>
                <w:tab w:val="left" w:pos="1139"/>
              </w:tabs>
              <w:spacing w:after="0" w:line="240" w:lineRule="auto"/>
              <w:jc w:val="both"/>
              <w:rPr>
                <w:rFonts w:ascii="Arial" w:hAnsi="Arial" w:cs="Arial"/>
                <w:b/>
                <w:sz w:val="24"/>
                <w:szCs w:val="24"/>
              </w:rPr>
            </w:pPr>
            <w:r w:rsidRPr="0090130C">
              <w:rPr>
                <w:rFonts w:ascii="Arial" w:hAnsi="Arial" w:cs="Arial"/>
                <w:b/>
                <w:sz w:val="24"/>
                <w:szCs w:val="24"/>
              </w:rPr>
              <w:t>2015</w:t>
            </w:r>
          </w:p>
        </w:tc>
        <w:tc>
          <w:tcPr>
            <w:tcW w:w="1069" w:type="dxa"/>
            <w:shd w:val="clear" w:color="auto" w:fill="E5B8B7" w:themeFill="accent2" w:themeFillTint="66"/>
          </w:tcPr>
          <w:p w:rsidR="00D4086A" w:rsidRPr="0090130C" w:rsidRDefault="00D4086A" w:rsidP="006157E7">
            <w:pPr>
              <w:tabs>
                <w:tab w:val="left" w:pos="1139"/>
              </w:tabs>
              <w:spacing w:after="0" w:line="240" w:lineRule="auto"/>
              <w:jc w:val="both"/>
              <w:rPr>
                <w:rFonts w:ascii="Arial" w:hAnsi="Arial" w:cs="Arial"/>
                <w:b/>
                <w:sz w:val="24"/>
                <w:szCs w:val="24"/>
              </w:rPr>
            </w:pPr>
            <w:r>
              <w:rPr>
                <w:rFonts w:ascii="Arial" w:hAnsi="Arial" w:cs="Arial"/>
                <w:b/>
                <w:sz w:val="24"/>
                <w:szCs w:val="24"/>
              </w:rPr>
              <w:t>2016</w:t>
            </w:r>
          </w:p>
        </w:tc>
      </w:tr>
      <w:tr w:rsidR="00D4086A" w:rsidRPr="0090130C" w:rsidTr="006157E7">
        <w:trPr>
          <w:trHeight w:val="571"/>
          <w:jc w:val="center"/>
        </w:trPr>
        <w:tc>
          <w:tcPr>
            <w:tcW w:w="4049" w:type="dxa"/>
            <w:shd w:val="clear" w:color="auto" w:fill="FDE9D9"/>
          </w:tcPr>
          <w:p w:rsidR="00D4086A" w:rsidRPr="0090130C" w:rsidRDefault="00D4086A" w:rsidP="006157E7">
            <w:pPr>
              <w:tabs>
                <w:tab w:val="left" w:pos="1139"/>
              </w:tabs>
              <w:spacing w:line="240" w:lineRule="auto"/>
              <w:rPr>
                <w:rFonts w:ascii="Arial" w:hAnsi="Arial" w:cs="Arial"/>
                <w:b/>
                <w:sz w:val="24"/>
                <w:szCs w:val="24"/>
              </w:rPr>
            </w:pPr>
            <w:r w:rsidRPr="0090130C">
              <w:rPr>
                <w:rFonts w:ascii="Arial" w:hAnsi="Arial" w:cs="Arial"/>
                <w:sz w:val="24"/>
                <w:szCs w:val="24"/>
                <w:lang w:val="en-US"/>
              </w:rPr>
              <w:t>PM</w:t>
            </w:r>
            <w:r w:rsidRPr="0090130C">
              <w:rPr>
                <w:rFonts w:ascii="Arial" w:hAnsi="Arial" w:cs="Arial"/>
                <w:sz w:val="24"/>
                <w:szCs w:val="24"/>
                <w:vertAlign w:val="subscript"/>
                <w:lang w:val="en-US"/>
              </w:rPr>
              <w:t>10</w:t>
            </w:r>
            <w:r w:rsidRPr="0090130C">
              <w:rPr>
                <w:rFonts w:ascii="Arial" w:hAnsi="Arial" w:cs="Arial"/>
                <w:sz w:val="24"/>
                <w:szCs w:val="24"/>
                <w:lang w:val="en-US"/>
              </w:rPr>
              <w:t xml:space="preserve"> (concentraţie medie/an)</w:t>
            </w:r>
            <w:r w:rsidRPr="0090130C">
              <w:rPr>
                <w:rFonts w:ascii="Arial" w:hAnsi="Arial" w:cs="Arial"/>
                <w:sz w:val="24"/>
                <w:szCs w:val="24"/>
              </w:rPr>
              <w:t xml:space="preserve">  (µg/mc)</w:t>
            </w:r>
          </w:p>
        </w:tc>
        <w:tc>
          <w:tcPr>
            <w:tcW w:w="1031" w:type="dxa"/>
            <w:shd w:val="clear" w:color="auto" w:fill="FDE9D9"/>
            <w:vAlign w:val="center"/>
          </w:tcPr>
          <w:p w:rsidR="00D4086A" w:rsidRPr="0090130C" w:rsidRDefault="00D4086A" w:rsidP="006157E7">
            <w:pPr>
              <w:spacing w:after="0" w:line="240" w:lineRule="auto"/>
              <w:jc w:val="center"/>
              <w:rPr>
                <w:rFonts w:ascii="Arial" w:hAnsi="Arial" w:cs="Arial"/>
                <w:sz w:val="24"/>
                <w:szCs w:val="24"/>
              </w:rPr>
            </w:pPr>
            <w:r w:rsidRPr="0090130C">
              <w:rPr>
                <w:rFonts w:ascii="Arial" w:hAnsi="Arial" w:cs="Arial"/>
                <w:sz w:val="24"/>
                <w:szCs w:val="24"/>
              </w:rPr>
              <w:t>28,07</w:t>
            </w:r>
          </w:p>
        </w:tc>
        <w:tc>
          <w:tcPr>
            <w:tcW w:w="1098" w:type="dxa"/>
            <w:shd w:val="clear" w:color="auto" w:fill="FDE9D9"/>
            <w:vAlign w:val="center"/>
          </w:tcPr>
          <w:p w:rsidR="00D4086A" w:rsidRPr="0090130C" w:rsidRDefault="00D4086A" w:rsidP="006157E7">
            <w:pPr>
              <w:spacing w:after="0" w:line="240" w:lineRule="auto"/>
              <w:jc w:val="center"/>
              <w:rPr>
                <w:rFonts w:ascii="Arial" w:hAnsi="Arial" w:cs="Arial"/>
                <w:sz w:val="24"/>
                <w:szCs w:val="24"/>
              </w:rPr>
            </w:pPr>
            <w:r w:rsidRPr="0090130C">
              <w:rPr>
                <w:rFonts w:ascii="Arial" w:hAnsi="Arial" w:cs="Arial"/>
                <w:sz w:val="24"/>
                <w:szCs w:val="24"/>
              </w:rPr>
              <w:t>36,15</w:t>
            </w:r>
          </w:p>
        </w:tc>
        <w:tc>
          <w:tcPr>
            <w:tcW w:w="972" w:type="dxa"/>
            <w:shd w:val="clear" w:color="auto" w:fill="FDE9D9"/>
            <w:vAlign w:val="center"/>
          </w:tcPr>
          <w:p w:rsidR="00D4086A" w:rsidRPr="0090130C" w:rsidRDefault="00D4086A" w:rsidP="006157E7">
            <w:pPr>
              <w:spacing w:after="0" w:line="240" w:lineRule="auto"/>
              <w:jc w:val="center"/>
              <w:rPr>
                <w:rFonts w:ascii="Arial" w:hAnsi="Arial" w:cs="Arial"/>
                <w:sz w:val="24"/>
                <w:szCs w:val="24"/>
              </w:rPr>
            </w:pPr>
            <w:r w:rsidRPr="0090130C">
              <w:rPr>
                <w:rFonts w:ascii="Arial" w:hAnsi="Arial" w:cs="Arial"/>
                <w:sz w:val="24"/>
                <w:szCs w:val="24"/>
              </w:rPr>
              <w:t>46,03</w:t>
            </w:r>
          </w:p>
        </w:tc>
        <w:tc>
          <w:tcPr>
            <w:tcW w:w="1069" w:type="dxa"/>
            <w:shd w:val="clear" w:color="auto" w:fill="FDE9D9"/>
            <w:vAlign w:val="center"/>
          </w:tcPr>
          <w:p w:rsidR="00D4086A" w:rsidRPr="0090130C" w:rsidRDefault="00D4086A" w:rsidP="006157E7">
            <w:pPr>
              <w:spacing w:after="0" w:line="240" w:lineRule="auto"/>
              <w:jc w:val="center"/>
              <w:rPr>
                <w:rFonts w:ascii="Arial" w:hAnsi="Arial" w:cs="Arial"/>
                <w:sz w:val="24"/>
                <w:szCs w:val="24"/>
              </w:rPr>
            </w:pPr>
            <w:r w:rsidRPr="0090130C">
              <w:rPr>
                <w:rFonts w:ascii="Arial" w:hAnsi="Arial" w:cs="Arial"/>
                <w:sz w:val="24"/>
                <w:szCs w:val="24"/>
              </w:rPr>
              <w:t>36,68</w:t>
            </w:r>
          </w:p>
        </w:tc>
        <w:tc>
          <w:tcPr>
            <w:tcW w:w="1069" w:type="dxa"/>
            <w:shd w:val="clear" w:color="auto" w:fill="FDE9D9"/>
            <w:vAlign w:val="center"/>
          </w:tcPr>
          <w:p w:rsidR="00D4086A" w:rsidRPr="00CB3D34" w:rsidRDefault="00D4086A" w:rsidP="006157E7">
            <w:pPr>
              <w:spacing w:after="0" w:line="240" w:lineRule="auto"/>
              <w:jc w:val="center"/>
              <w:rPr>
                <w:rFonts w:ascii="Arial" w:hAnsi="Arial" w:cs="Arial"/>
                <w:color w:val="FF0000"/>
                <w:sz w:val="24"/>
                <w:szCs w:val="24"/>
              </w:rPr>
            </w:pPr>
            <w:r w:rsidRPr="00717595">
              <w:rPr>
                <w:rFonts w:ascii="Arial" w:hAnsi="Arial" w:cs="Arial"/>
              </w:rPr>
              <w:t>27</w:t>
            </w:r>
            <w:r>
              <w:rPr>
                <w:rFonts w:ascii="Arial" w:hAnsi="Arial" w:cs="Arial"/>
              </w:rPr>
              <w:t>,</w:t>
            </w:r>
            <w:r w:rsidRPr="00717595">
              <w:rPr>
                <w:rFonts w:ascii="Arial" w:hAnsi="Arial" w:cs="Arial"/>
              </w:rPr>
              <w:t>93</w:t>
            </w:r>
          </w:p>
        </w:tc>
      </w:tr>
    </w:tbl>
    <w:p w:rsidR="00D4086A" w:rsidRPr="00594535" w:rsidRDefault="00D4086A" w:rsidP="00D4086A">
      <w:pPr>
        <w:jc w:val="both"/>
        <w:rPr>
          <w:rFonts w:ascii="Arial" w:hAnsi="Arial" w:cs="Arial"/>
          <w:b/>
          <w:sz w:val="24"/>
          <w:szCs w:val="24"/>
          <w:lang w:val="en-US"/>
        </w:rPr>
      </w:pPr>
    </w:p>
    <w:p w:rsidR="00D4086A" w:rsidRPr="00594535" w:rsidRDefault="001138F6" w:rsidP="008A7F47">
      <w:pPr>
        <w:tabs>
          <w:tab w:val="left" w:pos="4253"/>
        </w:tabs>
        <w:jc w:val="center"/>
        <w:rPr>
          <w:rFonts w:ascii="Arial" w:hAnsi="Arial" w:cs="Arial"/>
          <w:b/>
          <w:sz w:val="24"/>
          <w:szCs w:val="24"/>
          <w:lang w:val="en-US"/>
        </w:rPr>
      </w:pPr>
      <w:r>
        <w:rPr>
          <w:rFonts w:ascii="Arial" w:hAnsi="Arial" w:cs="Arial"/>
          <w:b/>
          <w:noProof/>
          <w:sz w:val="24"/>
          <w:szCs w:val="24"/>
          <w:lang w:eastAsia="ro-RO"/>
        </w:rPr>
        <w:drawing>
          <wp:inline distT="0" distB="0" distL="0" distR="0">
            <wp:extent cx="5248275" cy="2419350"/>
            <wp:effectExtent l="19050" t="0" r="9525"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4086A" w:rsidRPr="00594535" w:rsidRDefault="00D4086A" w:rsidP="00D4086A">
      <w:pPr>
        <w:jc w:val="both"/>
        <w:rPr>
          <w:rFonts w:ascii="Arial" w:hAnsi="Arial" w:cs="Arial"/>
          <w:b/>
          <w:i/>
          <w:sz w:val="24"/>
          <w:szCs w:val="24"/>
          <w:lang w:val="en-US"/>
        </w:rPr>
      </w:pPr>
    </w:p>
    <w:p w:rsidR="00387899" w:rsidRDefault="00387899" w:rsidP="00D4086A">
      <w:pPr>
        <w:jc w:val="both"/>
        <w:rPr>
          <w:rFonts w:ascii="Arial" w:hAnsi="Arial" w:cs="Arial"/>
          <w:b/>
          <w:sz w:val="24"/>
          <w:szCs w:val="24"/>
          <w:lang w:val="en-US"/>
        </w:rPr>
      </w:pPr>
    </w:p>
    <w:p w:rsidR="00D4086A" w:rsidRPr="00594535" w:rsidRDefault="00D4086A" w:rsidP="00D4086A">
      <w:pPr>
        <w:jc w:val="both"/>
        <w:rPr>
          <w:rFonts w:ascii="Arial" w:hAnsi="Arial" w:cs="Arial"/>
          <w:b/>
          <w:i/>
          <w:sz w:val="24"/>
          <w:szCs w:val="24"/>
        </w:rPr>
      </w:pPr>
      <w:r w:rsidRPr="00594535">
        <w:rPr>
          <w:rFonts w:ascii="Arial" w:hAnsi="Arial" w:cs="Arial"/>
          <w:b/>
          <w:sz w:val="24"/>
          <w:szCs w:val="24"/>
          <w:lang w:val="en-US"/>
        </w:rPr>
        <w:lastRenderedPageBreak/>
        <w:t>VIII.</w:t>
      </w:r>
      <w:r w:rsidRPr="00594535">
        <w:rPr>
          <w:rFonts w:ascii="Arial" w:hAnsi="Arial" w:cs="Arial"/>
          <w:b/>
          <w:bCs/>
          <w:sz w:val="24"/>
          <w:szCs w:val="24"/>
        </w:rPr>
        <w:t>1.2</w:t>
      </w:r>
      <w:r w:rsidRPr="00594535">
        <w:rPr>
          <w:rFonts w:ascii="Arial" w:hAnsi="Arial" w:cs="Arial"/>
          <w:b/>
          <w:bCs/>
          <w:i/>
          <w:sz w:val="24"/>
          <w:szCs w:val="24"/>
        </w:rPr>
        <w:t xml:space="preserve"> </w:t>
      </w:r>
      <w:r w:rsidRPr="004638BD">
        <w:rPr>
          <w:rFonts w:ascii="Arial" w:hAnsi="Arial" w:cs="Arial"/>
          <w:b/>
          <w:i/>
          <w:sz w:val="24"/>
          <w:szCs w:val="24"/>
        </w:rPr>
        <w:t xml:space="preserve">Poluarea fonică și efectele asupra sănătății și calității vieții </w:t>
      </w:r>
    </w:p>
    <w:p w:rsidR="00D4086A" w:rsidRPr="00594535" w:rsidRDefault="00D4086A" w:rsidP="00D4086A">
      <w:pPr>
        <w:spacing w:after="0" w:line="240" w:lineRule="auto"/>
        <w:jc w:val="both"/>
        <w:rPr>
          <w:rFonts w:ascii="Arial" w:hAnsi="Arial" w:cs="Arial"/>
          <w:b/>
          <w:bCs/>
          <w:sz w:val="24"/>
          <w:szCs w:val="24"/>
        </w:rPr>
      </w:pPr>
      <w:r w:rsidRPr="00594535">
        <w:rPr>
          <w:rFonts w:ascii="Arial" w:hAnsi="Arial" w:cs="Arial"/>
          <w:b/>
          <w:bCs/>
          <w:sz w:val="24"/>
          <w:szCs w:val="24"/>
        </w:rPr>
        <w:t>VIIII.1.2.1 Expunerea la poluarea sonoră a aglomerărilor urbane cu peste 250.000 locuitori</w:t>
      </w:r>
    </w:p>
    <w:p w:rsidR="00D4086A" w:rsidRPr="00594535" w:rsidRDefault="00D4086A" w:rsidP="00D4086A">
      <w:pPr>
        <w:spacing w:after="0" w:line="240" w:lineRule="auto"/>
        <w:ind w:firstLine="708"/>
        <w:jc w:val="both"/>
        <w:rPr>
          <w:rFonts w:ascii="Arial" w:hAnsi="Arial" w:cs="Arial"/>
          <w:sz w:val="24"/>
          <w:szCs w:val="24"/>
        </w:rPr>
      </w:pPr>
      <w:r w:rsidRPr="00594535">
        <w:rPr>
          <w:rFonts w:ascii="Arial" w:hAnsi="Arial" w:cs="Arial"/>
          <w:sz w:val="24"/>
          <w:szCs w:val="24"/>
        </w:rPr>
        <w:t xml:space="preserve">Poluarea fonică reprezintă expunerea oamenilor sau a animalelor la sunete ale căror intensități sunt stresante sau care afectează sistemul auditiv. Deși sunetele puternice fac parte din natură, în ultimele doua secole zonele urbane au devenit extrem de zgomotoase. </w:t>
      </w:r>
    </w:p>
    <w:p w:rsidR="00D4086A" w:rsidRPr="00594535" w:rsidRDefault="00D4086A" w:rsidP="00D4086A">
      <w:pPr>
        <w:autoSpaceDE w:val="0"/>
        <w:autoSpaceDN w:val="0"/>
        <w:adjustRightInd w:val="0"/>
        <w:spacing w:after="0" w:line="240" w:lineRule="auto"/>
        <w:jc w:val="both"/>
        <w:rPr>
          <w:rFonts w:ascii="Arial" w:hAnsi="Arial" w:cs="Arial"/>
          <w:sz w:val="24"/>
          <w:szCs w:val="24"/>
        </w:rPr>
      </w:pPr>
      <w:r w:rsidRPr="00594535">
        <w:rPr>
          <w:rFonts w:ascii="Arial" w:hAnsi="Arial" w:cs="Arial"/>
          <w:sz w:val="24"/>
          <w:szCs w:val="24"/>
        </w:rPr>
        <w:tab/>
        <w:t xml:space="preserve">Zgomotul în cadrul unui oraș provine în principal de la diversele activități desfășurate de către locuitori în zonele industriale aflate în interiorul aglomerărilor, de la mijloacele de transport personal sau comunitar care asigură deplasarea în oraș sau în afara acestuia, precum și de la mijloacele de transport feroviar și/sau aerian. Activităţile specifice din sectorul construcţiilor, activităţile publice, sistemele de alarmare (pentru clădiri şi autovehicule) precum şi cele din sectorul specific de consum şi de recreere (restaurante, discoteci, mici ateliere, animale domestice, stadioane, concerte în aer liber, manifestări culturale în aer liber) sunt alte surse generatoare de zgomot specifice vieţii de zi cu zi a unei societăţi umane. </w:t>
      </w:r>
    </w:p>
    <w:p w:rsidR="00D4086A" w:rsidRPr="00594535" w:rsidRDefault="00D4086A" w:rsidP="00D4086A">
      <w:pPr>
        <w:autoSpaceDE w:val="0"/>
        <w:autoSpaceDN w:val="0"/>
        <w:adjustRightInd w:val="0"/>
        <w:spacing w:after="0" w:line="240" w:lineRule="auto"/>
        <w:jc w:val="both"/>
        <w:rPr>
          <w:rFonts w:ascii="Arial" w:hAnsi="Arial" w:cs="Arial"/>
          <w:sz w:val="24"/>
          <w:szCs w:val="24"/>
        </w:rPr>
      </w:pPr>
      <w:r w:rsidRPr="00594535">
        <w:rPr>
          <w:rFonts w:ascii="Arial" w:hAnsi="Arial" w:cs="Arial"/>
          <w:sz w:val="24"/>
          <w:szCs w:val="24"/>
        </w:rPr>
        <w:t xml:space="preserve">Influenţa zgomotului asupra organismului depinde de mai mulţi factori: </w:t>
      </w:r>
    </w:p>
    <w:p w:rsidR="00D4086A" w:rsidRPr="008914B8" w:rsidRDefault="00D4086A" w:rsidP="00252ED3">
      <w:pPr>
        <w:pStyle w:val="ListParagraph"/>
        <w:numPr>
          <w:ilvl w:val="0"/>
          <w:numId w:val="63"/>
        </w:numPr>
        <w:autoSpaceDE w:val="0"/>
        <w:autoSpaceDN w:val="0"/>
        <w:adjustRightInd w:val="0"/>
        <w:jc w:val="both"/>
        <w:rPr>
          <w:rFonts w:ascii="Arial" w:hAnsi="Arial" w:cs="Arial"/>
        </w:rPr>
      </w:pPr>
      <w:r w:rsidRPr="008914B8">
        <w:rPr>
          <w:rFonts w:ascii="Arial" w:hAnsi="Arial" w:cs="Arial"/>
        </w:rPr>
        <w:t xml:space="preserve">mărimea zgomotului, considerând frecvenţa, intensitatea, timpul de acţiune şi caracteristicile (continuu, pulsatoriu, accidental); </w:t>
      </w:r>
    </w:p>
    <w:p w:rsidR="00D4086A" w:rsidRPr="008914B8" w:rsidRDefault="00D4086A" w:rsidP="00252ED3">
      <w:pPr>
        <w:pStyle w:val="ListParagraph"/>
        <w:numPr>
          <w:ilvl w:val="0"/>
          <w:numId w:val="63"/>
        </w:numPr>
        <w:autoSpaceDE w:val="0"/>
        <w:autoSpaceDN w:val="0"/>
        <w:adjustRightInd w:val="0"/>
        <w:jc w:val="both"/>
        <w:rPr>
          <w:rFonts w:ascii="Arial" w:hAnsi="Arial" w:cs="Arial"/>
        </w:rPr>
      </w:pPr>
      <w:r w:rsidRPr="008914B8">
        <w:rPr>
          <w:rFonts w:ascii="Arial" w:hAnsi="Arial" w:cs="Arial"/>
        </w:rPr>
        <w:t xml:space="preserve">caracteristicile distribuţiei zgomotului de fond existent în afara celui perturbator; </w:t>
      </w:r>
    </w:p>
    <w:p w:rsidR="00D4086A" w:rsidRPr="008914B8" w:rsidRDefault="00D4086A" w:rsidP="00252ED3">
      <w:pPr>
        <w:pStyle w:val="ListParagraph"/>
        <w:numPr>
          <w:ilvl w:val="0"/>
          <w:numId w:val="63"/>
        </w:numPr>
        <w:autoSpaceDE w:val="0"/>
        <w:autoSpaceDN w:val="0"/>
        <w:adjustRightInd w:val="0"/>
        <w:jc w:val="both"/>
        <w:rPr>
          <w:rFonts w:ascii="Arial" w:hAnsi="Arial" w:cs="Arial"/>
        </w:rPr>
      </w:pPr>
      <w:r w:rsidRPr="008914B8">
        <w:rPr>
          <w:rFonts w:ascii="Arial" w:hAnsi="Arial" w:cs="Arial"/>
        </w:rPr>
        <w:t xml:space="preserve">organism: vârsta, starea fizică, sensibilitatea individuală, obișnuința; </w:t>
      </w:r>
    </w:p>
    <w:p w:rsidR="00D4086A" w:rsidRPr="008914B8" w:rsidRDefault="00D4086A" w:rsidP="00252ED3">
      <w:pPr>
        <w:pStyle w:val="ListParagraph"/>
        <w:numPr>
          <w:ilvl w:val="0"/>
          <w:numId w:val="63"/>
        </w:numPr>
        <w:autoSpaceDE w:val="0"/>
        <w:autoSpaceDN w:val="0"/>
        <w:adjustRightInd w:val="0"/>
        <w:jc w:val="both"/>
        <w:rPr>
          <w:rFonts w:ascii="Arial" w:hAnsi="Arial" w:cs="Arial"/>
        </w:rPr>
      </w:pPr>
      <w:r w:rsidRPr="008914B8">
        <w:rPr>
          <w:rFonts w:ascii="Arial" w:hAnsi="Arial" w:cs="Arial"/>
        </w:rPr>
        <w:t>mediul de propagare: dimensiunea spaţiului (închis, în afară, configuraţia terenului, structura arhitecturală).</w:t>
      </w:r>
    </w:p>
    <w:p w:rsidR="00D4086A" w:rsidRPr="00594535" w:rsidRDefault="00D4086A" w:rsidP="00D4086A">
      <w:pPr>
        <w:autoSpaceDE w:val="0"/>
        <w:autoSpaceDN w:val="0"/>
        <w:adjustRightInd w:val="0"/>
        <w:spacing w:after="0" w:line="240" w:lineRule="auto"/>
        <w:jc w:val="both"/>
        <w:rPr>
          <w:rFonts w:ascii="Arial" w:hAnsi="Arial" w:cs="Arial"/>
          <w:sz w:val="24"/>
          <w:szCs w:val="24"/>
        </w:rPr>
      </w:pPr>
      <w:r w:rsidRPr="00594535">
        <w:rPr>
          <w:rFonts w:ascii="Arial" w:hAnsi="Arial" w:cs="Arial"/>
          <w:bCs/>
          <w:sz w:val="24"/>
          <w:szCs w:val="24"/>
        </w:rPr>
        <w:t xml:space="preserve">Efectele dăunătoare </w:t>
      </w:r>
      <w:r w:rsidRPr="00594535">
        <w:rPr>
          <w:rFonts w:ascii="Arial" w:hAnsi="Arial" w:cs="Arial"/>
          <w:sz w:val="24"/>
          <w:szCs w:val="24"/>
        </w:rPr>
        <w:t>ale zgomotului asupra comunităţilor umane sunt :</w:t>
      </w:r>
    </w:p>
    <w:p w:rsidR="00D4086A" w:rsidRPr="008914B8" w:rsidRDefault="00D4086A" w:rsidP="00252ED3">
      <w:pPr>
        <w:pStyle w:val="ListParagraph"/>
        <w:numPr>
          <w:ilvl w:val="0"/>
          <w:numId w:val="64"/>
        </w:numPr>
        <w:autoSpaceDE w:val="0"/>
        <w:autoSpaceDN w:val="0"/>
        <w:adjustRightInd w:val="0"/>
        <w:jc w:val="both"/>
        <w:rPr>
          <w:rFonts w:ascii="Arial" w:hAnsi="Arial" w:cs="Arial"/>
        </w:rPr>
      </w:pPr>
      <w:r w:rsidRPr="008914B8">
        <w:rPr>
          <w:rFonts w:ascii="Arial" w:hAnsi="Arial" w:cs="Arial"/>
        </w:rPr>
        <w:t>65 dB (A) - risc asupra sănătăţii;</w:t>
      </w:r>
    </w:p>
    <w:p w:rsidR="00D4086A" w:rsidRPr="008914B8" w:rsidRDefault="00D4086A" w:rsidP="00252ED3">
      <w:pPr>
        <w:pStyle w:val="ListParagraph"/>
        <w:numPr>
          <w:ilvl w:val="0"/>
          <w:numId w:val="64"/>
        </w:numPr>
        <w:autoSpaceDE w:val="0"/>
        <w:autoSpaceDN w:val="0"/>
        <w:adjustRightInd w:val="0"/>
        <w:jc w:val="both"/>
        <w:rPr>
          <w:rFonts w:ascii="Arial" w:hAnsi="Arial" w:cs="Arial"/>
        </w:rPr>
      </w:pPr>
      <w:r w:rsidRPr="008914B8">
        <w:rPr>
          <w:rFonts w:ascii="Arial" w:hAnsi="Arial" w:cs="Arial"/>
        </w:rPr>
        <w:t>55 dB (A) - este perturbată comunicarea;</w:t>
      </w:r>
    </w:p>
    <w:p w:rsidR="00D4086A" w:rsidRPr="008914B8" w:rsidRDefault="00D4086A" w:rsidP="00252ED3">
      <w:pPr>
        <w:pStyle w:val="ListParagraph"/>
        <w:numPr>
          <w:ilvl w:val="0"/>
          <w:numId w:val="64"/>
        </w:numPr>
        <w:jc w:val="both"/>
        <w:rPr>
          <w:rFonts w:ascii="Arial" w:hAnsi="Arial" w:cs="Arial"/>
        </w:rPr>
      </w:pPr>
      <w:r w:rsidRPr="008914B8">
        <w:rPr>
          <w:rFonts w:ascii="Arial" w:hAnsi="Arial" w:cs="Arial"/>
        </w:rPr>
        <w:t>45 dB (A) - este perturbat somnul.</w:t>
      </w:r>
    </w:p>
    <w:p w:rsidR="00D4086A" w:rsidRPr="00594535" w:rsidRDefault="00D4086A" w:rsidP="00D4086A">
      <w:pPr>
        <w:autoSpaceDE w:val="0"/>
        <w:autoSpaceDN w:val="0"/>
        <w:adjustRightInd w:val="0"/>
        <w:spacing w:after="0" w:line="240" w:lineRule="auto"/>
        <w:jc w:val="both"/>
        <w:rPr>
          <w:rFonts w:ascii="Arial" w:hAnsi="Arial" w:cs="Arial"/>
          <w:sz w:val="24"/>
          <w:szCs w:val="24"/>
        </w:rPr>
      </w:pPr>
      <w:r w:rsidRPr="00594535">
        <w:rPr>
          <w:rFonts w:ascii="Arial" w:hAnsi="Arial" w:cs="Arial"/>
          <w:sz w:val="24"/>
          <w:szCs w:val="24"/>
        </w:rPr>
        <w:tab/>
        <w:t>Sesizând creşterea poluării fonice şi a efectelor datorate ei, ţările europene s-au aliat pentru a găsi modalităţi de identificare, prevenire şi combatere a zgomotului. Astfel, Uniunea Europeană a emis în acest sens Directiva 2002/49/EC transpusă în legislația românească prin HG nr. 321/2005*** republicată</w:t>
      </w:r>
      <w:r>
        <w:rPr>
          <w:rFonts w:ascii="Arial" w:hAnsi="Arial" w:cs="Arial"/>
          <w:sz w:val="24"/>
          <w:szCs w:val="24"/>
        </w:rPr>
        <w:t>, cu completările ulterioare -</w:t>
      </w:r>
      <w:r w:rsidRPr="00594535">
        <w:rPr>
          <w:rFonts w:ascii="Arial" w:hAnsi="Arial" w:cs="Arial"/>
          <w:sz w:val="24"/>
          <w:szCs w:val="24"/>
        </w:rPr>
        <w:t xml:space="preserve"> privind evaluarea şi gestionarea zgomotului ambi</w:t>
      </w:r>
      <w:r>
        <w:rPr>
          <w:rFonts w:ascii="Arial" w:hAnsi="Arial" w:cs="Arial"/>
          <w:sz w:val="24"/>
          <w:szCs w:val="24"/>
        </w:rPr>
        <w:t>a</w:t>
      </w:r>
      <w:r w:rsidRPr="00594535">
        <w:rPr>
          <w:rFonts w:ascii="Arial" w:hAnsi="Arial" w:cs="Arial"/>
          <w:sz w:val="24"/>
          <w:szCs w:val="24"/>
        </w:rPr>
        <w:t xml:space="preserve">nt, pentru care au fost realizate hărți strategice de zgomot și planuri de acțiune, care pot conduce la o planificarea acustică. În acest sens termenul "strategic" este foarte important, deoarece gestionarea zgomotului ambiental trebuie să se facă pe termen lung. </w:t>
      </w:r>
    </w:p>
    <w:p w:rsidR="00D4086A" w:rsidRDefault="00D4086A" w:rsidP="00D4086A">
      <w:pPr>
        <w:spacing w:after="0" w:line="240" w:lineRule="auto"/>
        <w:jc w:val="both"/>
        <w:rPr>
          <w:rFonts w:ascii="Arial" w:hAnsi="Arial" w:cs="Arial"/>
          <w:b/>
          <w:spacing w:val="-10"/>
          <w:sz w:val="24"/>
          <w:szCs w:val="24"/>
        </w:rPr>
      </w:pPr>
    </w:p>
    <w:p w:rsidR="00D4086A" w:rsidRPr="009474FF" w:rsidRDefault="00D4086A" w:rsidP="00D4086A">
      <w:pPr>
        <w:spacing w:after="0" w:line="240" w:lineRule="auto"/>
        <w:jc w:val="both"/>
        <w:rPr>
          <w:rFonts w:ascii="Arial" w:hAnsi="Arial" w:cs="Arial"/>
          <w:b/>
          <w:spacing w:val="-10"/>
          <w:sz w:val="24"/>
          <w:szCs w:val="24"/>
        </w:rPr>
      </w:pPr>
      <w:r w:rsidRPr="009474FF">
        <w:rPr>
          <w:rFonts w:ascii="Arial" w:hAnsi="Arial" w:cs="Arial"/>
          <w:b/>
          <w:spacing w:val="-10"/>
          <w:sz w:val="24"/>
          <w:szCs w:val="24"/>
        </w:rPr>
        <w:t xml:space="preserve">Măsurători de zgomot efectuate în Municipiul </w:t>
      </w:r>
      <w:r w:rsidR="00217620">
        <w:rPr>
          <w:rFonts w:ascii="Arial" w:hAnsi="Arial" w:cs="Arial"/>
          <w:b/>
          <w:spacing w:val="-10"/>
          <w:sz w:val="24"/>
          <w:szCs w:val="24"/>
        </w:rPr>
        <w:t>Brăila</w:t>
      </w:r>
    </w:p>
    <w:p w:rsidR="00D4086A" w:rsidRPr="009474FF" w:rsidRDefault="00D4086A" w:rsidP="00D4086A">
      <w:pPr>
        <w:spacing w:after="0" w:line="240" w:lineRule="auto"/>
        <w:jc w:val="both"/>
        <w:rPr>
          <w:rFonts w:ascii="Arial" w:hAnsi="Arial" w:cs="Arial"/>
          <w:sz w:val="24"/>
          <w:szCs w:val="24"/>
        </w:rPr>
      </w:pPr>
      <w:r w:rsidRPr="009474FF">
        <w:rPr>
          <w:rFonts w:ascii="Arial" w:hAnsi="Arial" w:cs="Arial"/>
          <w:b/>
          <w:sz w:val="24"/>
          <w:szCs w:val="24"/>
        </w:rPr>
        <w:t>Nivelul de zgomot</w:t>
      </w:r>
      <w:r w:rsidRPr="009474FF">
        <w:rPr>
          <w:rFonts w:ascii="Arial" w:hAnsi="Arial" w:cs="Arial"/>
          <w:sz w:val="24"/>
          <w:szCs w:val="24"/>
        </w:rPr>
        <w:t xml:space="preserve"> </w:t>
      </w:r>
      <w:r w:rsidRPr="00BC381C">
        <w:rPr>
          <w:rFonts w:ascii="Arial" w:hAnsi="Arial" w:cs="Arial"/>
          <w:b/>
          <w:sz w:val="24"/>
          <w:szCs w:val="24"/>
        </w:rPr>
        <w:t>urban</w:t>
      </w:r>
      <w:r w:rsidRPr="009474FF">
        <w:rPr>
          <w:rFonts w:ascii="Arial" w:hAnsi="Arial" w:cs="Arial"/>
          <w:sz w:val="24"/>
          <w:szCs w:val="24"/>
        </w:rPr>
        <w:t xml:space="preserve"> în decursul anului 2016 s-a determinat în 43 de puncte reprezentative astfel: </w:t>
      </w:r>
    </w:p>
    <w:p w:rsidR="00D4086A" w:rsidRPr="009474FF" w:rsidRDefault="00D4086A" w:rsidP="00252ED3">
      <w:pPr>
        <w:pStyle w:val="ListParagraph"/>
        <w:numPr>
          <w:ilvl w:val="0"/>
          <w:numId w:val="65"/>
        </w:numPr>
        <w:jc w:val="both"/>
        <w:rPr>
          <w:rFonts w:ascii="Arial" w:hAnsi="Arial" w:cs="Arial"/>
        </w:rPr>
      </w:pPr>
      <w:r w:rsidRPr="009474FF">
        <w:rPr>
          <w:rFonts w:ascii="Arial" w:hAnsi="Arial" w:cs="Arial"/>
        </w:rPr>
        <w:t>17 puncte pe diferite categorii de străzi cu lăţimi de 3m, 7m, 14m şi respectiv 21m;</w:t>
      </w:r>
    </w:p>
    <w:p w:rsidR="00D4086A" w:rsidRPr="009474FF" w:rsidRDefault="00D4086A" w:rsidP="00252ED3">
      <w:pPr>
        <w:pStyle w:val="ListParagraph"/>
        <w:numPr>
          <w:ilvl w:val="0"/>
          <w:numId w:val="65"/>
        </w:numPr>
        <w:jc w:val="both"/>
        <w:rPr>
          <w:rFonts w:ascii="Arial" w:hAnsi="Arial" w:cs="Arial"/>
          <w:spacing w:val="-10"/>
        </w:rPr>
      </w:pPr>
      <w:r w:rsidRPr="009474FF">
        <w:rPr>
          <w:rFonts w:ascii="Arial" w:hAnsi="Arial" w:cs="Arial"/>
        </w:rPr>
        <w:t>26 puncte expertizate situate la limita exterioară a parcurilor, zonelor de recreere, tratament medical şi balneoclimateric, incintelor de şcoli, pieţelor şi spaţiilor comerciale, incintelor  industriale, parcajelor auto şi zonelor rezidenţiale.</w:t>
      </w:r>
    </w:p>
    <w:p w:rsidR="00D4086A" w:rsidRPr="009474FF" w:rsidRDefault="00D4086A" w:rsidP="00D4086A">
      <w:pPr>
        <w:spacing w:after="0" w:line="240" w:lineRule="auto"/>
        <w:jc w:val="both"/>
        <w:rPr>
          <w:rFonts w:ascii="Arial" w:hAnsi="Arial" w:cs="Arial"/>
          <w:bCs/>
          <w:sz w:val="24"/>
          <w:szCs w:val="24"/>
        </w:rPr>
      </w:pPr>
      <w:r w:rsidRPr="009474FF">
        <w:rPr>
          <w:rFonts w:ascii="Arial" w:hAnsi="Arial" w:cs="Arial"/>
          <w:bCs/>
          <w:sz w:val="24"/>
          <w:szCs w:val="24"/>
        </w:rPr>
        <w:t>În tabelul VIII.1.2.1.1. sunt prezentate date privind monitorizarea zgomotului urban din anul 2016, după cum urmează:</w:t>
      </w:r>
    </w:p>
    <w:p w:rsidR="00D4086A" w:rsidRPr="009474FF" w:rsidRDefault="00D4086A" w:rsidP="00D4086A">
      <w:pPr>
        <w:spacing w:after="0" w:line="240" w:lineRule="auto"/>
        <w:jc w:val="both"/>
        <w:rPr>
          <w:rFonts w:ascii="Arial" w:hAnsi="Arial" w:cs="Arial"/>
          <w:b/>
          <w:bCs/>
          <w:sz w:val="24"/>
          <w:szCs w:val="24"/>
        </w:rPr>
      </w:pPr>
    </w:p>
    <w:p w:rsidR="00D4086A" w:rsidRPr="00594535" w:rsidRDefault="00D4086A" w:rsidP="00D4086A">
      <w:pPr>
        <w:spacing w:after="0" w:line="240" w:lineRule="auto"/>
        <w:jc w:val="both"/>
        <w:rPr>
          <w:rFonts w:ascii="Arial" w:hAnsi="Arial" w:cs="Arial"/>
          <w:bCs/>
          <w:sz w:val="24"/>
          <w:szCs w:val="24"/>
        </w:rPr>
      </w:pPr>
      <w:r w:rsidRPr="00121D9E">
        <w:rPr>
          <w:rFonts w:ascii="Arial" w:hAnsi="Arial" w:cs="Arial"/>
          <w:bCs/>
          <w:sz w:val="24"/>
          <w:szCs w:val="24"/>
        </w:rPr>
        <w:t>Tabel VIII.1.2.1.1.</w:t>
      </w:r>
      <w:r w:rsidRPr="00594535">
        <w:rPr>
          <w:rFonts w:ascii="Arial" w:hAnsi="Arial" w:cs="Arial"/>
          <w:b/>
          <w:bCs/>
          <w:sz w:val="24"/>
          <w:szCs w:val="24"/>
        </w:rPr>
        <w:t xml:space="preserve"> </w:t>
      </w:r>
      <w:r w:rsidRPr="00594535">
        <w:rPr>
          <w:rFonts w:ascii="Arial" w:hAnsi="Arial" w:cs="Arial"/>
          <w:bCs/>
          <w:sz w:val="24"/>
          <w:szCs w:val="24"/>
        </w:rPr>
        <w:t>privind monitorizarea zgomotului urban în anul 201</w:t>
      </w:r>
      <w:r>
        <w:rPr>
          <w:rFonts w:ascii="Arial" w:hAnsi="Arial" w:cs="Arial"/>
          <w:bCs/>
          <w:sz w:val="24"/>
          <w:szCs w:val="24"/>
        </w:rPr>
        <w:t>6</w:t>
      </w:r>
    </w:p>
    <w:p w:rsidR="00D4086A" w:rsidRPr="00594535" w:rsidRDefault="00D4086A" w:rsidP="00D4086A">
      <w:pPr>
        <w:spacing w:after="0" w:line="240" w:lineRule="auto"/>
        <w:jc w:val="both"/>
        <w:rPr>
          <w:rFonts w:ascii="Arial" w:hAnsi="Arial" w:cs="Arial"/>
          <w:bCs/>
          <w:sz w:val="24"/>
          <w:szCs w:val="24"/>
        </w:rPr>
      </w:pPr>
    </w:p>
    <w:tbl>
      <w:tblPr>
        <w:tblW w:w="4996" w:type="pct"/>
        <w:jc w:val="center"/>
        <w:tblInd w:w="4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tblPr>
      <w:tblGrid>
        <w:gridCol w:w="2130"/>
        <w:gridCol w:w="3166"/>
        <w:gridCol w:w="2407"/>
        <w:gridCol w:w="1275"/>
        <w:gridCol w:w="1275"/>
      </w:tblGrid>
      <w:tr w:rsidR="00D4086A" w:rsidRPr="00594535" w:rsidTr="006157E7">
        <w:trPr>
          <w:trHeight w:val="1419"/>
          <w:jc w:val="center"/>
        </w:trPr>
        <w:tc>
          <w:tcPr>
            <w:tcW w:w="1038" w:type="pct"/>
            <w:tcBorders>
              <w:top w:val="single" w:sz="12" w:space="0" w:color="auto"/>
              <w:left w:val="single" w:sz="12" w:space="0" w:color="auto"/>
              <w:bottom w:val="single" w:sz="12" w:space="0" w:color="auto"/>
              <w:right w:val="single" w:sz="12" w:space="0" w:color="auto"/>
            </w:tcBorders>
            <w:shd w:val="clear" w:color="auto" w:fill="DAEEF3"/>
            <w:vAlign w:val="center"/>
          </w:tcPr>
          <w:p w:rsidR="00D4086A" w:rsidRPr="00121D9E" w:rsidRDefault="00D4086A" w:rsidP="0033527B">
            <w:pPr>
              <w:spacing w:after="0" w:line="240" w:lineRule="auto"/>
              <w:jc w:val="center"/>
              <w:rPr>
                <w:rFonts w:ascii="Arial" w:hAnsi="Arial" w:cs="Arial"/>
                <w:b/>
              </w:rPr>
            </w:pPr>
            <w:r w:rsidRPr="00121D9E">
              <w:rPr>
                <w:rFonts w:ascii="Arial" w:hAnsi="Arial" w:cs="Arial"/>
                <w:b/>
              </w:rPr>
              <w:t>Tip măsurătoare</w:t>
            </w:r>
          </w:p>
          <w:p w:rsidR="00D4086A" w:rsidRPr="00121D9E" w:rsidRDefault="00D4086A" w:rsidP="0033527B">
            <w:pPr>
              <w:spacing w:after="0" w:line="240" w:lineRule="auto"/>
              <w:jc w:val="center"/>
              <w:rPr>
                <w:rFonts w:ascii="Arial" w:hAnsi="Arial" w:cs="Arial"/>
                <w:b/>
              </w:rPr>
            </w:pPr>
            <w:r w:rsidRPr="00121D9E">
              <w:rPr>
                <w:rFonts w:ascii="Arial" w:hAnsi="Arial" w:cs="Arial"/>
                <w:b/>
              </w:rPr>
              <w:t>zgomot</w:t>
            </w:r>
          </w:p>
        </w:tc>
        <w:tc>
          <w:tcPr>
            <w:tcW w:w="1544" w:type="pct"/>
            <w:tcBorders>
              <w:top w:val="single" w:sz="12" w:space="0" w:color="auto"/>
              <w:left w:val="single" w:sz="12" w:space="0" w:color="auto"/>
              <w:bottom w:val="single" w:sz="12" w:space="0" w:color="auto"/>
              <w:right w:val="single" w:sz="12" w:space="0" w:color="auto"/>
            </w:tcBorders>
            <w:shd w:val="clear" w:color="auto" w:fill="DAEEF3"/>
            <w:vAlign w:val="center"/>
          </w:tcPr>
          <w:p w:rsidR="00D4086A" w:rsidRPr="00121D9E" w:rsidRDefault="00D4086A" w:rsidP="0033527B">
            <w:pPr>
              <w:spacing w:after="0" w:line="240" w:lineRule="auto"/>
              <w:jc w:val="center"/>
              <w:rPr>
                <w:rFonts w:ascii="Arial" w:hAnsi="Arial" w:cs="Arial"/>
                <w:b/>
              </w:rPr>
            </w:pPr>
            <w:r w:rsidRPr="00121D9E">
              <w:rPr>
                <w:rFonts w:ascii="Arial" w:hAnsi="Arial" w:cs="Arial"/>
                <w:b/>
              </w:rPr>
              <w:t>Punct de măsurare</w:t>
            </w:r>
          </w:p>
        </w:tc>
        <w:tc>
          <w:tcPr>
            <w:tcW w:w="1174" w:type="pct"/>
            <w:tcBorders>
              <w:top w:val="single" w:sz="12" w:space="0" w:color="auto"/>
              <w:left w:val="single" w:sz="12" w:space="0" w:color="auto"/>
              <w:bottom w:val="single" w:sz="12" w:space="0" w:color="auto"/>
              <w:right w:val="single" w:sz="12" w:space="0" w:color="auto"/>
            </w:tcBorders>
            <w:shd w:val="clear" w:color="auto" w:fill="DAEEF3"/>
            <w:vAlign w:val="center"/>
          </w:tcPr>
          <w:p w:rsidR="00D4086A" w:rsidRPr="00121D9E" w:rsidRDefault="00D4086A" w:rsidP="0033527B">
            <w:pPr>
              <w:spacing w:after="0" w:line="240" w:lineRule="auto"/>
              <w:jc w:val="center"/>
              <w:rPr>
                <w:rFonts w:ascii="Arial" w:hAnsi="Arial" w:cs="Arial"/>
                <w:b/>
              </w:rPr>
            </w:pPr>
            <w:r w:rsidRPr="00121D9E">
              <w:rPr>
                <w:rFonts w:ascii="Arial" w:hAnsi="Arial" w:cs="Arial"/>
                <w:b/>
              </w:rPr>
              <w:t>Nivelul echivalent de zgomot  maxim măsurat dB(A)</w:t>
            </w:r>
          </w:p>
        </w:tc>
        <w:tc>
          <w:tcPr>
            <w:tcW w:w="622" w:type="pct"/>
            <w:tcBorders>
              <w:top w:val="single" w:sz="12" w:space="0" w:color="auto"/>
              <w:left w:val="single" w:sz="12" w:space="0" w:color="auto"/>
              <w:bottom w:val="single" w:sz="12" w:space="0" w:color="auto"/>
              <w:right w:val="single" w:sz="12" w:space="0" w:color="auto"/>
            </w:tcBorders>
            <w:shd w:val="clear" w:color="auto" w:fill="DAEEF3"/>
            <w:vAlign w:val="center"/>
          </w:tcPr>
          <w:p w:rsidR="00D4086A" w:rsidRPr="00121D9E" w:rsidRDefault="00D4086A" w:rsidP="0033527B">
            <w:pPr>
              <w:spacing w:after="0" w:line="240" w:lineRule="auto"/>
              <w:jc w:val="center"/>
              <w:rPr>
                <w:rFonts w:ascii="Arial" w:hAnsi="Arial" w:cs="Arial"/>
                <w:b/>
              </w:rPr>
            </w:pPr>
            <w:r w:rsidRPr="00121D9E">
              <w:rPr>
                <w:rFonts w:ascii="Arial" w:hAnsi="Arial" w:cs="Arial"/>
                <w:b/>
              </w:rPr>
              <w:t>Număr depăşiri</w:t>
            </w:r>
          </w:p>
          <w:p w:rsidR="00D4086A" w:rsidRPr="00121D9E" w:rsidRDefault="00D4086A" w:rsidP="0033527B">
            <w:pPr>
              <w:spacing w:after="0" w:line="240" w:lineRule="auto"/>
              <w:jc w:val="center"/>
              <w:rPr>
                <w:rFonts w:ascii="Arial" w:hAnsi="Arial" w:cs="Arial"/>
                <w:b/>
              </w:rPr>
            </w:pPr>
            <w:r w:rsidRPr="00121D9E">
              <w:rPr>
                <w:rFonts w:ascii="Arial" w:hAnsi="Arial" w:cs="Arial"/>
                <w:b/>
              </w:rPr>
              <w:t>2016</w:t>
            </w:r>
          </w:p>
        </w:tc>
        <w:tc>
          <w:tcPr>
            <w:tcW w:w="622" w:type="pct"/>
            <w:tcBorders>
              <w:top w:val="single" w:sz="12" w:space="0" w:color="auto"/>
              <w:left w:val="single" w:sz="12" w:space="0" w:color="auto"/>
              <w:bottom w:val="single" w:sz="12" w:space="0" w:color="auto"/>
              <w:right w:val="single" w:sz="12" w:space="0" w:color="auto"/>
            </w:tcBorders>
            <w:shd w:val="clear" w:color="auto" w:fill="DAEEF3"/>
            <w:vAlign w:val="center"/>
          </w:tcPr>
          <w:p w:rsidR="00D4086A" w:rsidRPr="00121D9E" w:rsidRDefault="00D4086A" w:rsidP="0033527B">
            <w:pPr>
              <w:spacing w:after="0" w:line="240" w:lineRule="auto"/>
              <w:jc w:val="center"/>
              <w:rPr>
                <w:rFonts w:ascii="Arial" w:hAnsi="Arial" w:cs="Arial"/>
                <w:b/>
              </w:rPr>
            </w:pPr>
            <w:r w:rsidRPr="00121D9E">
              <w:rPr>
                <w:rFonts w:ascii="Arial" w:hAnsi="Arial" w:cs="Arial"/>
                <w:b/>
              </w:rPr>
              <w:t>Nivelul echiv. de zgomot admisibil dB(A)</w:t>
            </w:r>
          </w:p>
        </w:tc>
      </w:tr>
      <w:tr w:rsidR="00D4086A" w:rsidRPr="00594535" w:rsidTr="006157E7">
        <w:trPr>
          <w:trHeight w:val="249"/>
          <w:jc w:val="center"/>
        </w:trPr>
        <w:tc>
          <w:tcPr>
            <w:tcW w:w="1038"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Parcuri, zone de recreere şi odihnă</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Parcul Grădina Mare</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59,50</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4</w:t>
            </w:r>
          </w:p>
        </w:tc>
        <w:tc>
          <w:tcPr>
            <w:tcW w:w="622" w:type="pct"/>
            <w:vMerge w:val="restart"/>
            <w:tcBorders>
              <w:top w:val="single" w:sz="12"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45</w:t>
            </w:r>
          </w:p>
        </w:tc>
      </w:tr>
      <w:tr w:rsidR="00D4086A" w:rsidRPr="00594535" w:rsidTr="006157E7">
        <w:trPr>
          <w:trHeight w:val="125"/>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Parcul Monument</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56,69</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4</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175"/>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Faleza Dunării</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58,37</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4</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175"/>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Staţiunea Lacu – Sărat</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56,48</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4</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175"/>
          <w:jc w:val="center"/>
        </w:trPr>
        <w:tc>
          <w:tcPr>
            <w:tcW w:w="1038"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Spitalul Sf. Spiridon</w:t>
            </w:r>
          </w:p>
        </w:tc>
        <w:tc>
          <w:tcPr>
            <w:tcW w:w="1174"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65,31</w:t>
            </w:r>
          </w:p>
        </w:tc>
        <w:tc>
          <w:tcPr>
            <w:tcW w:w="622"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4</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Incinte de școli, spații de joacă</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Liceul Gh. M. Murgoci</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62,46</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val="restar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75</w:t>
            </w:r>
          </w:p>
        </w:tc>
      </w:tr>
      <w:tr w:rsidR="00D4086A" w:rsidRPr="00594535" w:rsidTr="006157E7">
        <w:trPr>
          <w:trHeight w:val="246"/>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Liceul N. Iorga</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76,42</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1</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Liceul N. Bălcescu</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66,62</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Şcoala Generală nr. 7</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60,69</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val="restart"/>
            <w:tcBorders>
              <w:top w:val="single" w:sz="12" w:space="0" w:color="auto"/>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Piețe, spații comerciale, restaurante în aer liber</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Piaţa Concordia</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67,74</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2</w:t>
            </w:r>
          </w:p>
        </w:tc>
        <w:tc>
          <w:tcPr>
            <w:tcW w:w="622" w:type="pct"/>
            <w:vMerge w:val="restart"/>
            <w:tcBorders>
              <w:top w:val="single" w:sz="8" w:space="0" w:color="auto"/>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65</w:t>
            </w:r>
          </w:p>
        </w:tc>
      </w:tr>
      <w:tr w:rsidR="00D4086A" w:rsidRPr="00594535" w:rsidTr="006157E7">
        <w:trPr>
          <w:trHeight w:val="246"/>
          <w:jc w:val="center"/>
        </w:trPr>
        <w:tc>
          <w:tcPr>
            <w:tcW w:w="1038" w:type="pct"/>
            <w:vMerge/>
            <w:tcBorders>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Piaţa Halelor</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73,75</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3</w:t>
            </w:r>
          </w:p>
        </w:tc>
        <w:tc>
          <w:tcPr>
            <w:tcW w:w="622" w:type="pct"/>
            <w:vMerge/>
            <w:tcBorders>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tcBorders>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Piaţa Radu Negru</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59,15</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tcBorders>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bottom"/>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Piaţa Microhală</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65,66</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1</w:t>
            </w:r>
          </w:p>
        </w:tc>
        <w:tc>
          <w:tcPr>
            <w:tcW w:w="622" w:type="pct"/>
            <w:vMerge/>
            <w:tcBorders>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tcBorders>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Restaurant Continental</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67,31</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4</w:t>
            </w:r>
          </w:p>
        </w:tc>
        <w:tc>
          <w:tcPr>
            <w:tcW w:w="622" w:type="pct"/>
            <w:vMerge/>
            <w:tcBorders>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tcBorders>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Restaurant Swing</w:t>
            </w:r>
          </w:p>
        </w:tc>
        <w:tc>
          <w:tcPr>
            <w:tcW w:w="1174"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58,51</w:t>
            </w:r>
          </w:p>
        </w:tc>
        <w:tc>
          <w:tcPr>
            <w:tcW w:w="622"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Incinte industriale</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S.C. Progresu S.A.</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57,62</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val="restar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65</w:t>
            </w:r>
          </w:p>
        </w:tc>
      </w:tr>
      <w:tr w:rsidR="00D4086A" w:rsidRPr="00594535" w:rsidTr="006157E7">
        <w:trPr>
          <w:trHeight w:val="246"/>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S.C. Farex S.A.</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51,40</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46"/>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S.C. Laminoru S.A.</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63,58</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429"/>
          <w:jc w:val="center"/>
        </w:trPr>
        <w:tc>
          <w:tcPr>
            <w:tcW w:w="1038"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 xml:space="preserve">Şantier Naval </w:t>
            </w:r>
            <w:r>
              <w:rPr>
                <w:rFonts w:ascii="Arial" w:hAnsi="Arial" w:cs="Arial"/>
                <w:sz w:val="24"/>
                <w:szCs w:val="24"/>
              </w:rPr>
              <w:t>Vard S.A</w:t>
            </w:r>
          </w:p>
        </w:tc>
        <w:tc>
          <w:tcPr>
            <w:tcW w:w="1174"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58,78</w:t>
            </w:r>
          </w:p>
        </w:tc>
        <w:tc>
          <w:tcPr>
            <w:tcW w:w="622"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429"/>
          <w:jc w:val="center"/>
        </w:trPr>
        <w:tc>
          <w:tcPr>
            <w:tcW w:w="1038"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Parcaje auto</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Supermarket XXL</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57,81</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val="restar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90</w:t>
            </w:r>
          </w:p>
        </w:tc>
      </w:tr>
      <w:tr w:rsidR="00D4086A" w:rsidRPr="00594535" w:rsidTr="006157E7">
        <w:trPr>
          <w:trHeight w:val="429"/>
          <w:jc w:val="center"/>
        </w:trPr>
        <w:tc>
          <w:tcPr>
            <w:tcW w:w="1038"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Supermarket Billa</w:t>
            </w:r>
          </w:p>
        </w:tc>
        <w:tc>
          <w:tcPr>
            <w:tcW w:w="1174"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66,76</w:t>
            </w:r>
          </w:p>
        </w:tc>
        <w:tc>
          <w:tcPr>
            <w:tcW w:w="622"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429"/>
          <w:jc w:val="center"/>
        </w:trPr>
        <w:tc>
          <w:tcPr>
            <w:tcW w:w="1038"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Zone rezidențiale</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Teatrul Maria Filotti</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64,96</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4</w:t>
            </w:r>
          </w:p>
        </w:tc>
        <w:tc>
          <w:tcPr>
            <w:tcW w:w="622" w:type="pct"/>
            <w:vMerge w:val="restar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50</w:t>
            </w:r>
          </w:p>
        </w:tc>
      </w:tr>
      <w:tr w:rsidR="00D4086A" w:rsidRPr="00594535" w:rsidTr="006157E7">
        <w:trPr>
          <w:trHeight w:val="429"/>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Şoseaua-Buzăului (Supermarket Billa)</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57,88</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4</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429"/>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Faleza Dunării</w:t>
            </w:r>
            <w:r>
              <w:rPr>
                <w:rFonts w:ascii="Arial" w:hAnsi="Arial" w:cs="Arial"/>
                <w:sz w:val="24"/>
                <w:szCs w:val="24"/>
              </w:rPr>
              <w:t xml:space="preserve"> (Promedica)</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56,86</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1</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429"/>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Default="00D4086A" w:rsidP="0033527B">
            <w:pPr>
              <w:spacing w:after="0" w:line="240" w:lineRule="auto"/>
              <w:rPr>
                <w:rFonts w:ascii="Arial" w:hAnsi="Arial" w:cs="Arial"/>
                <w:sz w:val="24"/>
                <w:szCs w:val="24"/>
              </w:rPr>
            </w:pPr>
            <w:r w:rsidRPr="00594535">
              <w:rPr>
                <w:rFonts w:ascii="Arial" w:hAnsi="Arial" w:cs="Arial"/>
                <w:sz w:val="24"/>
                <w:szCs w:val="24"/>
              </w:rPr>
              <w:t xml:space="preserve">Faleza Dunării </w:t>
            </w:r>
          </w:p>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(Direcţia de Finanţe)</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59,20</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4</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429"/>
          <w:jc w:val="center"/>
        </w:trPr>
        <w:tc>
          <w:tcPr>
            <w:tcW w:w="1038"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Cartier Hipodrom</w:t>
            </w:r>
          </w:p>
        </w:tc>
        <w:tc>
          <w:tcPr>
            <w:tcW w:w="1174"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60,97</w:t>
            </w:r>
          </w:p>
        </w:tc>
        <w:tc>
          <w:tcPr>
            <w:tcW w:w="622"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3</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109"/>
          <w:jc w:val="center"/>
        </w:trPr>
        <w:tc>
          <w:tcPr>
            <w:tcW w:w="1038"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Stradă de categorie tehnică I, magistrală</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B-dul Dorobanţilor/Apollo</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77,37</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val="restar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80</w:t>
            </w:r>
          </w:p>
        </w:tc>
      </w:tr>
      <w:tr w:rsidR="00D4086A" w:rsidRPr="00594535" w:rsidTr="006157E7">
        <w:trPr>
          <w:trHeight w:val="78"/>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B-dul Independenţei – APM</w:t>
            </w:r>
            <w:r>
              <w:rPr>
                <w:rFonts w:ascii="Arial" w:hAnsi="Arial" w:cs="Arial"/>
                <w:sz w:val="24"/>
                <w:szCs w:val="24"/>
              </w:rPr>
              <w:t xml:space="preserve"> </w:t>
            </w:r>
            <w:r w:rsidR="00217620">
              <w:rPr>
                <w:rFonts w:ascii="Arial" w:hAnsi="Arial" w:cs="Arial"/>
                <w:sz w:val="24"/>
                <w:szCs w:val="24"/>
              </w:rPr>
              <w:t>Brăila</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65,26</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78"/>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Calea Călăraşi IAS-IMB</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72,97</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78"/>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Calea Călăraşi/Dorobanţi</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69,93</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78"/>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Calea Galaţi/Dorobanţi</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71,71</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78"/>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Calea Călăraşi/B-dul Independenţei</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72,77</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184"/>
          <w:jc w:val="center"/>
        </w:trPr>
        <w:tc>
          <w:tcPr>
            <w:tcW w:w="1038"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Calea Călăraşi/Griviţa</w:t>
            </w:r>
          </w:p>
        </w:tc>
        <w:tc>
          <w:tcPr>
            <w:tcW w:w="1174"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71,68</w:t>
            </w:r>
          </w:p>
        </w:tc>
        <w:tc>
          <w:tcPr>
            <w:tcW w:w="622"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12"/>
          <w:jc w:val="center"/>
        </w:trPr>
        <w:tc>
          <w:tcPr>
            <w:tcW w:w="1038" w:type="pct"/>
            <w:vMerge w:val="restart"/>
            <w:tcBorders>
              <w:top w:val="single" w:sz="12" w:space="0" w:color="auto"/>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Stradă de categorie tehnică II, de legătură</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Centură – IDMS</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77,07</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3</w:t>
            </w:r>
          </w:p>
        </w:tc>
        <w:tc>
          <w:tcPr>
            <w:tcW w:w="622" w:type="pct"/>
            <w:vMerge w:val="restart"/>
            <w:tcBorders>
              <w:top w:val="single" w:sz="8" w:space="0" w:color="auto"/>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70</w:t>
            </w:r>
          </w:p>
        </w:tc>
      </w:tr>
      <w:tr w:rsidR="00D4086A" w:rsidRPr="00594535" w:rsidTr="006157E7">
        <w:trPr>
          <w:trHeight w:val="212"/>
          <w:jc w:val="center"/>
        </w:trPr>
        <w:tc>
          <w:tcPr>
            <w:tcW w:w="1038" w:type="pct"/>
            <w:vMerge/>
            <w:tcBorders>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Calea Galaţi (Pţa. Traian)</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68,39</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12"/>
          <w:jc w:val="center"/>
        </w:trPr>
        <w:tc>
          <w:tcPr>
            <w:tcW w:w="1038" w:type="pct"/>
            <w:vMerge/>
            <w:tcBorders>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Default="00D4086A" w:rsidP="0033527B">
            <w:pPr>
              <w:spacing w:after="0" w:line="240" w:lineRule="auto"/>
              <w:jc w:val="both"/>
              <w:rPr>
                <w:rFonts w:ascii="Arial" w:hAnsi="Arial" w:cs="Arial"/>
                <w:sz w:val="24"/>
                <w:szCs w:val="24"/>
              </w:rPr>
            </w:pPr>
            <w:r w:rsidRPr="00594535">
              <w:rPr>
                <w:rFonts w:ascii="Arial" w:hAnsi="Arial" w:cs="Arial"/>
                <w:sz w:val="24"/>
                <w:szCs w:val="24"/>
              </w:rPr>
              <w:t>1 Decem</w:t>
            </w:r>
            <w:r w:rsidR="007C1699">
              <w:rPr>
                <w:rFonts w:ascii="Arial" w:hAnsi="Arial" w:cs="Arial"/>
                <w:sz w:val="24"/>
                <w:szCs w:val="24"/>
              </w:rPr>
              <w:t>BR</w:t>
            </w:r>
            <w:r w:rsidRPr="00594535">
              <w:rPr>
                <w:rFonts w:ascii="Arial" w:hAnsi="Arial" w:cs="Arial"/>
                <w:sz w:val="24"/>
                <w:szCs w:val="24"/>
              </w:rPr>
              <w:t>ie 1918</w:t>
            </w:r>
          </w:p>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/Griviţa</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72,44</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3</w:t>
            </w:r>
          </w:p>
        </w:tc>
        <w:tc>
          <w:tcPr>
            <w:tcW w:w="622" w:type="pct"/>
            <w:vMerge/>
            <w:tcBorders>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75"/>
          <w:jc w:val="center"/>
        </w:trPr>
        <w:tc>
          <w:tcPr>
            <w:tcW w:w="1038" w:type="pct"/>
            <w:vMerge/>
            <w:tcBorders>
              <w:left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4"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1Decem</w:t>
            </w:r>
            <w:r w:rsidR="007C1699">
              <w:rPr>
                <w:rFonts w:ascii="Arial" w:hAnsi="Arial" w:cs="Arial"/>
                <w:sz w:val="24"/>
                <w:szCs w:val="24"/>
              </w:rPr>
              <w:t>BR</w:t>
            </w:r>
            <w:r w:rsidRPr="00594535">
              <w:rPr>
                <w:rFonts w:ascii="Arial" w:hAnsi="Arial" w:cs="Arial"/>
                <w:sz w:val="24"/>
                <w:szCs w:val="24"/>
              </w:rPr>
              <w:t>ie 1918/Dorobanţi</w:t>
            </w:r>
          </w:p>
        </w:tc>
        <w:tc>
          <w:tcPr>
            <w:tcW w:w="1174" w:type="pct"/>
            <w:tcBorders>
              <w:top w:val="single" w:sz="8" w:space="0" w:color="auto"/>
              <w:left w:val="single" w:sz="12" w:space="0" w:color="auto"/>
              <w:bottom w:val="single" w:sz="4"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70,78</w:t>
            </w:r>
          </w:p>
        </w:tc>
        <w:tc>
          <w:tcPr>
            <w:tcW w:w="622" w:type="pct"/>
            <w:tcBorders>
              <w:top w:val="single" w:sz="8" w:space="0" w:color="auto"/>
              <w:left w:val="single" w:sz="12" w:space="0" w:color="auto"/>
              <w:bottom w:val="single" w:sz="4"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2</w:t>
            </w:r>
          </w:p>
        </w:tc>
        <w:tc>
          <w:tcPr>
            <w:tcW w:w="622" w:type="pct"/>
            <w:vMerge/>
            <w:tcBorders>
              <w:left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75"/>
          <w:jc w:val="center"/>
        </w:trPr>
        <w:tc>
          <w:tcPr>
            <w:tcW w:w="1038" w:type="pct"/>
            <w:vMerge/>
            <w:tcBorders>
              <w:left w:val="single" w:sz="12" w:space="0" w:color="auto"/>
              <w:bottom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4"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line="240" w:lineRule="auto"/>
              <w:jc w:val="both"/>
              <w:rPr>
                <w:rFonts w:ascii="Arial" w:hAnsi="Arial" w:cs="Arial"/>
                <w:sz w:val="24"/>
                <w:szCs w:val="24"/>
              </w:rPr>
            </w:pPr>
            <w:r w:rsidRPr="005B6694">
              <w:rPr>
                <w:rFonts w:ascii="Arial" w:hAnsi="Arial" w:cs="Arial"/>
                <w:sz w:val="24"/>
                <w:szCs w:val="24"/>
              </w:rPr>
              <w:t>Comuna din Paris/Focşani</w:t>
            </w:r>
          </w:p>
        </w:tc>
        <w:tc>
          <w:tcPr>
            <w:tcW w:w="1174" w:type="pct"/>
            <w:tcBorders>
              <w:top w:val="single" w:sz="4"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68,06</w:t>
            </w:r>
          </w:p>
        </w:tc>
        <w:tc>
          <w:tcPr>
            <w:tcW w:w="622" w:type="pct"/>
            <w:tcBorders>
              <w:top w:val="single" w:sz="4"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11"/>
          <w:jc w:val="center"/>
        </w:trPr>
        <w:tc>
          <w:tcPr>
            <w:tcW w:w="1038"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lastRenderedPageBreak/>
              <w:t>Stradă de categorie tehnică III, de colectare</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Rahova/Biserica Sf. Constantin</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64,48</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val="restar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65</w:t>
            </w:r>
          </w:p>
        </w:tc>
      </w:tr>
      <w:tr w:rsidR="00D4086A" w:rsidRPr="00594535" w:rsidTr="006157E7">
        <w:trPr>
          <w:trHeight w:val="211"/>
          <w:jc w:val="center"/>
        </w:trPr>
        <w:tc>
          <w:tcPr>
            <w:tcW w:w="1038" w:type="pct"/>
            <w:vMerge/>
            <w:tcBorders>
              <w:top w:val="single" w:sz="8"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line="240" w:lineRule="auto"/>
              <w:jc w:val="both"/>
              <w:rPr>
                <w:rFonts w:ascii="Arial" w:hAnsi="Arial" w:cs="Arial"/>
                <w:sz w:val="24"/>
                <w:szCs w:val="24"/>
              </w:rPr>
            </w:pPr>
            <w:r w:rsidRPr="005B6694">
              <w:rPr>
                <w:rFonts w:ascii="Arial" w:hAnsi="Arial" w:cs="Arial"/>
                <w:sz w:val="24"/>
                <w:szCs w:val="24"/>
              </w:rPr>
              <w:t>Roşiori /Sf. Constantin</w:t>
            </w:r>
          </w:p>
        </w:tc>
        <w:tc>
          <w:tcPr>
            <w:tcW w:w="1174"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68,16</w:t>
            </w:r>
          </w:p>
        </w:tc>
        <w:tc>
          <w:tcPr>
            <w:tcW w:w="622" w:type="pct"/>
            <w:tcBorders>
              <w:top w:val="single" w:sz="8"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2</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11"/>
          <w:jc w:val="center"/>
        </w:trPr>
        <w:tc>
          <w:tcPr>
            <w:tcW w:w="1038"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p>
        </w:tc>
        <w:tc>
          <w:tcPr>
            <w:tcW w:w="1544" w:type="pc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Chişinău/Grigore Alexandrescu</w:t>
            </w:r>
          </w:p>
        </w:tc>
        <w:tc>
          <w:tcPr>
            <w:tcW w:w="1174"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67,32</w:t>
            </w:r>
          </w:p>
        </w:tc>
        <w:tc>
          <w:tcPr>
            <w:tcW w:w="622"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3</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p>
        </w:tc>
      </w:tr>
      <w:tr w:rsidR="00D4086A" w:rsidRPr="00594535" w:rsidTr="006157E7">
        <w:trPr>
          <w:trHeight w:val="211"/>
          <w:jc w:val="center"/>
        </w:trPr>
        <w:tc>
          <w:tcPr>
            <w:tcW w:w="1038" w:type="pct"/>
            <w:vMerge w:val="restart"/>
            <w:tcBorders>
              <w:top w:val="single" w:sz="12" w:space="0" w:color="auto"/>
              <w:left w:val="single" w:sz="12" w:space="0" w:color="auto"/>
              <w:bottom w:val="single" w:sz="8" w:space="0" w:color="auto"/>
              <w:right w:val="single" w:sz="12" w:space="0" w:color="auto"/>
            </w:tcBorders>
            <w:shd w:val="clear" w:color="auto" w:fill="auto"/>
            <w:vAlign w:val="center"/>
          </w:tcPr>
          <w:p w:rsidR="00D4086A" w:rsidRPr="00594535" w:rsidRDefault="00D4086A" w:rsidP="0033527B">
            <w:pPr>
              <w:spacing w:after="0" w:line="240" w:lineRule="auto"/>
              <w:rPr>
                <w:rFonts w:ascii="Arial" w:hAnsi="Arial" w:cs="Arial"/>
                <w:sz w:val="24"/>
                <w:szCs w:val="24"/>
              </w:rPr>
            </w:pPr>
            <w:r w:rsidRPr="00594535">
              <w:rPr>
                <w:rFonts w:ascii="Arial" w:hAnsi="Arial" w:cs="Arial"/>
                <w:sz w:val="24"/>
                <w:szCs w:val="24"/>
              </w:rPr>
              <w:t>Stradă de categorie tehnică IV, de deservire locală</w:t>
            </w:r>
          </w:p>
        </w:tc>
        <w:tc>
          <w:tcPr>
            <w:tcW w:w="1544" w:type="pct"/>
            <w:tcBorders>
              <w:top w:val="single" w:sz="12" w:space="0" w:color="auto"/>
              <w:left w:val="single" w:sz="12" w:space="0" w:color="auto"/>
              <w:bottom w:val="single" w:sz="8"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Orientului/Poliţie</w:t>
            </w:r>
          </w:p>
        </w:tc>
        <w:tc>
          <w:tcPr>
            <w:tcW w:w="1174"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64,97</w:t>
            </w:r>
          </w:p>
        </w:tc>
        <w:tc>
          <w:tcPr>
            <w:tcW w:w="622" w:type="pct"/>
            <w:tcBorders>
              <w:top w:val="single" w:sz="12" w:space="0" w:color="auto"/>
              <w:left w:val="single" w:sz="12" w:space="0" w:color="auto"/>
              <w:bottom w:val="single" w:sz="8"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1</w:t>
            </w:r>
          </w:p>
        </w:tc>
        <w:tc>
          <w:tcPr>
            <w:tcW w:w="622" w:type="pct"/>
            <w:vMerge w:val="restar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jc w:val="center"/>
              <w:rPr>
                <w:rFonts w:ascii="Arial" w:hAnsi="Arial" w:cs="Arial"/>
                <w:sz w:val="24"/>
                <w:szCs w:val="24"/>
              </w:rPr>
            </w:pPr>
            <w:r w:rsidRPr="00594535">
              <w:rPr>
                <w:rFonts w:ascii="Arial" w:hAnsi="Arial" w:cs="Arial"/>
                <w:sz w:val="24"/>
                <w:szCs w:val="24"/>
              </w:rPr>
              <w:t>60</w:t>
            </w:r>
          </w:p>
        </w:tc>
      </w:tr>
      <w:tr w:rsidR="00D4086A" w:rsidRPr="00594535" w:rsidTr="006157E7">
        <w:trPr>
          <w:trHeight w:val="211"/>
          <w:jc w:val="center"/>
        </w:trPr>
        <w:tc>
          <w:tcPr>
            <w:tcW w:w="1038" w:type="pct"/>
            <w:vMerge/>
            <w:tcBorders>
              <w:top w:val="single" w:sz="8" w:space="0" w:color="auto"/>
              <w:left w:val="single" w:sz="12" w:space="0" w:color="auto"/>
              <w:bottom w:val="single" w:sz="12" w:space="0" w:color="auto"/>
              <w:right w:val="single" w:sz="12" w:space="0" w:color="auto"/>
            </w:tcBorders>
            <w:shd w:val="clear" w:color="auto" w:fill="auto"/>
            <w:vAlign w:val="center"/>
          </w:tcPr>
          <w:p w:rsidR="00D4086A" w:rsidRPr="00594535" w:rsidRDefault="00D4086A" w:rsidP="0033527B">
            <w:pPr>
              <w:spacing w:after="0"/>
              <w:jc w:val="both"/>
              <w:rPr>
                <w:rFonts w:ascii="Arial" w:hAnsi="Arial" w:cs="Arial"/>
                <w:b/>
                <w:sz w:val="24"/>
                <w:szCs w:val="24"/>
              </w:rPr>
            </w:pPr>
          </w:p>
        </w:tc>
        <w:tc>
          <w:tcPr>
            <w:tcW w:w="1544" w:type="pct"/>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line="240" w:lineRule="auto"/>
              <w:jc w:val="both"/>
              <w:rPr>
                <w:rFonts w:ascii="Arial" w:hAnsi="Arial" w:cs="Arial"/>
                <w:sz w:val="24"/>
                <w:szCs w:val="24"/>
              </w:rPr>
            </w:pPr>
            <w:r w:rsidRPr="00594535">
              <w:rPr>
                <w:rFonts w:ascii="Arial" w:hAnsi="Arial" w:cs="Arial"/>
                <w:sz w:val="24"/>
                <w:szCs w:val="24"/>
              </w:rPr>
              <w:t xml:space="preserve">Rubinelor/Univ. </w:t>
            </w:r>
            <w:r w:rsidR="007C1699">
              <w:rPr>
                <w:rFonts w:ascii="Arial" w:hAnsi="Arial" w:cs="Arial"/>
                <w:sz w:val="24"/>
                <w:szCs w:val="24"/>
              </w:rPr>
              <w:t>BR</w:t>
            </w:r>
            <w:r w:rsidRPr="00594535">
              <w:rPr>
                <w:rFonts w:ascii="Arial" w:hAnsi="Arial" w:cs="Arial"/>
                <w:sz w:val="24"/>
                <w:szCs w:val="24"/>
              </w:rPr>
              <w:t>âncoveanu</w:t>
            </w:r>
          </w:p>
        </w:tc>
        <w:tc>
          <w:tcPr>
            <w:tcW w:w="1174"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58,39</w:t>
            </w:r>
          </w:p>
        </w:tc>
        <w:tc>
          <w:tcPr>
            <w:tcW w:w="622" w:type="pct"/>
            <w:tcBorders>
              <w:top w:val="single" w:sz="8" w:space="0" w:color="auto"/>
              <w:left w:val="single" w:sz="12" w:space="0" w:color="auto"/>
              <w:bottom w:val="single" w:sz="12" w:space="0" w:color="auto"/>
              <w:right w:val="single" w:sz="12" w:space="0" w:color="auto"/>
            </w:tcBorders>
            <w:vAlign w:val="center"/>
          </w:tcPr>
          <w:p w:rsidR="00D4086A" w:rsidRPr="005B6694" w:rsidRDefault="00D4086A" w:rsidP="0033527B">
            <w:pPr>
              <w:spacing w:after="0"/>
              <w:jc w:val="center"/>
              <w:rPr>
                <w:rFonts w:ascii="Arial" w:hAnsi="Arial" w:cs="Arial"/>
                <w:sz w:val="24"/>
                <w:szCs w:val="24"/>
              </w:rPr>
            </w:pPr>
            <w:r w:rsidRPr="005B6694">
              <w:rPr>
                <w:rFonts w:ascii="Arial" w:hAnsi="Arial" w:cs="Arial"/>
                <w:sz w:val="24"/>
                <w:szCs w:val="24"/>
              </w:rPr>
              <w:t>0</w:t>
            </w:r>
          </w:p>
        </w:tc>
        <w:tc>
          <w:tcPr>
            <w:tcW w:w="622" w:type="pct"/>
            <w:vMerge/>
            <w:tcBorders>
              <w:top w:val="single" w:sz="8" w:space="0" w:color="auto"/>
              <w:left w:val="single" w:sz="12" w:space="0" w:color="auto"/>
              <w:bottom w:val="single" w:sz="12" w:space="0" w:color="auto"/>
              <w:right w:val="single" w:sz="12" w:space="0" w:color="auto"/>
            </w:tcBorders>
            <w:vAlign w:val="center"/>
          </w:tcPr>
          <w:p w:rsidR="00D4086A" w:rsidRPr="00594535" w:rsidRDefault="00D4086A" w:rsidP="0033527B">
            <w:pPr>
              <w:spacing w:after="0" w:line="480" w:lineRule="auto"/>
              <w:jc w:val="both"/>
              <w:rPr>
                <w:rFonts w:ascii="Arial" w:hAnsi="Arial" w:cs="Arial"/>
                <w:sz w:val="24"/>
                <w:szCs w:val="24"/>
              </w:rPr>
            </w:pPr>
          </w:p>
        </w:tc>
      </w:tr>
    </w:tbl>
    <w:p w:rsidR="00D4086A" w:rsidRPr="00594535" w:rsidRDefault="00D4086A" w:rsidP="00D4086A">
      <w:pPr>
        <w:pStyle w:val="Footer"/>
        <w:tabs>
          <w:tab w:val="left" w:pos="3240"/>
          <w:tab w:val="left" w:pos="6300"/>
        </w:tabs>
        <w:spacing w:line="264" w:lineRule="auto"/>
        <w:jc w:val="both"/>
        <w:rPr>
          <w:rFonts w:ascii="Arial" w:hAnsi="Arial" w:cs="Arial"/>
          <w:b/>
          <w:sz w:val="24"/>
          <w:szCs w:val="24"/>
        </w:rPr>
      </w:pPr>
    </w:p>
    <w:p w:rsidR="00D4086A" w:rsidRPr="00594535" w:rsidRDefault="00D4086A" w:rsidP="00D4086A">
      <w:pPr>
        <w:pStyle w:val="Footer"/>
        <w:tabs>
          <w:tab w:val="left" w:pos="3240"/>
          <w:tab w:val="left" w:pos="6300"/>
        </w:tabs>
        <w:spacing w:line="264" w:lineRule="auto"/>
        <w:jc w:val="both"/>
        <w:rPr>
          <w:rFonts w:ascii="Arial" w:hAnsi="Arial" w:cs="Arial"/>
          <w:b/>
          <w:sz w:val="24"/>
          <w:szCs w:val="24"/>
        </w:rPr>
      </w:pPr>
    </w:p>
    <w:p w:rsidR="00D4086A" w:rsidRPr="00594535" w:rsidRDefault="00D4086A" w:rsidP="00D4086A">
      <w:pPr>
        <w:pStyle w:val="Footer"/>
        <w:tabs>
          <w:tab w:val="left" w:pos="3240"/>
          <w:tab w:val="left" w:pos="6300"/>
        </w:tabs>
        <w:spacing w:line="264" w:lineRule="auto"/>
        <w:jc w:val="both"/>
        <w:rPr>
          <w:rFonts w:ascii="Arial" w:hAnsi="Arial" w:cs="Arial"/>
          <w:sz w:val="24"/>
          <w:szCs w:val="24"/>
        </w:rPr>
      </w:pPr>
      <w:r w:rsidRPr="00121D9E">
        <w:rPr>
          <w:rFonts w:ascii="Arial" w:hAnsi="Arial" w:cs="Arial"/>
          <w:sz w:val="24"/>
          <w:szCs w:val="24"/>
        </w:rPr>
        <w:t xml:space="preserve">Tabelul </w:t>
      </w:r>
      <w:r w:rsidRPr="00121D9E">
        <w:rPr>
          <w:rFonts w:ascii="Arial" w:hAnsi="Arial" w:cs="Arial"/>
          <w:bCs/>
          <w:sz w:val="24"/>
          <w:szCs w:val="24"/>
        </w:rPr>
        <w:t>VIII.1.2.1.2.</w:t>
      </w:r>
      <w:r w:rsidRPr="00594535">
        <w:rPr>
          <w:rFonts w:ascii="Arial" w:hAnsi="Arial" w:cs="Arial"/>
          <w:b/>
          <w:bCs/>
          <w:sz w:val="24"/>
          <w:szCs w:val="24"/>
        </w:rPr>
        <w:t xml:space="preserve"> </w:t>
      </w:r>
      <w:r w:rsidRPr="00594535">
        <w:rPr>
          <w:rFonts w:ascii="Arial" w:hAnsi="Arial" w:cs="Arial"/>
          <w:spacing w:val="-10"/>
          <w:sz w:val="24"/>
          <w:szCs w:val="24"/>
        </w:rPr>
        <w:t>Centralizator pe tipurilor de măsurători de zgomot exterior, efectuate în anul 201</w:t>
      </w:r>
      <w:r>
        <w:rPr>
          <w:rFonts w:ascii="Arial" w:hAnsi="Arial" w:cs="Arial"/>
          <w:spacing w:val="-10"/>
          <w:sz w:val="24"/>
          <w:szCs w:val="24"/>
        </w:rPr>
        <w:t>6</w:t>
      </w:r>
    </w:p>
    <w:p w:rsidR="00D4086A" w:rsidRPr="00594535" w:rsidRDefault="00D4086A" w:rsidP="00D4086A">
      <w:pPr>
        <w:pStyle w:val="Footer"/>
        <w:tabs>
          <w:tab w:val="left" w:pos="3240"/>
          <w:tab w:val="left" w:pos="6300"/>
        </w:tabs>
        <w:spacing w:line="264" w:lineRule="auto"/>
        <w:jc w:val="both"/>
        <w:rPr>
          <w:rFonts w:ascii="Arial" w:hAnsi="Arial" w:cs="Arial"/>
          <w:b/>
          <w:sz w:val="24"/>
          <w:szCs w:val="24"/>
        </w:rPr>
      </w:pPr>
    </w:p>
    <w:tbl>
      <w:tblPr>
        <w:tblW w:w="4652" w:type="pct"/>
        <w:jc w:val="center"/>
        <w:tblInd w:w="10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1070"/>
        <w:gridCol w:w="1553"/>
        <w:gridCol w:w="1356"/>
        <w:gridCol w:w="1222"/>
        <w:gridCol w:w="1593"/>
        <w:gridCol w:w="1579"/>
        <w:gridCol w:w="1323"/>
      </w:tblGrid>
      <w:tr w:rsidR="00D4086A" w:rsidRPr="00594535" w:rsidTr="0033527B">
        <w:trPr>
          <w:trHeight w:val="814"/>
          <w:jc w:val="center"/>
        </w:trPr>
        <w:tc>
          <w:tcPr>
            <w:tcW w:w="505" w:type="pct"/>
            <w:shd w:val="clear" w:color="auto" w:fill="E6E6E6"/>
            <w:vAlign w:val="center"/>
          </w:tcPr>
          <w:p w:rsidR="00D4086A" w:rsidRPr="00594535" w:rsidRDefault="00D4086A" w:rsidP="00880E32">
            <w:pPr>
              <w:spacing w:after="0" w:line="240" w:lineRule="auto"/>
              <w:jc w:val="center"/>
              <w:rPr>
                <w:rFonts w:ascii="Arial" w:hAnsi="Arial" w:cs="Arial"/>
                <w:b/>
                <w:sz w:val="24"/>
                <w:szCs w:val="24"/>
              </w:rPr>
            </w:pPr>
            <w:r w:rsidRPr="00594535">
              <w:rPr>
                <w:rFonts w:ascii="Arial" w:hAnsi="Arial" w:cs="Arial"/>
                <w:b/>
                <w:sz w:val="24"/>
                <w:szCs w:val="24"/>
              </w:rPr>
              <w:t>Judeţul</w:t>
            </w:r>
          </w:p>
        </w:tc>
        <w:tc>
          <w:tcPr>
            <w:tcW w:w="809" w:type="pct"/>
            <w:shd w:val="clear" w:color="auto" w:fill="E6E6E6"/>
            <w:vAlign w:val="center"/>
          </w:tcPr>
          <w:p w:rsidR="00D4086A" w:rsidRPr="00594535" w:rsidRDefault="00D4086A" w:rsidP="00880E32">
            <w:pPr>
              <w:spacing w:after="0" w:line="240" w:lineRule="auto"/>
              <w:jc w:val="center"/>
              <w:rPr>
                <w:rFonts w:ascii="Arial" w:hAnsi="Arial" w:cs="Arial"/>
                <w:b/>
                <w:sz w:val="24"/>
                <w:szCs w:val="24"/>
              </w:rPr>
            </w:pPr>
            <w:r w:rsidRPr="00594535">
              <w:rPr>
                <w:rFonts w:ascii="Arial" w:hAnsi="Arial" w:cs="Arial"/>
                <w:b/>
                <w:sz w:val="24"/>
                <w:szCs w:val="24"/>
              </w:rPr>
              <w:t>Număr măsurători</w:t>
            </w:r>
          </w:p>
        </w:tc>
        <w:tc>
          <w:tcPr>
            <w:tcW w:w="707" w:type="pct"/>
            <w:shd w:val="clear" w:color="auto" w:fill="E6E6E6"/>
            <w:vAlign w:val="center"/>
          </w:tcPr>
          <w:p w:rsidR="00D4086A" w:rsidRPr="00594535" w:rsidRDefault="00D4086A" w:rsidP="00880E32">
            <w:pPr>
              <w:spacing w:after="0" w:line="240" w:lineRule="auto"/>
              <w:jc w:val="center"/>
              <w:rPr>
                <w:rFonts w:ascii="Arial" w:hAnsi="Arial" w:cs="Arial"/>
                <w:b/>
                <w:sz w:val="24"/>
                <w:szCs w:val="24"/>
              </w:rPr>
            </w:pPr>
            <w:r w:rsidRPr="00594535">
              <w:rPr>
                <w:rFonts w:ascii="Arial" w:hAnsi="Arial" w:cs="Arial"/>
                <w:b/>
                <w:sz w:val="24"/>
                <w:szCs w:val="24"/>
              </w:rPr>
              <w:t>Maxima măsurată</w:t>
            </w:r>
          </w:p>
          <w:p w:rsidR="00D4086A" w:rsidRPr="00594535" w:rsidRDefault="00D4086A" w:rsidP="00880E32">
            <w:pPr>
              <w:spacing w:after="0" w:line="240" w:lineRule="auto"/>
              <w:jc w:val="center"/>
              <w:rPr>
                <w:rFonts w:ascii="Arial" w:hAnsi="Arial" w:cs="Arial"/>
                <w:b/>
                <w:sz w:val="24"/>
                <w:szCs w:val="24"/>
              </w:rPr>
            </w:pPr>
            <w:r w:rsidRPr="00594535">
              <w:rPr>
                <w:rFonts w:ascii="Arial" w:hAnsi="Arial" w:cs="Arial"/>
                <w:b/>
                <w:sz w:val="24"/>
                <w:szCs w:val="24"/>
              </w:rPr>
              <w:t>(dB)</w:t>
            </w:r>
          </w:p>
        </w:tc>
        <w:tc>
          <w:tcPr>
            <w:tcW w:w="638" w:type="pct"/>
            <w:shd w:val="clear" w:color="auto" w:fill="E6E6E6"/>
            <w:vAlign w:val="center"/>
          </w:tcPr>
          <w:p w:rsidR="00D4086A" w:rsidRPr="00594535" w:rsidRDefault="00D4086A" w:rsidP="00880E32">
            <w:pPr>
              <w:spacing w:after="0" w:line="240" w:lineRule="auto"/>
              <w:jc w:val="center"/>
              <w:rPr>
                <w:rFonts w:ascii="Arial" w:hAnsi="Arial" w:cs="Arial"/>
                <w:b/>
                <w:sz w:val="24"/>
                <w:szCs w:val="24"/>
              </w:rPr>
            </w:pPr>
            <w:r w:rsidRPr="00594535">
              <w:rPr>
                <w:rFonts w:ascii="Arial" w:hAnsi="Arial" w:cs="Arial"/>
                <w:b/>
                <w:sz w:val="24"/>
                <w:szCs w:val="24"/>
              </w:rPr>
              <w:t>Depăşiri</w:t>
            </w:r>
          </w:p>
          <w:p w:rsidR="00D4086A" w:rsidRPr="00594535" w:rsidRDefault="00D4086A" w:rsidP="00880E32">
            <w:pPr>
              <w:spacing w:after="0" w:line="240" w:lineRule="auto"/>
              <w:jc w:val="center"/>
              <w:rPr>
                <w:rFonts w:ascii="Arial" w:hAnsi="Arial" w:cs="Arial"/>
                <w:b/>
                <w:sz w:val="24"/>
                <w:szCs w:val="24"/>
              </w:rPr>
            </w:pPr>
            <w:r w:rsidRPr="00594535">
              <w:rPr>
                <w:rFonts w:ascii="Arial" w:hAnsi="Arial" w:cs="Arial"/>
                <w:b/>
                <w:sz w:val="24"/>
                <w:szCs w:val="24"/>
              </w:rPr>
              <w:t>%</w:t>
            </w:r>
          </w:p>
        </w:tc>
        <w:tc>
          <w:tcPr>
            <w:tcW w:w="829" w:type="pct"/>
            <w:shd w:val="clear" w:color="auto" w:fill="E6E6E6"/>
            <w:vAlign w:val="center"/>
          </w:tcPr>
          <w:p w:rsidR="00D4086A" w:rsidRPr="00594535" w:rsidRDefault="00D4086A" w:rsidP="00880E32">
            <w:pPr>
              <w:spacing w:after="0" w:line="240" w:lineRule="auto"/>
              <w:jc w:val="center"/>
              <w:rPr>
                <w:rFonts w:ascii="Arial" w:hAnsi="Arial" w:cs="Arial"/>
                <w:b/>
                <w:sz w:val="24"/>
                <w:szCs w:val="24"/>
              </w:rPr>
            </w:pPr>
            <w:r w:rsidRPr="00594535">
              <w:rPr>
                <w:rFonts w:ascii="Arial" w:hAnsi="Arial" w:cs="Arial"/>
                <w:b/>
                <w:sz w:val="24"/>
                <w:szCs w:val="24"/>
              </w:rPr>
              <w:t>Indicator utilizat</w:t>
            </w:r>
          </w:p>
        </w:tc>
        <w:tc>
          <w:tcPr>
            <w:tcW w:w="822" w:type="pct"/>
            <w:shd w:val="clear" w:color="auto" w:fill="E6E6E6"/>
            <w:vAlign w:val="center"/>
          </w:tcPr>
          <w:p w:rsidR="00D4086A" w:rsidRPr="00594535" w:rsidRDefault="00D4086A" w:rsidP="00880E32">
            <w:pPr>
              <w:spacing w:after="0" w:line="240" w:lineRule="auto"/>
              <w:jc w:val="center"/>
              <w:rPr>
                <w:rFonts w:ascii="Arial" w:hAnsi="Arial" w:cs="Arial"/>
                <w:b/>
                <w:sz w:val="24"/>
                <w:szCs w:val="24"/>
              </w:rPr>
            </w:pPr>
            <w:r w:rsidRPr="00594535">
              <w:rPr>
                <w:rFonts w:ascii="Arial" w:hAnsi="Arial" w:cs="Arial"/>
                <w:b/>
                <w:sz w:val="24"/>
                <w:szCs w:val="24"/>
              </w:rPr>
              <w:t>Determinări în urma sesizărilor</w:t>
            </w:r>
          </w:p>
        </w:tc>
        <w:tc>
          <w:tcPr>
            <w:tcW w:w="690" w:type="pct"/>
            <w:shd w:val="clear" w:color="auto" w:fill="E6E6E6"/>
            <w:vAlign w:val="center"/>
          </w:tcPr>
          <w:p w:rsidR="00D4086A" w:rsidRPr="00594535" w:rsidRDefault="00D4086A" w:rsidP="00880E32">
            <w:pPr>
              <w:spacing w:after="0" w:line="240" w:lineRule="auto"/>
              <w:jc w:val="center"/>
              <w:rPr>
                <w:rFonts w:ascii="Arial" w:hAnsi="Arial" w:cs="Arial"/>
                <w:b/>
                <w:sz w:val="24"/>
                <w:szCs w:val="24"/>
              </w:rPr>
            </w:pPr>
            <w:r w:rsidRPr="00594535">
              <w:rPr>
                <w:rFonts w:ascii="Arial" w:hAnsi="Arial" w:cs="Arial"/>
                <w:b/>
                <w:sz w:val="24"/>
                <w:szCs w:val="24"/>
              </w:rPr>
              <w:t>Sesizări rezolvate       %</w:t>
            </w:r>
          </w:p>
        </w:tc>
      </w:tr>
      <w:tr w:rsidR="00D4086A" w:rsidRPr="00594535" w:rsidTr="0033527B">
        <w:trPr>
          <w:trHeight w:val="258"/>
          <w:jc w:val="center"/>
        </w:trPr>
        <w:tc>
          <w:tcPr>
            <w:tcW w:w="505" w:type="pct"/>
            <w:shd w:val="clear" w:color="auto" w:fill="auto"/>
            <w:vAlign w:val="center"/>
          </w:tcPr>
          <w:p w:rsidR="00D4086A" w:rsidRPr="00594535" w:rsidRDefault="00217620" w:rsidP="00880E32">
            <w:pPr>
              <w:spacing w:after="0" w:line="240" w:lineRule="auto"/>
              <w:jc w:val="both"/>
              <w:rPr>
                <w:rFonts w:ascii="Arial" w:hAnsi="Arial" w:cs="Arial"/>
                <w:b/>
                <w:sz w:val="24"/>
                <w:szCs w:val="24"/>
              </w:rPr>
            </w:pPr>
            <w:r>
              <w:rPr>
                <w:rFonts w:ascii="Arial" w:hAnsi="Arial" w:cs="Arial"/>
                <w:b/>
                <w:sz w:val="24"/>
                <w:szCs w:val="24"/>
              </w:rPr>
              <w:t>Brăila</w:t>
            </w:r>
          </w:p>
        </w:tc>
        <w:tc>
          <w:tcPr>
            <w:tcW w:w="809" w:type="pct"/>
            <w:shd w:val="clear" w:color="auto" w:fill="auto"/>
            <w:vAlign w:val="center"/>
          </w:tcPr>
          <w:p w:rsidR="00D4086A" w:rsidRPr="00007A0B" w:rsidRDefault="00D4086A" w:rsidP="00880E32">
            <w:pPr>
              <w:spacing w:after="0" w:line="240" w:lineRule="auto"/>
              <w:jc w:val="center"/>
              <w:rPr>
                <w:rFonts w:ascii="Arial" w:hAnsi="Arial" w:cs="Arial"/>
                <w:sz w:val="24"/>
                <w:szCs w:val="24"/>
              </w:rPr>
            </w:pPr>
            <w:r>
              <w:rPr>
                <w:rFonts w:ascii="Arial" w:hAnsi="Arial" w:cs="Arial"/>
                <w:sz w:val="24"/>
                <w:szCs w:val="24"/>
              </w:rPr>
              <w:t>172</w:t>
            </w:r>
          </w:p>
        </w:tc>
        <w:tc>
          <w:tcPr>
            <w:tcW w:w="707" w:type="pct"/>
            <w:shd w:val="clear" w:color="auto" w:fill="auto"/>
            <w:vAlign w:val="center"/>
          </w:tcPr>
          <w:p w:rsidR="00D4086A" w:rsidRPr="007E67AC" w:rsidRDefault="00D4086A" w:rsidP="00880E32">
            <w:pPr>
              <w:spacing w:after="0" w:line="240" w:lineRule="auto"/>
              <w:jc w:val="center"/>
              <w:rPr>
                <w:rFonts w:ascii="Arial" w:hAnsi="Arial" w:cs="Arial"/>
                <w:sz w:val="24"/>
                <w:szCs w:val="24"/>
              </w:rPr>
            </w:pPr>
            <w:r w:rsidRPr="007E67AC">
              <w:rPr>
                <w:rFonts w:ascii="Arial" w:hAnsi="Arial" w:cs="Arial"/>
                <w:sz w:val="24"/>
                <w:szCs w:val="24"/>
              </w:rPr>
              <w:t>77,37</w:t>
            </w:r>
          </w:p>
        </w:tc>
        <w:tc>
          <w:tcPr>
            <w:tcW w:w="638" w:type="pct"/>
            <w:shd w:val="clear" w:color="auto" w:fill="auto"/>
            <w:vAlign w:val="center"/>
          </w:tcPr>
          <w:p w:rsidR="00D4086A" w:rsidRPr="007E67AC" w:rsidRDefault="00D4086A" w:rsidP="00880E32">
            <w:pPr>
              <w:spacing w:after="0" w:line="240" w:lineRule="auto"/>
              <w:jc w:val="center"/>
              <w:rPr>
                <w:rFonts w:ascii="Arial" w:hAnsi="Arial" w:cs="Arial"/>
                <w:sz w:val="24"/>
                <w:szCs w:val="24"/>
              </w:rPr>
            </w:pPr>
            <w:r w:rsidRPr="007E67AC">
              <w:rPr>
                <w:rFonts w:ascii="Arial" w:hAnsi="Arial" w:cs="Arial"/>
                <w:sz w:val="24"/>
                <w:szCs w:val="24"/>
              </w:rPr>
              <w:t>28,5</w:t>
            </w:r>
          </w:p>
        </w:tc>
        <w:tc>
          <w:tcPr>
            <w:tcW w:w="829" w:type="pct"/>
            <w:shd w:val="clear" w:color="auto" w:fill="auto"/>
            <w:vAlign w:val="center"/>
          </w:tcPr>
          <w:p w:rsidR="00D4086A" w:rsidRPr="00007A0B" w:rsidRDefault="00D4086A" w:rsidP="00880E32">
            <w:pPr>
              <w:spacing w:after="0" w:line="240" w:lineRule="auto"/>
              <w:jc w:val="center"/>
              <w:rPr>
                <w:rFonts w:ascii="Arial" w:hAnsi="Arial" w:cs="Arial"/>
                <w:sz w:val="24"/>
                <w:szCs w:val="24"/>
              </w:rPr>
            </w:pPr>
            <w:r w:rsidRPr="00007A0B">
              <w:rPr>
                <w:rFonts w:ascii="Arial" w:hAnsi="Arial" w:cs="Arial"/>
                <w:sz w:val="24"/>
                <w:szCs w:val="24"/>
              </w:rPr>
              <w:t>Nivelul de zgomot echivalent    Leq</w:t>
            </w:r>
          </w:p>
        </w:tc>
        <w:tc>
          <w:tcPr>
            <w:tcW w:w="822" w:type="pct"/>
            <w:shd w:val="clear" w:color="auto" w:fill="auto"/>
            <w:vAlign w:val="center"/>
          </w:tcPr>
          <w:p w:rsidR="00D4086A" w:rsidRPr="00007A0B" w:rsidRDefault="00D4086A" w:rsidP="00880E32">
            <w:pPr>
              <w:spacing w:after="0" w:line="240" w:lineRule="auto"/>
              <w:jc w:val="center"/>
              <w:rPr>
                <w:rFonts w:ascii="Arial" w:hAnsi="Arial" w:cs="Arial"/>
                <w:sz w:val="24"/>
                <w:szCs w:val="24"/>
              </w:rPr>
            </w:pPr>
            <w:r w:rsidRPr="00007A0B">
              <w:rPr>
                <w:rFonts w:ascii="Arial" w:hAnsi="Arial" w:cs="Arial"/>
                <w:sz w:val="24"/>
                <w:szCs w:val="24"/>
              </w:rPr>
              <w:t>-</w:t>
            </w:r>
          </w:p>
        </w:tc>
        <w:tc>
          <w:tcPr>
            <w:tcW w:w="690" w:type="pct"/>
            <w:shd w:val="clear" w:color="auto" w:fill="auto"/>
            <w:vAlign w:val="center"/>
          </w:tcPr>
          <w:p w:rsidR="00D4086A" w:rsidRPr="00007A0B" w:rsidRDefault="00D4086A" w:rsidP="00880E32">
            <w:pPr>
              <w:spacing w:after="0" w:line="240" w:lineRule="auto"/>
              <w:jc w:val="center"/>
              <w:rPr>
                <w:rFonts w:ascii="Arial" w:hAnsi="Arial" w:cs="Arial"/>
                <w:sz w:val="24"/>
                <w:szCs w:val="24"/>
              </w:rPr>
            </w:pPr>
            <w:r w:rsidRPr="00007A0B">
              <w:rPr>
                <w:rFonts w:ascii="Arial" w:hAnsi="Arial" w:cs="Arial"/>
                <w:sz w:val="24"/>
                <w:szCs w:val="24"/>
              </w:rPr>
              <w:t>-</w:t>
            </w:r>
          </w:p>
        </w:tc>
      </w:tr>
    </w:tbl>
    <w:p w:rsidR="00D4086A" w:rsidRPr="00594535" w:rsidRDefault="00D4086A" w:rsidP="00D4086A">
      <w:pPr>
        <w:pStyle w:val="Footer"/>
        <w:tabs>
          <w:tab w:val="left" w:pos="3240"/>
          <w:tab w:val="left" w:pos="6300"/>
        </w:tabs>
        <w:spacing w:line="264" w:lineRule="auto"/>
        <w:ind w:left="46" w:hanging="46"/>
        <w:jc w:val="both"/>
        <w:rPr>
          <w:rFonts w:ascii="Arial" w:hAnsi="Arial" w:cs="Arial"/>
          <w:spacing w:val="-10"/>
          <w:sz w:val="24"/>
          <w:szCs w:val="24"/>
        </w:rPr>
      </w:pPr>
    </w:p>
    <w:p w:rsidR="00D4086A" w:rsidRPr="00450FC5" w:rsidRDefault="00D4086A" w:rsidP="00D4086A">
      <w:pPr>
        <w:autoSpaceDE w:val="0"/>
        <w:autoSpaceDN w:val="0"/>
        <w:adjustRightInd w:val="0"/>
        <w:spacing w:after="0" w:line="240" w:lineRule="auto"/>
        <w:ind w:firstLine="708"/>
        <w:jc w:val="both"/>
        <w:rPr>
          <w:rFonts w:ascii="Arial" w:hAnsi="Arial" w:cs="Arial"/>
          <w:sz w:val="24"/>
          <w:szCs w:val="24"/>
        </w:rPr>
      </w:pPr>
      <w:r w:rsidRPr="00450FC5">
        <w:rPr>
          <w:rFonts w:ascii="Arial" w:hAnsi="Arial" w:cs="Arial"/>
          <w:sz w:val="24"/>
          <w:szCs w:val="24"/>
        </w:rPr>
        <w:t>Măsurările efectuate au surprins valori momentane ale zgomotului la ore  diferite ale zilei. Valorile măsurate au fost comparate cu valorile admisibile ale nivelului de zgomot exterior pe străzi, funcţie de categoria tehnică a străzilor şi la limita zonelor funcţionale din mediul urban specificate de STAS 10009-88 Acustica urbană "Limitele admisibile ale nivelului de zgomot".</w:t>
      </w:r>
    </w:p>
    <w:p w:rsidR="00D4086A" w:rsidRDefault="00D4086A" w:rsidP="00D4086A">
      <w:pPr>
        <w:spacing w:after="0" w:line="240" w:lineRule="auto"/>
        <w:jc w:val="both"/>
        <w:rPr>
          <w:rFonts w:ascii="Arial" w:hAnsi="Arial" w:cs="Arial"/>
          <w:sz w:val="24"/>
          <w:szCs w:val="24"/>
        </w:rPr>
      </w:pPr>
    </w:p>
    <w:p w:rsidR="00D4086A" w:rsidRPr="00450FC5" w:rsidRDefault="00D4086A" w:rsidP="00D4086A">
      <w:pPr>
        <w:spacing w:after="0" w:line="240" w:lineRule="auto"/>
        <w:jc w:val="both"/>
        <w:rPr>
          <w:rFonts w:ascii="Arial" w:hAnsi="Arial" w:cs="Arial"/>
          <w:sz w:val="24"/>
          <w:szCs w:val="24"/>
        </w:rPr>
      </w:pPr>
      <w:r w:rsidRPr="00450FC5">
        <w:rPr>
          <w:rFonts w:ascii="Arial" w:hAnsi="Arial" w:cs="Arial"/>
          <w:sz w:val="24"/>
          <w:szCs w:val="24"/>
        </w:rPr>
        <w:tab/>
        <w:t>În tabelul următor sunt prezentate mediile determinărilor nivelului de zgomot echivalent, depăşirile şi va</w:t>
      </w:r>
      <w:r>
        <w:rPr>
          <w:rFonts w:ascii="Arial" w:hAnsi="Arial" w:cs="Arial"/>
          <w:sz w:val="24"/>
          <w:szCs w:val="24"/>
        </w:rPr>
        <w:t>loarea maximă, din perioada 2012</w:t>
      </w:r>
      <w:r w:rsidRPr="00450FC5">
        <w:rPr>
          <w:rFonts w:ascii="Arial" w:hAnsi="Arial" w:cs="Arial"/>
          <w:sz w:val="24"/>
          <w:szCs w:val="24"/>
        </w:rPr>
        <w:t xml:space="preserve"> – 201</w:t>
      </w:r>
      <w:r>
        <w:rPr>
          <w:rFonts w:ascii="Arial" w:hAnsi="Arial" w:cs="Arial"/>
          <w:sz w:val="24"/>
          <w:szCs w:val="24"/>
        </w:rPr>
        <w:t>6</w:t>
      </w:r>
      <w:r w:rsidRPr="00450FC5">
        <w:rPr>
          <w:rFonts w:ascii="Arial" w:hAnsi="Arial" w:cs="Arial"/>
          <w:sz w:val="24"/>
          <w:szCs w:val="24"/>
        </w:rPr>
        <w:t xml:space="preserve">. </w:t>
      </w:r>
    </w:p>
    <w:p w:rsidR="00D4086A" w:rsidRPr="00450FC5" w:rsidRDefault="00D4086A" w:rsidP="00D4086A">
      <w:pPr>
        <w:spacing w:after="0" w:line="240" w:lineRule="auto"/>
        <w:jc w:val="both"/>
        <w:rPr>
          <w:rFonts w:ascii="Arial" w:hAnsi="Arial" w:cs="Arial"/>
          <w:sz w:val="24"/>
          <w:szCs w:val="24"/>
        </w:rPr>
      </w:pPr>
    </w:p>
    <w:p w:rsidR="00D4086A" w:rsidRPr="00594535" w:rsidRDefault="00D4086A" w:rsidP="00D4086A">
      <w:pPr>
        <w:jc w:val="both"/>
        <w:rPr>
          <w:rFonts w:ascii="Arial" w:hAnsi="Arial" w:cs="Arial"/>
          <w:b/>
          <w:sz w:val="24"/>
          <w:szCs w:val="24"/>
        </w:rPr>
      </w:pPr>
      <w:r w:rsidRPr="00594535">
        <w:rPr>
          <w:rFonts w:ascii="Arial" w:hAnsi="Arial" w:cs="Arial"/>
          <w:b/>
          <w:sz w:val="24"/>
          <w:szCs w:val="24"/>
        </w:rPr>
        <w:t xml:space="preserve">      </w:t>
      </w:r>
      <w:r w:rsidRPr="004E720D">
        <w:rPr>
          <w:rFonts w:ascii="Arial" w:hAnsi="Arial" w:cs="Arial"/>
          <w:sz w:val="24"/>
          <w:szCs w:val="24"/>
        </w:rPr>
        <w:t>Tabelul VII</w:t>
      </w:r>
      <w:r w:rsidRPr="004E720D">
        <w:rPr>
          <w:rFonts w:ascii="Arial" w:hAnsi="Arial" w:cs="Arial"/>
          <w:bCs/>
          <w:sz w:val="24"/>
          <w:szCs w:val="24"/>
        </w:rPr>
        <w:t>I.1.2.1.3.</w:t>
      </w:r>
      <w:r w:rsidRPr="00594535">
        <w:rPr>
          <w:rFonts w:ascii="Arial" w:hAnsi="Arial" w:cs="Arial"/>
          <w:b/>
          <w:bCs/>
          <w:sz w:val="24"/>
          <w:szCs w:val="24"/>
        </w:rPr>
        <w:t xml:space="preserve"> </w:t>
      </w:r>
      <w:r w:rsidRPr="00594535">
        <w:rPr>
          <w:rFonts w:ascii="Arial" w:hAnsi="Arial" w:cs="Arial"/>
          <w:sz w:val="24"/>
          <w:szCs w:val="24"/>
        </w:rPr>
        <w:t>Medii anuale ale nivelului de zg</w:t>
      </w:r>
      <w:r>
        <w:rPr>
          <w:rFonts w:ascii="Arial" w:hAnsi="Arial" w:cs="Arial"/>
          <w:sz w:val="24"/>
          <w:szCs w:val="24"/>
        </w:rPr>
        <w:t>omot echivalent pentru anii 2012</w:t>
      </w:r>
      <w:r w:rsidRPr="00594535">
        <w:rPr>
          <w:rFonts w:ascii="Arial" w:hAnsi="Arial" w:cs="Arial"/>
          <w:sz w:val="24"/>
          <w:szCs w:val="24"/>
        </w:rPr>
        <w:t>-201</w:t>
      </w:r>
      <w:r>
        <w:rPr>
          <w:rFonts w:ascii="Arial" w:hAnsi="Arial" w:cs="Arial"/>
          <w:sz w:val="24"/>
          <w:szCs w:val="24"/>
        </w:rPr>
        <w:t>6</w:t>
      </w:r>
    </w:p>
    <w:tbl>
      <w:tblPr>
        <w:tblW w:w="9168" w:type="dxa"/>
        <w:jc w:val="center"/>
        <w:tblInd w:w="-2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1040"/>
        <w:gridCol w:w="850"/>
        <w:gridCol w:w="851"/>
        <w:gridCol w:w="992"/>
        <w:gridCol w:w="1134"/>
        <w:gridCol w:w="1134"/>
      </w:tblGrid>
      <w:tr w:rsidR="00D4086A" w:rsidRPr="00594535" w:rsidTr="0033527B">
        <w:trPr>
          <w:jc w:val="center"/>
        </w:trPr>
        <w:tc>
          <w:tcPr>
            <w:tcW w:w="3167" w:type="dxa"/>
            <w:shd w:val="clear" w:color="auto" w:fill="E0E0E0"/>
            <w:vAlign w:val="center"/>
          </w:tcPr>
          <w:p w:rsidR="00D4086A" w:rsidRPr="00594535" w:rsidRDefault="00D4086A" w:rsidP="00880E32">
            <w:pPr>
              <w:pStyle w:val="Footer"/>
              <w:jc w:val="both"/>
              <w:rPr>
                <w:rFonts w:ascii="Arial" w:hAnsi="Arial" w:cs="Arial"/>
                <w:b/>
                <w:sz w:val="24"/>
                <w:szCs w:val="24"/>
              </w:rPr>
            </w:pPr>
            <w:r w:rsidRPr="00594535">
              <w:rPr>
                <w:rFonts w:ascii="Arial" w:hAnsi="Arial" w:cs="Arial"/>
                <w:b/>
                <w:sz w:val="24"/>
                <w:szCs w:val="24"/>
              </w:rPr>
              <w:t>Tip măsurătoare</w:t>
            </w:r>
          </w:p>
        </w:tc>
        <w:tc>
          <w:tcPr>
            <w:tcW w:w="1040" w:type="dxa"/>
            <w:shd w:val="clear" w:color="auto" w:fill="E0E0E0"/>
            <w:vAlign w:val="center"/>
          </w:tcPr>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Med</w:t>
            </w:r>
          </w:p>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2012</w:t>
            </w:r>
          </w:p>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(dB)</w:t>
            </w:r>
          </w:p>
        </w:tc>
        <w:tc>
          <w:tcPr>
            <w:tcW w:w="850" w:type="dxa"/>
            <w:shd w:val="clear" w:color="auto" w:fill="E0E0E0"/>
            <w:vAlign w:val="center"/>
          </w:tcPr>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Med.</w:t>
            </w:r>
          </w:p>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2013</w:t>
            </w:r>
          </w:p>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(dB)</w:t>
            </w:r>
          </w:p>
        </w:tc>
        <w:tc>
          <w:tcPr>
            <w:tcW w:w="851" w:type="dxa"/>
            <w:shd w:val="clear" w:color="auto" w:fill="E0E0E0"/>
            <w:vAlign w:val="center"/>
          </w:tcPr>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Med.</w:t>
            </w:r>
          </w:p>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2014</w:t>
            </w:r>
          </w:p>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(dB)</w:t>
            </w:r>
          </w:p>
        </w:tc>
        <w:tc>
          <w:tcPr>
            <w:tcW w:w="992" w:type="dxa"/>
            <w:shd w:val="clear" w:color="auto" w:fill="E0E0E0"/>
          </w:tcPr>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Med.</w:t>
            </w:r>
          </w:p>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2015</w:t>
            </w:r>
          </w:p>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(dB)</w:t>
            </w:r>
          </w:p>
        </w:tc>
        <w:tc>
          <w:tcPr>
            <w:tcW w:w="1134" w:type="dxa"/>
            <w:shd w:val="clear" w:color="auto" w:fill="E0E0E0"/>
          </w:tcPr>
          <w:p w:rsidR="00D4086A" w:rsidRPr="00857577" w:rsidRDefault="00D4086A" w:rsidP="00880E32">
            <w:pPr>
              <w:pStyle w:val="Footer"/>
              <w:jc w:val="center"/>
              <w:rPr>
                <w:rFonts w:ascii="Arial" w:hAnsi="Arial" w:cs="Arial"/>
                <w:b/>
                <w:sz w:val="24"/>
                <w:szCs w:val="24"/>
              </w:rPr>
            </w:pPr>
            <w:r w:rsidRPr="00857577">
              <w:rPr>
                <w:rFonts w:ascii="Arial" w:hAnsi="Arial" w:cs="Arial"/>
                <w:b/>
                <w:sz w:val="24"/>
                <w:szCs w:val="24"/>
              </w:rPr>
              <w:t>Med.</w:t>
            </w:r>
          </w:p>
          <w:p w:rsidR="00D4086A" w:rsidRPr="00857577" w:rsidRDefault="00D4086A" w:rsidP="00880E32">
            <w:pPr>
              <w:pStyle w:val="Footer"/>
              <w:jc w:val="center"/>
              <w:rPr>
                <w:rFonts w:ascii="Arial" w:hAnsi="Arial" w:cs="Arial"/>
                <w:b/>
                <w:sz w:val="24"/>
                <w:szCs w:val="24"/>
              </w:rPr>
            </w:pPr>
            <w:r w:rsidRPr="00857577">
              <w:rPr>
                <w:rFonts w:ascii="Arial" w:hAnsi="Arial" w:cs="Arial"/>
                <w:b/>
                <w:sz w:val="24"/>
                <w:szCs w:val="24"/>
              </w:rPr>
              <w:t>2016</w:t>
            </w:r>
          </w:p>
          <w:p w:rsidR="00D4086A" w:rsidRPr="00857577" w:rsidRDefault="00D4086A" w:rsidP="00880E32">
            <w:pPr>
              <w:pStyle w:val="Footer"/>
              <w:jc w:val="center"/>
              <w:rPr>
                <w:rFonts w:ascii="Arial" w:hAnsi="Arial" w:cs="Arial"/>
                <w:b/>
                <w:sz w:val="24"/>
                <w:szCs w:val="24"/>
              </w:rPr>
            </w:pPr>
            <w:r w:rsidRPr="00857577">
              <w:rPr>
                <w:rFonts w:ascii="Arial" w:hAnsi="Arial" w:cs="Arial"/>
                <w:b/>
                <w:sz w:val="24"/>
                <w:szCs w:val="24"/>
              </w:rPr>
              <w:t>(dB)</w:t>
            </w:r>
          </w:p>
        </w:tc>
        <w:tc>
          <w:tcPr>
            <w:tcW w:w="1134" w:type="dxa"/>
            <w:shd w:val="clear" w:color="auto" w:fill="E0E0E0"/>
            <w:vAlign w:val="center"/>
          </w:tcPr>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Limita admisă</w:t>
            </w:r>
          </w:p>
          <w:p w:rsidR="00D4086A" w:rsidRPr="00594535" w:rsidRDefault="00D4086A" w:rsidP="00880E32">
            <w:pPr>
              <w:pStyle w:val="Footer"/>
              <w:jc w:val="center"/>
              <w:rPr>
                <w:rFonts w:ascii="Arial" w:hAnsi="Arial" w:cs="Arial"/>
                <w:b/>
                <w:sz w:val="24"/>
                <w:szCs w:val="24"/>
              </w:rPr>
            </w:pPr>
            <w:r w:rsidRPr="00594535">
              <w:rPr>
                <w:rFonts w:ascii="Arial" w:hAnsi="Arial" w:cs="Arial"/>
                <w:b/>
                <w:sz w:val="24"/>
                <w:szCs w:val="24"/>
              </w:rPr>
              <w:t>(dB)</w:t>
            </w:r>
          </w:p>
        </w:tc>
      </w:tr>
      <w:tr w:rsidR="00D4086A" w:rsidRPr="00594535" w:rsidTr="0033527B">
        <w:trPr>
          <w:jc w:val="center"/>
        </w:trPr>
        <w:tc>
          <w:tcPr>
            <w:tcW w:w="3167" w:type="dxa"/>
          </w:tcPr>
          <w:p w:rsidR="00D4086A" w:rsidRPr="00594535" w:rsidRDefault="00D4086A" w:rsidP="00880E32">
            <w:pPr>
              <w:spacing w:after="0" w:line="240" w:lineRule="auto"/>
              <w:jc w:val="both"/>
              <w:rPr>
                <w:rFonts w:ascii="Arial" w:hAnsi="Arial" w:cs="Arial"/>
                <w:sz w:val="24"/>
                <w:szCs w:val="24"/>
              </w:rPr>
            </w:pPr>
            <w:r w:rsidRPr="00594535">
              <w:rPr>
                <w:rFonts w:ascii="Arial" w:hAnsi="Arial" w:cs="Arial"/>
                <w:sz w:val="24"/>
                <w:szCs w:val="24"/>
              </w:rPr>
              <w:t xml:space="preserve">Pieţe, spaţii comerciale, restaurante în aer liber </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62,1</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63,4</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64,2</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62,3</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60,9</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65</w:t>
            </w:r>
          </w:p>
        </w:tc>
      </w:tr>
      <w:tr w:rsidR="00D4086A" w:rsidRPr="00594535" w:rsidTr="0033527B">
        <w:trPr>
          <w:jc w:val="center"/>
        </w:trPr>
        <w:tc>
          <w:tcPr>
            <w:tcW w:w="3167" w:type="dxa"/>
          </w:tcPr>
          <w:p w:rsidR="00D4086A" w:rsidRPr="00594535" w:rsidRDefault="00D4086A" w:rsidP="00880E32">
            <w:pPr>
              <w:spacing w:after="0" w:line="240" w:lineRule="auto"/>
              <w:jc w:val="both"/>
              <w:rPr>
                <w:rFonts w:ascii="Arial" w:hAnsi="Arial" w:cs="Arial"/>
                <w:sz w:val="24"/>
                <w:szCs w:val="24"/>
              </w:rPr>
            </w:pPr>
            <w:r w:rsidRPr="00594535">
              <w:rPr>
                <w:rFonts w:ascii="Arial" w:hAnsi="Arial" w:cs="Arial"/>
                <w:sz w:val="24"/>
                <w:szCs w:val="24"/>
              </w:rPr>
              <w:t>Incinte de şcoli, spaţii de joacă pentru copii</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63,3</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62,4</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63,7</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61,4</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60,8</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75</w:t>
            </w:r>
          </w:p>
        </w:tc>
      </w:tr>
      <w:tr w:rsidR="00D4086A" w:rsidRPr="00594535" w:rsidTr="0033527B">
        <w:trPr>
          <w:jc w:val="center"/>
        </w:trPr>
        <w:tc>
          <w:tcPr>
            <w:tcW w:w="3167" w:type="dxa"/>
          </w:tcPr>
          <w:p w:rsidR="00D4086A" w:rsidRPr="00594535" w:rsidRDefault="00D4086A" w:rsidP="00880E32">
            <w:pPr>
              <w:spacing w:after="0" w:line="240" w:lineRule="auto"/>
              <w:jc w:val="both"/>
              <w:rPr>
                <w:rFonts w:ascii="Arial" w:hAnsi="Arial" w:cs="Arial"/>
                <w:sz w:val="24"/>
                <w:szCs w:val="24"/>
              </w:rPr>
            </w:pPr>
            <w:r w:rsidRPr="00594535">
              <w:rPr>
                <w:rFonts w:ascii="Arial" w:hAnsi="Arial" w:cs="Arial"/>
                <w:sz w:val="24"/>
                <w:szCs w:val="24"/>
              </w:rPr>
              <w:t xml:space="preserve">Parcuri, zone de recreere şi odihnă </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55,3</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56,2</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54,7</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55,3</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54,4</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45</w:t>
            </w:r>
          </w:p>
        </w:tc>
      </w:tr>
      <w:tr w:rsidR="00D4086A" w:rsidRPr="00594535" w:rsidTr="0033527B">
        <w:trPr>
          <w:jc w:val="center"/>
        </w:trPr>
        <w:tc>
          <w:tcPr>
            <w:tcW w:w="3167" w:type="dxa"/>
          </w:tcPr>
          <w:p w:rsidR="00D4086A" w:rsidRPr="00594535" w:rsidRDefault="00D4086A" w:rsidP="00880E32">
            <w:pPr>
              <w:spacing w:after="0" w:line="240" w:lineRule="auto"/>
              <w:jc w:val="both"/>
              <w:rPr>
                <w:rFonts w:ascii="Arial" w:hAnsi="Arial" w:cs="Arial"/>
                <w:sz w:val="24"/>
                <w:szCs w:val="24"/>
              </w:rPr>
            </w:pPr>
            <w:r w:rsidRPr="00594535">
              <w:rPr>
                <w:rFonts w:ascii="Arial" w:hAnsi="Arial" w:cs="Arial"/>
                <w:sz w:val="24"/>
                <w:szCs w:val="24"/>
              </w:rPr>
              <w:t>Incinta industrială</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58,7</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58,5</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59,7</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58,5</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55,2</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65</w:t>
            </w:r>
          </w:p>
        </w:tc>
      </w:tr>
      <w:tr w:rsidR="00D4086A" w:rsidRPr="00594535" w:rsidTr="0033527B">
        <w:trPr>
          <w:jc w:val="center"/>
        </w:trPr>
        <w:tc>
          <w:tcPr>
            <w:tcW w:w="3167" w:type="dxa"/>
          </w:tcPr>
          <w:p w:rsidR="00D4086A" w:rsidRPr="00594535" w:rsidRDefault="00D4086A" w:rsidP="00880E32">
            <w:pPr>
              <w:spacing w:after="0" w:line="240" w:lineRule="auto"/>
              <w:jc w:val="both"/>
              <w:rPr>
                <w:rFonts w:ascii="Arial" w:hAnsi="Arial" w:cs="Arial"/>
                <w:sz w:val="24"/>
                <w:szCs w:val="24"/>
              </w:rPr>
            </w:pPr>
            <w:r w:rsidRPr="00594535">
              <w:rPr>
                <w:rFonts w:ascii="Arial" w:hAnsi="Arial" w:cs="Arial"/>
                <w:sz w:val="24"/>
                <w:szCs w:val="24"/>
              </w:rPr>
              <w:t>Parcaje auto</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59,7</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59,7</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60,1</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61,8</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58,9</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90</w:t>
            </w:r>
          </w:p>
        </w:tc>
      </w:tr>
      <w:tr w:rsidR="00D4086A" w:rsidRPr="00594535" w:rsidTr="0033527B">
        <w:trPr>
          <w:jc w:val="center"/>
        </w:trPr>
        <w:tc>
          <w:tcPr>
            <w:tcW w:w="3167" w:type="dxa"/>
          </w:tcPr>
          <w:p w:rsidR="00D4086A" w:rsidRPr="00594535" w:rsidRDefault="00D4086A" w:rsidP="00880E32">
            <w:pPr>
              <w:spacing w:after="0" w:line="240" w:lineRule="auto"/>
              <w:jc w:val="both"/>
              <w:rPr>
                <w:rFonts w:ascii="Arial" w:hAnsi="Arial" w:cs="Arial"/>
                <w:sz w:val="24"/>
                <w:szCs w:val="24"/>
              </w:rPr>
            </w:pPr>
            <w:r w:rsidRPr="00594535">
              <w:rPr>
                <w:rFonts w:ascii="Arial" w:hAnsi="Arial" w:cs="Arial"/>
                <w:sz w:val="24"/>
                <w:szCs w:val="24"/>
              </w:rPr>
              <w:t>Stradă de categorie tehnică I</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69,2</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69,7</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67,6</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68,8</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69,6</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80</w:t>
            </w:r>
          </w:p>
        </w:tc>
      </w:tr>
      <w:tr w:rsidR="00D4086A" w:rsidRPr="00594535" w:rsidTr="0033527B">
        <w:trPr>
          <w:jc w:val="center"/>
        </w:trPr>
        <w:tc>
          <w:tcPr>
            <w:tcW w:w="3167" w:type="dxa"/>
          </w:tcPr>
          <w:p w:rsidR="00D4086A" w:rsidRPr="00594535" w:rsidRDefault="00D4086A" w:rsidP="00880E32">
            <w:pPr>
              <w:spacing w:after="0" w:line="240" w:lineRule="auto"/>
              <w:jc w:val="both"/>
              <w:rPr>
                <w:rFonts w:ascii="Arial" w:hAnsi="Arial" w:cs="Arial"/>
                <w:sz w:val="24"/>
                <w:szCs w:val="24"/>
              </w:rPr>
            </w:pPr>
            <w:r w:rsidRPr="00594535">
              <w:rPr>
                <w:rFonts w:ascii="Arial" w:hAnsi="Arial" w:cs="Arial"/>
                <w:sz w:val="24"/>
                <w:szCs w:val="24"/>
              </w:rPr>
              <w:t>Stradă de categorie tehnică II</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68,6</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69</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69,7</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69,6</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67,7</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70</w:t>
            </w:r>
          </w:p>
        </w:tc>
      </w:tr>
      <w:tr w:rsidR="00D4086A" w:rsidRPr="00594535" w:rsidTr="0033527B">
        <w:trPr>
          <w:jc w:val="center"/>
        </w:trPr>
        <w:tc>
          <w:tcPr>
            <w:tcW w:w="3167" w:type="dxa"/>
          </w:tcPr>
          <w:p w:rsidR="00D4086A" w:rsidRPr="00594535" w:rsidRDefault="00D4086A" w:rsidP="00880E32">
            <w:pPr>
              <w:spacing w:after="0" w:line="240" w:lineRule="auto"/>
              <w:jc w:val="both"/>
              <w:rPr>
                <w:rFonts w:ascii="Arial" w:hAnsi="Arial" w:cs="Arial"/>
                <w:sz w:val="24"/>
                <w:szCs w:val="24"/>
              </w:rPr>
            </w:pPr>
            <w:r w:rsidRPr="00594535">
              <w:rPr>
                <w:rFonts w:ascii="Arial" w:hAnsi="Arial" w:cs="Arial"/>
                <w:sz w:val="24"/>
                <w:szCs w:val="24"/>
              </w:rPr>
              <w:t>Stradă de categorie tehnică III</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66,7</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65,6</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64,9</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67,0</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64,3</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65</w:t>
            </w:r>
          </w:p>
        </w:tc>
      </w:tr>
      <w:tr w:rsidR="00D4086A" w:rsidRPr="00594535" w:rsidTr="0033527B">
        <w:trPr>
          <w:jc w:val="center"/>
        </w:trPr>
        <w:tc>
          <w:tcPr>
            <w:tcW w:w="3167" w:type="dxa"/>
          </w:tcPr>
          <w:p w:rsidR="00D4086A" w:rsidRPr="00594535" w:rsidRDefault="00D4086A" w:rsidP="00880E32">
            <w:pPr>
              <w:spacing w:after="0" w:line="240" w:lineRule="auto"/>
              <w:jc w:val="both"/>
              <w:rPr>
                <w:rFonts w:ascii="Arial" w:hAnsi="Arial" w:cs="Arial"/>
                <w:sz w:val="24"/>
                <w:szCs w:val="24"/>
              </w:rPr>
            </w:pPr>
            <w:r w:rsidRPr="00594535">
              <w:rPr>
                <w:rFonts w:ascii="Arial" w:hAnsi="Arial" w:cs="Arial"/>
                <w:sz w:val="24"/>
                <w:szCs w:val="24"/>
              </w:rPr>
              <w:t>Stradă de categorie tehnică IV</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58,6</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59,4</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59,4</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57,2</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56,2</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60</w:t>
            </w:r>
          </w:p>
        </w:tc>
      </w:tr>
      <w:tr w:rsidR="00D4086A" w:rsidRPr="00594535" w:rsidTr="0033527B">
        <w:trPr>
          <w:jc w:val="center"/>
        </w:trPr>
        <w:tc>
          <w:tcPr>
            <w:tcW w:w="3167" w:type="dxa"/>
          </w:tcPr>
          <w:p w:rsidR="00D4086A" w:rsidRPr="00594535" w:rsidRDefault="00D4086A" w:rsidP="00880E32">
            <w:pPr>
              <w:pStyle w:val="Footer"/>
              <w:jc w:val="both"/>
              <w:rPr>
                <w:rFonts w:ascii="Arial" w:hAnsi="Arial" w:cs="Arial"/>
                <w:sz w:val="24"/>
                <w:szCs w:val="24"/>
              </w:rPr>
            </w:pPr>
            <w:r w:rsidRPr="00594535">
              <w:rPr>
                <w:rFonts w:ascii="Arial" w:hAnsi="Arial" w:cs="Arial"/>
                <w:sz w:val="24"/>
                <w:szCs w:val="24"/>
              </w:rPr>
              <w:t xml:space="preserve">Altele-zone locuibile – zone </w:t>
            </w:r>
            <w:r w:rsidRPr="00594535">
              <w:rPr>
                <w:rFonts w:ascii="Arial" w:hAnsi="Arial" w:cs="Arial"/>
                <w:sz w:val="24"/>
                <w:szCs w:val="24"/>
              </w:rPr>
              <w:lastRenderedPageBreak/>
              <w:t>rezidențiale</w:t>
            </w:r>
          </w:p>
        </w:tc>
        <w:tc>
          <w:tcPr>
            <w:tcW w:w="104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lastRenderedPageBreak/>
              <w:t>56,6</w:t>
            </w:r>
          </w:p>
        </w:tc>
        <w:tc>
          <w:tcPr>
            <w:tcW w:w="850"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57,7</w:t>
            </w:r>
          </w:p>
        </w:tc>
        <w:tc>
          <w:tcPr>
            <w:tcW w:w="851"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57</w:t>
            </w:r>
          </w:p>
        </w:tc>
        <w:tc>
          <w:tcPr>
            <w:tcW w:w="992"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58,0</w:t>
            </w:r>
          </w:p>
        </w:tc>
        <w:tc>
          <w:tcPr>
            <w:tcW w:w="1134" w:type="dxa"/>
            <w:shd w:val="clear" w:color="auto" w:fill="auto"/>
            <w:vAlign w:val="center"/>
          </w:tcPr>
          <w:p w:rsidR="00D4086A" w:rsidRPr="00857577" w:rsidRDefault="00D4086A" w:rsidP="00880E32">
            <w:pPr>
              <w:pStyle w:val="Footer"/>
              <w:jc w:val="center"/>
              <w:rPr>
                <w:rFonts w:ascii="Arial" w:hAnsi="Arial" w:cs="Arial"/>
                <w:sz w:val="24"/>
                <w:szCs w:val="24"/>
              </w:rPr>
            </w:pPr>
            <w:r w:rsidRPr="00857577">
              <w:rPr>
                <w:rFonts w:ascii="Arial" w:hAnsi="Arial" w:cs="Arial"/>
                <w:sz w:val="24"/>
                <w:szCs w:val="24"/>
              </w:rPr>
              <w:t>55,7</w:t>
            </w:r>
          </w:p>
        </w:tc>
        <w:tc>
          <w:tcPr>
            <w:tcW w:w="1134" w:type="dxa"/>
            <w:vAlign w:val="center"/>
          </w:tcPr>
          <w:p w:rsidR="00D4086A" w:rsidRPr="00594535" w:rsidRDefault="00D4086A" w:rsidP="00880E32">
            <w:pPr>
              <w:pStyle w:val="Footer"/>
              <w:jc w:val="center"/>
              <w:rPr>
                <w:rFonts w:ascii="Arial" w:hAnsi="Arial" w:cs="Arial"/>
                <w:sz w:val="24"/>
                <w:szCs w:val="24"/>
              </w:rPr>
            </w:pPr>
            <w:r w:rsidRPr="00594535">
              <w:rPr>
                <w:rFonts w:ascii="Arial" w:hAnsi="Arial" w:cs="Arial"/>
                <w:sz w:val="24"/>
                <w:szCs w:val="24"/>
              </w:rPr>
              <w:t>50</w:t>
            </w:r>
          </w:p>
        </w:tc>
      </w:tr>
    </w:tbl>
    <w:p w:rsidR="00D4086A" w:rsidRPr="00594535" w:rsidRDefault="00D4086A" w:rsidP="00D4086A">
      <w:pPr>
        <w:jc w:val="both"/>
        <w:rPr>
          <w:rFonts w:ascii="Arial" w:hAnsi="Arial" w:cs="Arial"/>
          <w:sz w:val="24"/>
          <w:szCs w:val="24"/>
        </w:rPr>
      </w:pPr>
    </w:p>
    <w:p w:rsidR="00D4086A" w:rsidRPr="00594535" w:rsidRDefault="00D4086A" w:rsidP="00D4086A">
      <w:pPr>
        <w:jc w:val="both"/>
        <w:rPr>
          <w:rFonts w:ascii="Arial" w:hAnsi="Arial" w:cs="Arial"/>
          <w:sz w:val="24"/>
          <w:szCs w:val="24"/>
        </w:rPr>
      </w:pPr>
      <w:r w:rsidRPr="00594535">
        <w:rPr>
          <w:rFonts w:ascii="Arial" w:hAnsi="Arial" w:cs="Arial"/>
          <w:sz w:val="24"/>
          <w:szCs w:val="24"/>
        </w:rPr>
        <w:t xml:space="preserve">Analizând datele prezentate în tabelul </w:t>
      </w:r>
      <w:r w:rsidRPr="00594535">
        <w:rPr>
          <w:rFonts w:ascii="Arial" w:hAnsi="Arial" w:cs="Arial"/>
          <w:bCs/>
          <w:sz w:val="24"/>
          <w:szCs w:val="24"/>
        </w:rPr>
        <w:t>VIII.1.2.1.3.</w:t>
      </w:r>
      <w:r w:rsidRPr="00594535">
        <w:rPr>
          <w:rFonts w:ascii="Arial" w:hAnsi="Arial" w:cs="Arial"/>
          <w:b/>
          <w:bCs/>
          <w:sz w:val="24"/>
          <w:szCs w:val="24"/>
        </w:rPr>
        <w:t xml:space="preserve"> </w:t>
      </w:r>
      <w:r w:rsidRPr="00594535">
        <w:rPr>
          <w:rFonts w:ascii="Arial" w:hAnsi="Arial" w:cs="Arial"/>
          <w:sz w:val="24"/>
          <w:szCs w:val="24"/>
        </w:rPr>
        <w:t>de mai sus se constată următoarele:</w:t>
      </w:r>
    </w:p>
    <w:p w:rsidR="00D4086A" w:rsidRPr="001332EE" w:rsidRDefault="00D4086A" w:rsidP="00252ED3">
      <w:pPr>
        <w:numPr>
          <w:ilvl w:val="0"/>
          <w:numId w:val="23"/>
        </w:numPr>
        <w:spacing w:after="0" w:line="240" w:lineRule="auto"/>
        <w:jc w:val="both"/>
        <w:rPr>
          <w:rFonts w:ascii="Arial" w:hAnsi="Arial" w:cs="Arial"/>
          <w:sz w:val="24"/>
          <w:szCs w:val="24"/>
        </w:rPr>
      </w:pPr>
      <w:r w:rsidRPr="001332EE">
        <w:rPr>
          <w:rFonts w:ascii="Arial" w:hAnsi="Arial" w:cs="Arial"/>
          <w:sz w:val="24"/>
          <w:szCs w:val="24"/>
        </w:rPr>
        <w:t>La limita exterioară a pieţelor, spaţiilor comerciale şi restaurantelor în aer liber se constată o ușoară creștere a nivelului de zgomot în anii 2013-2014, fără a fi depăşită maxima admis</w:t>
      </w:r>
      <w:r>
        <w:rPr>
          <w:rFonts w:ascii="Arial" w:hAnsi="Arial" w:cs="Arial"/>
          <w:sz w:val="24"/>
          <w:szCs w:val="24"/>
        </w:rPr>
        <w:t>ă</w:t>
      </w:r>
      <w:r w:rsidRPr="001332EE">
        <w:rPr>
          <w:rFonts w:ascii="Arial" w:hAnsi="Arial" w:cs="Arial"/>
          <w:sz w:val="24"/>
          <w:szCs w:val="24"/>
        </w:rPr>
        <w:t xml:space="preserve"> în toată perioada de raportare;</w:t>
      </w:r>
    </w:p>
    <w:p w:rsidR="00D4086A" w:rsidRPr="001332EE" w:rsidRDefault="00D4086A" w:rsidP="00252ED3">
      <w:pPr>
        <w:numPr>
          <w:ilvl w:val="0"/>
          <w:numId w:val="23"/>
        </w:numPr>
        <w:spacing w:after="0" w:line="240" w:lineRule="auto"/>
        <w:jc w:val="both"/>
        <w:rPr>
          <w:rFonts w:ascii="Arial" w:hAnsi="Arial" w:cs="Arial"/>
          <w:sz w:val="24"/>
          <w:szCs w:val="24"/>
        </w:rPr>
      </w:pPr>
      <w:r w:rsidRPr="001332EE">
        <w:rPr>
          <w:rFonts w:ascii="Arial" w:hAnsi="Arial" w:cs="Arial"/>
          <w:sz w:val="24"/>
          <w:szCs w:val="24"/>
        </w:rPr>
        <w:t>La limita exterioară a incintelor de şcoli, valoarea medie a anului 2016 este în scădere față de anii anteriori, în 2016 fiind înregistrată cea mai mică valoare medie din perioada 2012-2016;</w:t>
      </w:r>
    </w:p>
    <w:p w:rsidR="00D4086A" w:rsidRPr="001332EE" w:rsidRDefault="00D4086A" w:rsidP="00252ED3">
      <w:pPr>
        <w:numPr>
          <w:ilvl w:val="0"/>
          <w:numId w:val="23"/>
        </w:numPr>
        <w:spacing w:after="0" w:line="240" w:lineRule="auto"/>
        <w:jc w:val="both"/>
        <w:rPr>
          <w:rFonts w:ascii="Arial" w:hAnsi="Arial" w:cs="Arial"/>
          <w:sz w:val="24"/>
          <w:szCs w:val="24"/>
        </w:rPr>
      </w:pPr>
      <w:r w:rsidRPr="001332EE">
        <w:rPr>
          <w:rFonts w:ascii="Arial" w:hAnsi="Arial" w:cs="Arial"/>
          <w:sz w:val="24"/>
          <w:szCs w:val="24"/>
        </w:rPr>
        <w:t>Măsurările efectuate la limita exterioară a parcurilor, zonelor de recreere şi tratament medical, arată că nivelul mediu anual al zgomotului se plasează în jurul valorii de 55 dB, limita admisibilă a nivelului de zgomot fiind depăşită în toată perioada 2012 - 2016;</w:t>
      </w:r>
    </w:p>
    <w:p w:rsidR="00D4086A" w:rsidRPr="002E45EA" w:rsidRDefault="00D4086A" w:rsidP="00252ED3">
      <w:pPr>
        <w:numPr>
          <w:ilvl w:val="0"/>
          <w:numId w:val="23"/>
        </w:numPr>
        <w:spacing w:after="0" w:line="240" w:lineRule="auto"/>
        <w:jc w:val="both"/>
        <w:rPr>
          <w:rFonts w:ascii="Arial" w:hAnsi="Arial" w:cs="Arial"/>
          <w:sz w:val="24"/>
          <w:szCs w:val="24"/>
        </w:rPr>
      </w:pPr>
      <w:r w:rsidRPr="002E45EA">
        <w:rPr>
          <w:rFonts w:ascii="Arial" w:hAnsi="Arial" w:cs="Arial"/>
          <w:sz w:val="24"/>
          <w:szCs w:val="24"/>
        </w:rPr>
        <w:t>La exteriorul incintelor industriale, media anuală nu depăşeşte limita admisă, iar media anului 2016 are valoarea cea mai scăzuta din perioada 2012 - 2016;</w:t>
      </w:r>
    </w:p>
    <w:p w:rsidR="00D4086A" w:rsidRPr="002E45EA" w:rsidRDefault="00D4086A" w:rsidP="00252ED3">
      <w:pPr>
        <w:numPr>
          <w:ilvl w:val="0"/>
          <w:numId w:val="23"/>
        </w:numPr>
        <w:spacing w:after="0" w:line="240" w:lineRule="auto"/>
        <w:jc w:val="both"/>
        <w:rPr>
          <w:rFonts w:ascii="Arial" w:hAnsi="Arial" w:cs="Arial"/>
          <w:sz w:val="24"/>
          <w:szCs w:val="24"/>
        </w:rPr>
      </w:pPr>
      <w:r w:rsidRPr="002E45EA">
        <w:rPr>
          <w:rFonts w:ascii="Arial" w:hAnsi="Arial" w:cs="Arial"/>
          <w:sz w:val="24"/>
          <w:szCs w:val="24"/>
        </w:rPr>
        <w:t>La parcajele auto, media anuală nu depăşeşte limita admisă, iar media anului 2016 are cea mai mica valoare din perioada 2012 - 2016;</w:t>
      </w:r>
    </w:p>
    <w:p w:rsidR="00D4086A" w:rsidRPr="00C94A67" w:rsidRDefault="00D4086A" w:rsidP="00252ED3">
      <w:pPr>
        <w:numPr>
          <w:ilvl w:val="0"/>
          <w:numId w:val="23"/>
        </w:numPr>
        <w:spacing w:after="0" w:line="240" w:lineRule="auto"/>
        <w:jc w:val="both"/>
        <w:rPr>
          <w:rFonts w:ascii="Arial" w:hAnsi="Arial" w:cs="Arial"/>
          <w:sz w:val="24"/>
          <w:szCs w:val="24"/>
        </w:rPr>
      </w:pPr>
      <w:r w:rsidRPr="00C94A67">
        <w:rPr>
          <w:rFonts w:ascii="Arial" w:hAnsi="Arial" w:cs="Arial"/>
          <w:sz w:val="24"/>
          <w:szCs w:val="24"/>
        </w:rPr>
        <w:t>În cazul străzilor de categorie tehnică I valorile medii anuale se menţin sub limita maximă admisă, iar media anului 2016 este ușor în creştere față de anul 2015;</w:t>
      </w:r>
    </w:p>
    <w:p w:rsidR="00D4086A" w:rsidRPr="00C94A67" w:rsidRDefault="00D4086A" w:rsidP="00252ED3">
      <w:pPr>
        <w:numPr>
          <w:ilvl w:val="0"/>
          <w:numId w:val="23"/>
        </w:numPr>
        <w:spacing w:after="0" w:line="240" w:lineRule="auto"/>
        <w:jc w:val="both"/>
        <w:rPr>
          <w:rFonts w:ascii="Arial" w:hAnsi="Arial" w:cs="Arial"/>
          <w:sz w:val="24"/>
          <w:szCs w:val="24"/>
        </w:rPr>
      </w:pPr>
      <w:r w:rsidRPr="00C94A67">
        <w:rPr>
          <w:rFonts w:ascii="Arial" w:hAnsi="Arial" w:cs="Arial"/>
          <w:sz w:val="24"/>
          <w:szCs w:val="24"/>
        </w:rPr>
        <w:t>La limita străzilor de categorie tehnică II, se înregistrează o scădere a nivelului de zgomot, în anul 2016 fiind înregistrata cea mai mic</w:t>
      </w:r>
      <w:r>
        <w:rPr>
          <w:rFonts w:ascii="Arial" w:hAnsi="Arial" w:cs="Arial"/>
          <w:sz w:val="24"/>
          <w:szCs w:val="24"/>
        </w:rPr>
        <w:t>ă</w:t>
      </w:r>
      <w:r w:rsidRPr="00C94A67">
        <w:rPr>
          <w:rFonts w:ascii="Arial" w:hAnsi="Arial" w:cs="Arial"/>
          <w:sz w:val="24"/>
          <w:szCs w:val="24"/>
        </w:rPr>
        <w:t xml:space="preserve"> valoare medie din perioada 2012 - 2016;</w:t>
      </w:r>
    </w:p>
    <w:p w:rsidR="00D4086A" w:rsidRPr="00A7707C" w:rsidRDefault="00D4086A" w:rsidP="00252ED3">
      <w:pPr>
        <w:numPr>
          <w:ilvl w:val="0"/>
          <w:numId w:val="23"/>
        </w:numPr>
        <w:spacing w:after="0" w:line="240" w:lineRule="auto"/>
        <w:jc w:val="both"/>
        <w:rPr>
          <w:rFonts w:ascii="Arial" w:hAnsi="Arial" w:cs="Arial"/>
          <w:sz w:val="24"/>
          <w:szCs w:val="24"/>
        </w:rPr>
      </w:pPr>
      <w:r w:rsidRPr="00A7707C">
        <w:rPr>
          <w:rFonts w:ascii="Arial" w:hAnsi="Arial" w:cs="Arial"/>
          <w:sz w:val="24"/>
          <w:szCs w:val="24"/>
        </w:rPr>
        <w:t>Pe străzile de categorie tehnică III, nivelul de zgomot scade în anul 2016 când se înregistrează cea mai mică valoare medie din perioada 2012 - 2016 dar nivelul de zgomot se menține în continuare în apropierea limitei maxime admise;</w:t>
      </w:r>
    </w:p>
    <w:p w:rsidR="00D4086A" w:rsidRPr="009B6E59" w:rsidRDefault="00D4086A" w:rsidP="00252ED3">
      <w:pPr>
        <w:numPr>
          <w:ilvl w:val="0"/>
          <w:numId w:val="23"/>
        </w:numPr>
        <w:spacing w:after="0" w:line="240" w:lineRule="auto"/>
        <w:jc w:val="both"/>
        <w:rPr>
          <w:rFonts w:ascii="Arial" w:hAnsi="Arial" w:cs="Arial"/>
          <w:sz w:val="24"/>
          <w:szCs w:val="24"/>
        </w:rPr>
      </w:pPr>
      <w:r w:rsidRPr="009B6E59">
        <w:rPr>
          <w:rFonts w:ascii="Arial" w:hAnsi="Arial" w:cs="Arial"/>
          <w:sz w:val="24"/>
          <w:szCs w:val="24"/>
        </w:rPr>
        <w:t>Pe străzile de categorie tehnică IV, valorile nivelului de zgomot echivalent prezintă o creștere în anul 2013 și 2014 față de anii precedenți, dar se încadrează sub limita admisă de 60 dB, iar în anul 2016 media valorilor înregistrate prezintă valoarea cea mai scăzută;</w:t>
      </w:r>
    </w:p>
    <w:p w:rsidR="00D4086A" w:rsidRPr="00AA4144" w:rsidRDefault="00D4086A" w:rsidP="00252ED3">
      <w:pPr>
        <w:numPr>
          <w:ilvl w:val="0"/>
          <w:numId w:val="23"/>
        </w:numPr>
        <w:tabs>
          <w:tab w:val="clear" w:pos="720"/>
        </w:tabs>
        <w:spacing w:after="0" w:line="240" w:lineRule="auto"/>
        <w:ind w:left="709" w:hanging="283"/>
        <w:jc w:val="both"/>
        <w:rPr>
          <w:rFonts w:ascii="Arial" w:hAnsi="Arial" w:cs="Arial"/>
          <w:b/>
          <w:bCs/>
          <w:sz w:val="24"/>
          <w:szCs w:val="24"/>
        </w:rPr>
      </w:pPr>
      <w:r w:rsidRPr="00AA4144">
        <w:rPr>
          <w:rFonts w:ascii="Arial" w:hAnsi="Arial" w:cs="Arial"/>
          <w:sz w:val="24"/>
          <w:szCs w:val="24"/>
        </w:rPr>
        <w:t>În zonele rezidenţiale expertizate</w:t>
      </w:r>
      <w:r>
        <w:rPr>
          <w:rFonts w:ascii="Arial" w:hAnsi="Arial" w:cs="Arial"/>
          <w:sz w:val="24"/>
          <w:szCs w:val="24"/>
        </w:rPr>
        <w:t>,</w:t>
      </w:r>
      <w:r w:rsidRPr="00AA4144">
        <w:rPr>
          <w:rFonts w:ascii="Arial" w:hAnsi="Arial" w:cs="Arial"/>
          <w:sz w:val="24"/>
          <w:szCs w:val="24"/>
        </w:rPr>
        <w:t xml:space="preserve"> se constată o scădere a valorilor nivelului de zgomot exterior în anul 2016 față de anii anteriori, cu precizarea că în toată perioada 2012 - 2016 valorile medii anuale depăşesc limita admisibilă de 50 dB.</w:t>
      </w:r>
    </w:p>
    <w:p w:rsidR="00D4086A" w:rsidRPr="00594535" w:rsidRDefault="00D4086A" w:rsidP="00D4086A">
      <w:pPr>
        <w:ind w:left="360"/>
        <w:jc w:val="both"/>
        <w:rPr>
          <w:rFonts w:ascii="Arial" w:hAnsi="Arial" w:cs="Arial"/>
          <w:sz w:val="24"/>
          <w:szCs w:val="24"/>
        </w:rPr>
      </w:pPr>
    </w:p>
    <w:p w:rsidR="00D4086A" w:rsidRPr="00594535" w:rsidRDefault="00D4086A" w:rsidP="00D4086A">
      <w:pPr>
        <w:ind w:firstLine="426"/>
        <w:jc w:val="both"/>
        <w:rPr>
          <w:rFonts w:ascii="Arial" w:hAnsi="Arial" w:cs="Arial"/>
          <w:sz w:val="24"/>
          <w:szCs w:val="24"/>
        </w:rPr>
      </w:pPr>
      <w:r w:rsidRPr="00594535">
        <w:rPr>
          <w:rFonts w:ascii="Arial" w:hAnsi="Arial" w:cs="Arial"/>
          <w:sz w:val="24"/>
          <w:szCs w:val="24"/>
        </w:rPr>
        <w:t>În figura</w:t>
      </w:r>
      <w:r w:rsidRPr="00594535">
        <w:rPr>
          <w:rFonts w:ascii="Arial" w:hAnsi="Arial" w:cs="Arial"/>
          <w:b/>
          <w:bCs/>
          <w:sz w:val="24"/>
          <w:szCs w:val="24"/>
        </w:rPr>
        <w:t xml:space="preserve"> </w:t>
      </w:r>
      <w:r w:rsidRPr="00594535">
        <w:rPr>
          <w:rFonts w:ascii="Arial" w:hAnsi="Arial" w:cs="Arial"/>
          <w:bCs/>
          <w:sz w:val="24"/>
          <w:szCs w:val="24"/>
        </w:rPr>
        <w:t xml:space="preserve">VIII.1.2.1.1 este prezentată la nivelul județului </w:t>
      </w:r>
      <w:r w:rsidR="00217620">
        <w:rPr>
          <w:rFonts w:ascii="Arial" w:hAnsi="Arial" w:cs="Arial"/>
          <w:bCs/>
          <w:sz w:val="24"/>
          <w:szCs w:val="24"/>
        </w:rPr>
        <w:t>Brăila</w:t>
      </w:r>
      <w:r w:rsidRPr="00594535">
        <w:rPr>
          <w:rFonts w:ascii="Arial" w:hAnsi="Arial" w:cs="Arial"/>
          <w:bCs/>
          <w:sz w:val="24"/>
          <w:szCs w:val="24"/>
        </w:rPr>
        <w:t xml:space="preserve"> evoluția nivelului de zg</w:t>
      </w:r>
      <w:r>
        <w:rPr>
          <w:rFonts w:ascii="Arial" w:hAnsi="Arial" w:cs="Arial"/>
          <w:bCs/>
          <w:sz w:val="24"/>
          <w:szCs w:val="24"/>
        </w:rPr>
        <w:t>omot echivalent pentru ultimii 5</w:t>
      </w:r>
      <w:r w:rsidRPr="00594535">
        <w:rPr>
          <w:rFonts w:ascii="Arial" w:hAnsi="Arial" w:cs="Arial"/>
          <w:bCs/>
          <w:sz w:val="24"/>
          <w:szCs w:val="24"/>
        </w:rPr>
        <w:t xml:space="preserve"> ani.</w:t>
      </w:r>
    </w:p>
    <w:p w:rsidR="00D4086A" w:rsidRPr="00594535" w:rsidRDefault="00D4086A" w:rsidP="00D4086A">
      <w:pPr>
        <w:tabs>
          <w:tab w:val="left" w:pos="945"/>
        </w:tabs>
        <w:jc w:val="center"/>
        <w:rPr>
          <w:rFonts w:ascii="Arial" w:hAnsi="Arial" w:cs="Arial"/>
          <w:sz w:val="24"/>
          <w:szCs w:val="24"/>
        </w:rPr>
      </w:pPr>
      <w:r>
        <w:rPr>
          <w:rFonts w:ascii="Arial" w:hAnsi="Arial" w:cs="Arial"/>
          <w:noProof/>
          <w:sz w:val="24"/>
          <w:szCs w:val="24"/>
          <w:lang w:eastAsia="ro-RO"/>
        </w:rPr>
        <w:drawing>
          <wp:inline distT="0" distB="0" distL="0" distR="0">
            <wp:extent cx="4800600" cy="2133600"/>
            <wp:effectExtent l="19050" t="0" r="19050" b="0"/>
            <wp:docPr id="2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4086A" w:rsidRPr="004E720D" w:rsidRDefault="00D4086A" w:rsidP="00D4086A">
      <w:pPr>
        <w:ind w:left="2832" w:firstLine="708"/>
        <w:jc w:val="both"/>
        <w:rPr>
          <w:rFonts w:ascii="Arial" w:hAnsi="Arial" w:cs="Arial"/>
          <w:bCs/>
          <w:sz w:val="24"/>
          <w:szCs w:val="24"/>
        </w:rPr>
      </w:pPr>
      <w:r w:rsidRPr="004E720D">
        <w:rPr>
          <w:rFonts w:ascii="Arial" w:hAnsi="Arial" w:cs="Arial"/>
          <w:sz w:val="24"/>
          <w:szCs w:val="24"/>
        </w:rPr>
        <w:t xml:space="preserve">Figura </w:t>
      </w:r>
      <w:r w:rsidRPr="004E720D">
        <w:rPr>
          <w:rFonts w:ascii="Arial" w:hAnsi="Arial" w:cs="Arial"/>
          <w:bCs/>
          <w:sz w:val="24"/>
          <w:szCs w:val="24"/>
        </w:rPr>
        <w:t xml:space="preserve">VIII.1.2.1.1. </w:t>
      </w:r>
    </w:p>
    <w:p w:rsidR="00D4086A" w:rsidRPr="00594535" w:rsidRDefault="00D4086A" w:rsidP="00D4086A">
      <w:pPr>
        <w:ind w:firstLine="708"/>
        <w:jc w:val="both"/>
        <w:rPr>
          <w:rFonts w:ascii="Arial" w:hAnsi="Arial" w:cs="Arial"/>
          <w:sz w:val="24"/>
          <w:szCs w:val="24"/>
        </w:rPr>
      </w:pPr>
      <w:r w:rsidRPr="00594535">
        <w:rPr>
          <w:rFonts w:ascii="Arial" w:hAnsi="Arial" w:cs="Arial"/>
          <w:sz w:val="24"/>
          <w:szCs w:val="24"/>
        </w:rPr>
        <w:lastRenderedPageBreak/>
        <w:t>Creşterea nivelului sonor este urmarea dezvoltării în timp a activităţilor caracteristice zonelor şi este amplificat de zgomotul traficului intens ce se desfăşoară pe arterele de circulaţie aflate în apropierea zonelor respective. Această evoluţie este consecinţa faptului că traficul cunoaşte o creştere atât a numărului de maşini care se deplasează, cât și a frecvenţei deplasărilor acestora.</w:t>
      </w:r>
    </w:p>
    <w:p w:rsidR="00D4086A" w:rsidRPr="00594535" w:rsidRDefault="00D4086A" w:rsidP="00D4086A">
      <w:pPr>
        <w:jc w:val="both"/>
        <w:rPr>
          <w:rFonts w:ascii="Arial" w:hAnsi="Arial" w:cs="Arial"/>
          <w:bCs/>
          <w:sz w:val="24"/>
          <w:szCs w:val="24"/>
        </w:rPr>
      </w:pPr>
      <w:r w:rsidRPr="00594535">
        <w:rPr>
          <w:rFonts w:ascii="Arial" w:hAnsi="Arial" w:cs="Arial"/>
          <w:sz w:val="24"/>
          <w:szCs w:val="24"/>
        </w:rPr>
        <w:t>În figura</w:t>
      </w:r>
      <w:r w:rsidRPr="00594535">
        <w:rPr>
          <w:rFonts w:ascii="Arial" w:hAnsi="Arial" w:cs="Arial"/>
          <w:b/>
          <w:bCs/>
          <w:sz w:val="24"/>
          <w:szCs w:val="24"/>
        </w:rPr>
        <w:t xml:space="preserve"> </w:t>
      </w:r>
      <w:r w:rsidRPr="00594535">
        <w:rPr>
          <w:rFonts w:ascii="Arial" w:hAnsi="Arial" w:cs="Arial"/>
          <w:bCs/>
          <w:sz w:val="24"/>
          <w:szCs w:val="24"/>
        </w:rPr>
        <w:t xml:space="preserve">VIII.1.2.1.2 este prezentată la nivelul județului </w:t>
      </w:r>
      <w:r w:rsidR="00217620">
        <w:rPr>
          <w:rFonts w:ascii="Arial" w:hAnsi="Arial" w:cs="Arial"/>
          <w:bCs/>
          <w:sz w:val="24"/>
          <w:szCs w:val="24"/>
        </w:rPr>
        <w:t>Brăila</w:t>
      </w:r>
      <w:r w:rsidRPr="00594535">
        <w:rPr>
          <w:rFonts w:ascii="Arial" w:hAnsi="Arial" w:cs="Arial"/>
          <w:bCs/>
          <w:sz w:val="24"/>
          <w:szCs w:val="24"/>
        </w:rPr>
        <w:t xml:space="preserve"> evoluția nivelului de zgomot echivalent </w:t>
      </w:r>
      <w:r w:rsidRPr="00594535">
        <w:rPr>
          <w:rFonts w:ascii="Arial" w:hAnsi="Arial" w:cs="Arial"/>
          <w:sz w:val="24"/>
          <w:szCs w:val="24"/>
        </w:rPr>
        <w:t xml:space="preserve">măsurat pe străzile magistrale, </w:t>
      </w:r>
      <w:r>
        <w:rPr>
          <w:rFonts w:ascii="Arial" w:hAnsi="Arial" w:cs="Arial"/>
          <w:bCs/>
          <w:sz w:val="24"/>
          <w:szCs w:val="24"/>
        </w:rPr>
        <w:t>pentru ultimii 5</w:t>
      </w:r>
      <w:r w:rsidRPr="00594535">
        <w:rPr>
          <w:rFonts w:ascii="Arial" w:hAnsi="Arial" w:cs="Arial"/>
          <w:bCs/>
          <w:sz w:val="24"/>
          <w:szCs w:val="24"/>
        </w:rPr>
        <w:t xml:space="preserve"> ani.</w:t>
      </w:r>
    </w:p>
    <w:p w:rsidR="00D4086A" w:rsidRDefault="00D4086A" w:rsidP="00F64379">
      <w:pPr>
        <w:ind w:firstLine="709"/>
        <w:jc w:val="center"/>
        <w:rPr>
          <w:rFonts w:ascii="Arial" w:hAnsi="Arial" w:cs="Arial"/>
          <w:sz w:val="24"/>
          <w:szCs w:val="24"/>
        </w:rPr>
      </w:pPr>
      <w:r>
        <w:rPr>
          <w:rFonts w:ascii="Arial" w:hAnsi="Arial" w:cs="Arial"/>
          <w:noProof/>
          <w:sz w:val="24"/>
          <w:szCs w:val="24"/>
          <w:lang w:eastAsia="ro-RO"/>
        </w:rPr>
        <w:drawing>
          <wp:inline distT="0" distB="0" distL="0" distR="0">
            <wp:extent cx="4791075" cy="2381250"/>
            <wp:effectExtent l="19050" t="0" r="9525" b="0"/>
            <wp:docPr id="21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D4086A" w:rsidRPr="004E720D" w:rsidRDefault="00D4086A" w:rsidP="00D4086A">
      <w:pPr>
        <w:tabs>
          <w:tab w:val="left" w:pos="1185"/>
        </w:tabs>
        <w:jc w:val="both"/>
        <w:rPr>
          <w:rFonts w:ascii="Arial" w:hAnsi="Arial" w:cs="Arial"/>
          <w:bCs/>
          <w:sz w:val="24"/>
          <w:szCs w:val="24"/>
        </w:rPr>
      </w:pPr>
      <w:r w:rsidRPr="00594535">
        <w:rPr>
          <w:rFonts w:ascii="Arial" w:hAnsi="Arial" w:cs="Arial"/>
          <w:sz w:val="24"/>
          <w:szCs w:val="24"/>
        </w:rPr>
        <w:t xml:space="preserve">                                                     </w:t>
      </w:r>
      <w:r w:rsidRPr="004E720D">
        <w:rPr>
          <w:rFonts w:ascii="Arial" w:hAnsi="Arial" w:cs="Arial"/>
          <w:sz w:val="24"/>
          <w:szCs w:val="24"/>
        </w:rPr>
        <w:t>Figura</w:t>
      </w:r>
      <w:r w:rsidRPr="004E720D">
        <w:rPr>
          <w:rFonts w:ascii="Arial" w:hAnsi="Arial" w:cs="Arial"/>
          <w:bCs/>
          <w:sz w:val="24"/>
          <w:szCs w:val="24"/>
        </w:rPr>
        <w:t xml:space="preserve"> VIII.1.2.1.2.</w:t>
      </w:r>
    </w:p>
    <w:p w:rsidR="00D4086A" w:rsidRPr="00594535" w:rsidRDefault="00D4086A" w:rsidP="00D4086A">
      <w:pPr>
        <w:ind w:firstLine="709"/>
        <w:jc w:val="both"/>
        <w:rPr>
          <w:rFonts w:ascii="Arial" w:hAnsi="Arial" w:cs="Arial"/>
          <w:b/>
          <w:bCs/>
          <w:sz w:val="24"/>
          <w:szCs w:val="24"/>
        </w:rPr>
      </w:pPr>
      <w:r w:rsidRPr="00594535">
        <w:rPr>
          <w:rFonts w:ascii="Arial" w:hAnsi="Arial" w:cs="Arial"/>
          <w:sz w:val="24"/>
          <w:szCs w:val="24"/>
        </w:rPr>
        <w:t xml:space="preserve">Din graficul </w:t>
      </w:r>
      <w:r w:rsidRPr="00594535">
        <w:rPr>
          <w:rFonts w:ascii="Arial" w:hAnsi="Arial" w:cs="Arial"/>
          <w:bCs/>
          <w:sz w:val="24"/>
          <w:szCs w:val="24"/>
        </w:rPr>
        <w:t>VIII.1.2.1.2.,</w:t>
      </w:r>
      <w:r w:rsidRPr="00594535">
        <w:rPr>
          <w:rFonts w:ascii="Arial" w:hAnsi="Arial" w:cs="Arial"/>
          <w:b/>
          <w:bCs/>
          <w:sz w:val="24"/>
          <w:szCs w:val="24"/>
        </w:rPr>
        <w:t xml:space="preserve"> </w:t>
      </w:r>
      <w:r w:rsidRPr="00594535">
        <w:rPr>
          <w:rFonts w:ascii="Arial" w:hAnsi="Arial" w:cs="Arial"/>
          <w:bCs/>
          <w:sz w:val="24"/>
          <w:szCs w:val="24"/>
        </w:rPr>
        <w:t xml:space="preserve">referitor la zgomotul echivalent înregistrat pe străzile magistrale, limita admisă nu este depășită. </w:t>
      </w:r>
    </w:p>
    <w:p w:rsidR="00D4086A" w:rsidRDefault="00D4086A" w:rsidP="00D4086A">
      <w:pPr>
        <w:ind w:firstLine="709"/>
        <w:jc w:val="both"/>
        <w:rPr>
          <w:rFonts w:ascii="Arial" w:hAnsi="Arial" w:cs="Arial"/>
          <w:bCs/>
          <w:sz w:val="24"/>
          <w:szCs w:val="24"/>
        </w:rPr>
      </w:pPr>
      <w:r w:rsidRPr="00594535">
        <w:rPr>
          <w:rFonts w:ascii="Arial" w:hAnsi="Arial" w:cs="Arial"/>
          <w:sz w:val="24"/>
          <w:szCs w:val="24"/>
        </w:rPr>
        <w:t>În figura</w:t>
      </w:r>
      <w:r w:rsidRPr="00594535">
        <w:rPr>
          <w:rFonts w:ascii="Arial" w:hAnsi="Arial" w:cs="Arial"/>
          <w:b/>
          <w:bCs/>
          <w:sz w:val="24"/>
          <w:szCs w:val="24"/>
        </w:rPr>
        <w:t xml:space="preserve"> </w:t>
      </w:r>
      <w:r w:rsidRPr="00594535">
        <w:rPr>
          <w:rFonts w:ascii="Arial" w:hAnsi="Arial" w:cs="Arial"/>
          <w:bCs/>
          <w:sz w:val="24"/>
          <w:szCs w:val="24"/>
        </w:rPr>
        <w:t xml:space="preserve">VIII.1.2.1.3 este prezentată evoluția nivelului de zgomot echivalent </w:t>
      </w:r>
      <w:r w:rsidRPr="00594535">
        <w:rPr>
          <w:rFonts w:ascii="Arial" w:hAnsi="Arial" w:cs="Arial"/>
          <w:sz w:val="24"/>
          <w:szCs w:val="24"/>
        </w:rPr>
        <w:t xml:space="preserve">măsurat pentru piețe, spații comerciale, restaurante în aer liber, </w:t>
      </w:r>
      <w:r w:rsidRPr="00594535">
        <w:rPr>
          <w:rFonts w:ascii="Arial" w:hAnsi="Arial" w:cs="Arial"/>
          <w:bCs/>
          <w:sz w:val="24"/>
          <w:szCs w:val="24"/>
        </w:rPr>
        <w:t>pentru ultimii 5 ani</w:t>
      </w:r>
      <w:r>
        <w:rPr>
          <w:rFonts w:ascii="Arial" w:hAnsi="Arial" w:cs="Arial"/>
          <w:bCs/>
          <w:sz w:val="24"/>
          <w:szCs w:val="24"/>
        </w:rPr>
        <w:t>.</w:t>
      </w:r>
    </w:p>
    <w:p w:rsidR="00D4086A" w:rsidRPr="00594535" w:rsidRDefault="00D4086A" w:rsidP="004E720D">
      <w:pPr>
        <w:ind w:firstLine="709"/>
        <w:jc w:val="center"/>
        <w:rPr>
          <w:rFonts w:ascii="Arial" w:hAnsi="Arial" w:cs="Arial"/>
          <w:b/>
          <w:bCs/>
          <w:sz w:val="24"/>
          <w:szCs w:val="24"/>
        </w:rPr>
      </w:pPr>
      <w:r>
        <w:rPr>
          <w:rFonts w:ascii="Arial" w:hAnsi="Arial" w:cs="Arial"/>
          <w:b/>
          <w:noProof/>
          <w:sz w:val="24"/>
          <w:szCs w:val="24"/>
          <w:lang w:eastAsia="ro-RO"/>
        </w:rPr>
        <w:drawing>
          <wp:inline distT="0" distB="0" distL="0" distR="0">
            <wp:extent cx="4848225" cy="2733675"/>
            <wp:effectExtent l="19050" t="0" r="9525" b="0"/>
            <wp:docPr id="217"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D4086A" w:rsidRPr="004E720D" w:rsidRDefault="00D4086A" w:rsidP="00D4086A">
      <w:pPr>
        <w:tabs>
          <w:tab w:val="left" w:pos="1185"/>
        </w:tabs>
        <w:jc w:val="both"/>
        <w:rPr>
          <w:rFonts w:ascii="Arial" w:hAnsi="Arial" w:cs="Arial"/>
          <w:bCs/>
          <w:sz w:val="24"/>
          <w:szCs w:val="24"/>
        </w:rPr>
      </w:pPr>
      <w:r w:rsidRPr="004E720D">
        <w:rPr>
          <w:rFonts w:ascii="Arial" w:hAnsi="Arial" w:cs="Arial"/>
          <w:sz w:val="24"/>
          <w:szCs w:val="24"/>
        </w:rPr>
        <w:t xml:space="preserve">                                                     </w:t>
      </w:r>
      <w:r w:rsidR="004E720D">
        <w:rPr>
          <w:rFonts w:ascii="Arial" w:hAnsi="Arial" w:cs="Arial"/>
          <w:sz w:val="24"/>
          <w:szCs w:val="24"/>
        </w:rPr>
        <w:t xml:space="preserve">          </w:t>
      </w:r>
      <w:r w:rsidRPr="004E720D">
        <w:rPr>
          <w:rFonts w:ascii="Arial" w:hAnsi="Arial" w:cs="Arial"/>
          <w:sz w:val="24"/>
          <w:szCs w:val="24"/>
        </w:rPr>
        <w:t>Figura VII</w:t>
      </w:r>
      <w:r w:rsidRPr="004E720D">
        <w:rPr>
          <w:rFonts w:ascii="Arial" w:hAnsi="Arial" w:cs="Arial"/>
          <w:bCs/>
          <w:sz w:val="24"/>
          <w:szCs w:val="24"/>
        </w:rPr>
        <w:t>I.1.2.1.3.</w:t>
      </w:r>
    </w:p>
    <w:p w:rsidR="00D4086A" w:rsidRPr="00594535" w:rsidRDefault="00D4086A" w:rsidP="00D4086A">
      <w:pPr>
        <w:spacing w:after="0" w:line="240" w:lineRule="auto"/>
        <w:jc w:val="both"/>
        <w:rPr>
          <w:rFonts w:ascii="Arial" w:hAnsi="Arial" w:cs="Arial"/>
          <w:sz w:val="24"/>
          <w:szCs w:val="24"/>
        </w:rPr>
      </w:pPr>
      <w:r w:rsidRPr="00594535">
        <w:rPr>
          <w:rFonts w:ascii="Arial" w:hAnsi="Arial" w:cs="Arial"/>
          <w:sz w:val="24"/>
          <w:szCs w:val="24"/>
        </w:rPr>
        <w:t xml:space="preserve">Din graficul </w:t>
      </w:r>
      <w:r w:rsidRPr="00594535">
        <w:rPr>
          <w:rFonts w:ascii="Arial" w:hAnsi="Arial" w:cs="Arial"/>
          <w:bCs/>
          <w:sz w:val="24"/>
          <w:szCs w:val="24"/>
        </w:rPr>
        <w:t>VIII.1.2.1.3.,</w:t>
      </w:r>
      <w:r w:rsidRPr="00594535">
        <w:rPr>
          <w:rFonts w:ascii="Arial" w:hAnsi="Arial" w:cs="Arial"/>
          <w:b/>
          <w:bCs/>
          <w:sz w:val="24"/>
          <w:szCs w:val="24"/>
        </w:rPr>
        <w:t xml:space="preserve"> </w:t>
      </w:r>
      <w:r w:rsidRPr="00594535">
        <w:rPr>
          <w:rFonts w:ascii="Arial" w:hAnsi="Arial" w:cs="Arial"/>
          <w:bCs/>
          <w:sz w:val="24"/>
          <w:szCs w:val="24"/>
        </w:rPr>
        <w:t xml:space="preserve">referitor la zgomotul echivalent înregistrat </w:t>
      </w:r>
      <w:r w:rsidRPr="00594535">
        <w:rPr>
          <w:rFonts w:ascii="Arial" w:hAnsi="Arial" w:cs="Arial"/>
          <w:sz w:val="24"/>
          <w:szCs w:val="24"/>
        </w:rPr>
        <w:t>pentru piețe, spații comerciale, restaurante în aer liber</w:t>
      </w:r>
      <w:r w:rsidRPr="00594535">
        <w:rPr>
          <w:rFonts w:ascii="Arial" w:hAnsi="Arial" w:cs="Arial"/>
          <w:bCs/>
          <w:sz w:val="24"/>
          <w:szCs w:val="24"/>
        </w:rPr>
        <w:t xml:space="preserve">, rezultă faptul că limita admisă nu este depășită. </w:t>
      </w:r>
    </w:p>
    <w:p w:rsidR="00D4086A" w:rsidRPr="00594535" w:rsidRDefault="00D4086A" w:rsidP="00D4086A">
      <w:pPr>
        <w:spacing w:after="0" w:line="240" w:lineRule="auto"/>
        <w:jc w:val="both"/>
        <w:rPr>
          <w:rFonts w:ascii="Arial" w:hAnsi="Arial" w:cs="Arial"/>
          <w:sz w:val="24"/>
          <w:szCs w:val="24"/>
        </w:rPr>
      </w:pPr>
      <w:r w:rsidRPr="00594535">
        <w:rPr>
          <w:rFonts w:ascii="Arial" w:hAnsi="Arial" w:cs="Arial"/>
          <w:sz w:val="24"/>
          <w:szCs w:val="24"/>
        </w:rPr>
        <w:lastRenderedPageBreak/>
        <w:t>În fapt se poate concluziona, că în mediul urban acţionează în mod concomitent mai multe categorii de zgomot: domestice, industriale, produse de activităţile de construcţie, de mijloacele de transport, dar cea mai importantă sursă de zgomot o constituie totuşi circulaţia autovehiculelor.</w:t>
      </w:r>
    </w:p>
    <w:p w:rsidR="00D4086A" w:rsidRPr="00594535" w:rsidRDefault="00D4086A" w:rsidP="00D4086A">
      <w:pPr>
        <w:spacing w:after="0" w:line="240" w:lineRule="auto"/>
        <w:jc w:val="both"/>
        <w:rPr>
          <w:rFonts w:ascii="Arial" w:hAnsi="Arial" w:cs="Arial"/>
          <w:sz w:val="24"/>
          <w:szCs w:val="24"/>
        </w:rPr>
      </w:pPr>
    </w:p>
    <w:p w:rsidR="00D4086A" w:rsidRPr="00980AF8" w:rsidRDefault="00D4086A" w:rsidP="00D4086A">
      <w:pPr>
        <w:spacing w:after="0" w:line="240" w:lineRule="auto"/>
        <w:jc w:val="both"/>
        <w:rPr>
          <w:rFonts w:ascii="Arial" w:hAnsi="Arial" w:cs="Arial"/>
          <w:b/>
          <w:bCs/>
          <w:sz w:val="24"/>
          <w:szCs w:val="24"/>
        </w:rPr>
      </w:pPr>
      <w:r w:rsidRPr="00980AF8">
        <w:rPr>
          <w:rFonts w:ascii="Arial" w:hAnsi="Arial" w:cs="Arial"/>
          <w:b/>
          <w:bCs/>
          <w:sz w:val="24"/>
          <w:szCs w:val="24"/>
        </w:rPr>
        <w:t>Expunerea la poluarea sonoră a aglomerărilor urbane cu peste 250.000 locuitori</w:t>
      </w:r>
    </w:p>
    <w:p w:rsidR="00D4086A" w:rsidRPr="00980AF8" w:rsidRDefault="00D4086A" w:rsidP="00D4086A">
      <w:pPr>
        <w:spacing w:after="0" w:line="240" w:lineRule="auto"/>
        <w:jc w:val="both"/>
        <w:rPr>
          <w:rFonts w:ascii="Arial" w:hAnsi="Arial" w:cs="Arial"/>
          <w:b/>
          <w:bCs/>
          <w:sz w:val="24"/>
          <w:szCs w:val="24"/>
          <w:u w:val="single"/>
        </w:rPr>
      </w:pPr>
    </w:p>
    <w:p w:rsidR="00D4086A" w:rsidRPr="00980AF8" w:rsidRDefault="00D4086A" w:rsidP="00D4086A">
      <w:pPr>
        <w:spacing w:after="0" w:line="240" w:lineRule="auto"/>
        <w:jc w:val="both"/>
        <w:rPr>
          <w:rFonts w:ascii="Arial" w:hAnsi="Arial" w:cs="Arial"/>
          <w:b/>
          <w:sz w:val="24"/>
          <w:szCs w:val="24"/>
          <w:u w:val="single"/>
        </w:rPr>
      </w:pPr>
      <w:r w:rsidRPr="00980AF8">
        <w:rPr>
          <w:rFonts w:ascii="Arial" w:hAnsi="Arial" w:cs="Arial"/>
          <w:sz w:val="24"/>
          <w:szCs w:val="24"/>
        </w:rPr>
        <w:t>Stabilirea unui concept unitar pentru evitarea, prevenirea sau reducerea, cu prioritate, a efectelor dăunătoare, inclusiv disconfortului, provocate de expunerea la zgomotul ambiental, a determinat introducerea măsurilor Uniunii Europene de întocmire a hărţii strategice de zgomot.</w:t>
      </w:r>
    </w:p>
    <w:p w:rsidR="00D4086A" w:rsidRPr="00980AF8" w:rsidRDefault="00D4086A" w:rsidP="00D4086A">
      <w:pPr>
        <w:spacing w:after="0" w:line="240" w:lineRule="auto"/>
        <w:jc w:val="both"/>
        <w:rPr>
          <w:rFonts w:ascii="Arial" w:hAnsi="Arial" w:cs="Arial"/>
          <w:sz w:val="24"/>
          <w:szCs w:val="24"/>
        </w:rPr>
      </w:pPr>
      <w:r w:rsidRPr="00980AF8">
        <w:rPr>
          <w:rFonts w:ascii="Arial" w:hAnsi="Arial" w:cs="Arial"/>
          <w:sz w:val="24"/>
          <w:szCs w:val="24"/>
        </w:rPr>
        <w:t>Harta de zgomot este o reprezentare grafică a distribuirii nivelului sunetului într-o regiune anume, pentru o perioadă de timp bine definită. Realizarea hărților de zgomot este una din metodele moderne de evaluare a poluării acustice urbane. Hărțile de zgomot au ca scop evidențierea zonelor locuite unde nivelul de zgomot se ridică peste anumite limite impuse de legislație și astfel folosește la elaborarea de planuri de acțiune de protecție a locuitorilor împotriva expunerii și reducere a nivelurilor de zgomot.</w:t>
      </w:r>
    </w:p>
    <w:p w:rsidR="00D4086A" w:rsidRPr="00980AF8" w:rsidRDefault="00D4086A" w:rsidP="00D4086A">
      <w:pPr>
        <w:autoSpaceDE w:val="0"/>
        <w:autoSpaceDN w:val="0"/>
        <w:adjustRightInd w:val="0"/>
        <w:spacing w:after="0" w:line="240" w:lineRule="auto"/>
        <w:jc w:val="both"/>
        <w:rPr>
          <w:rFonts w:ascii="Arial" w:hAnsi="Arial" w:cs="Arial"/>
          <w:sz w:val="24"/>
          <w:szCs w:val="24"/>
        </w:rPr>
      </w:pPr>
      <w:r w:rsidRPr="00980AF8">
        <w:rPr>
          <w:rFonts w:ascii="Arial" w:hAnsi="Arial" w:cs="Arial"/>
          <w:sz w:val="24"/>
          <w:szCs w:val="24"/>
        </w:rPr>
        <w:t>O hartă de zgomot este :</w:t>
      </w:r>
    </w:p>
    <w:p w:rsidR="00D4086A" w:rsidRPr="00980AF8" w:rsidRDefault="00D4086A" w:rsidP="00252ED3">
      <w:pPr>
        <w:pStyle w:val="ListParagraph"/>
        <w:numPr>
          <w:ilvl w:val="0"/>
          <w:numId w:val="66"/>
        </w:numPr>
        <w:autoSpaceDE w:val="0"/>
        <w:autoSpaceDN w:val="0"/>
        <w:adjustRightInd w:val="0"/>
        <w:jc w:val="both"/>
        <w:rPr>
          <w:rFonts w:ascii="Arial" w:hAnsi="Arial" w:cs="Arial"/>
        </w:rPr>
      </w:pPr>
      <w:r w:rsidRPr="00980AF8">
        <w:rPr>
          <w:rFonts w:ascii="Arial" w:hAnsi="Arial" w:cs="Arial"/>
        </w:rPr>
        <w:t>situație de indicație a zgomotului existentă, trecută sau viitoare în termenii unui indicator de zgomot;</w:t>
      </w:r>
    </w:p>
    <w:p w:rsidR="00D4086A" w:rsidRPr="00980AF8" w:rsidRDefault="00D4086A" w:rsidP="00252ED3">
      <w:pPr>
        <w:pStyle w:val="ListParagraph"/>
        <w:numPr>
          <w:ilvl w:val="0"/>
          <w:numId w:val="66"/>
        </w:numPr>
        <w:autoSpaceDE w:val="0"/>
        <w:autoSpaceDN w:val="0"/>
        <w:adjustRightInd w:val="0"/>
        <w:jc w:val="both"/>
        <w:rPr>
          <w:rFonts w:ascii="Arial" w:hAnsi="Arial" w:cs="Arial"/>
        </w:rPr>
      </w:pPr>
      <w:r w:rsidRPr="00980AF8">
        <w:rPr>
          <w:rFonts w:ascii="Arial" w:hAnsi="Arial" w:cs="Arial"/>
        </w:rPr>
        <w:t>depășirea unei valori limită;</w:t>
      </w:r>
    </w:p>
    <w:p w:rsidR="00D4086A" w:rsidRPr="00980AF8" w:rsidRDefault="00D4086A" w:rsidP="00252ED3">
      <w:pPr>
        <w:pStyle w:val="ListParagraph"/>
        <w:numPr>
          <w:ilvl w:val="0"/>
          <w:numId w:val="66"/>
        </w:numPr>
        <w:autoSpaceDE w:val="0"/>
        <w:autoSpaceDN w:val="0"/>
        <w:adjustRightInd w:val="0"/>
        <w:jc w:val="both"/>
        <w:rPr>
          <w:rFonts w:ascii="Arial" w:hAnsi="Arial" w:cs="Arial"/>
        </w:rPr>
      </w:pPr>
      <w:r w:rsidRPr="00980AF8">
        <w:rPr>
          <w:rFonts w:ascii="Arial" w:hAnsi="Arial" w:cs="Arial"/>
        </w:rPr>
        <w:t>numărul de locuințe dintr-o anumită zonă care sunt expuse la anumite valori ale indicatorului de zgomot;</w:t>
      </w:r>
    </w:p>
    <w:p w:rsidR="00D4086A" w:rsidRPr="00980AF8" w:rsidRDefault="00D4086A" w:rsidP="00252ED3">
      <w:pPr>
        <w:pStyle w:val="ListParagraph"/>
        <w:numPr>
          <w:ilvl w:val="0"/>
          <w:numId w:val="66"/>
        </w:numPr>
        <w:autoSpaceDE w:val="0"/>
        <w:autoSpaceDN w:val="0"/>
        <w:adjustRightInd w:val="0"/>
        <w:jc w:val="both"/>
        <w:rPr>
          <w:rFonts w:ascii="Arial" w:hAnsi="Arial" w:cs="Arial"/>
        </w:rPr>
      </w:pPr>
      <w:r w:rsidRPr="00980AF8">
        <w:rPr>
          <w:rFonts w:ascii="Arial" w:hAnsi="Arial" w:cs="Arial"/>
        </w:rPr>
        <w:t>numărul de persoane ce este afectat (disconfort, deranj somn,etc) într-o anumită zonă.</w:t>
      </w:r>
    </w:p>
    <w:p w:rsidR="00D4086A" w:rsidRPr="00980AF8" w:rsidRDefault="00D4086A" w:rsidP="00D4086A">
      <w:pPr>
        <w:autoSpaceDE w:val="0"/>
        <w:autoSpaceDN w:val="0"/>
        <w:adjustRightInd w:val="0"/>
        <w:spacing w:after="0" w:line="240" w:lineRule="auto"/>
        <w:jc w:val="both"/>
        <w:rPr>
          <w:rFonts w:ascii="Arial" w:hAnsi="Arial" w:cs="Arial"/>
          <w:sz w:val="24"/>
          <w:szCs w:val="24"/>
        </w:rPr>
      </w:pPr>
    </w:p>
    <w:p w:rsidR="00D4086A" w:rsidRPr="00980AF8" w:rsidRDefault="00D4086A" w:rsidP="00D4086A">
      <w:pPr>
        <w:autoSpaceDE w:val="0"/>
        <w:autoSpaceDN w:val="0"/>
        <w:adjustRightInd w:val="0"/>
        <w:spacing w:after="0" w:line="240" w:lineRule="auto"/>
        <w:jc w:val="both"/>
        <w:rPr>
          <w:rFonts w:ascii="Arial" w:hAnsi="Arial" w:cs="Arial"/>
          <w:sz w:val="24"/>
          <w:szCs w:val="24"/>
        </w:rPr>
      </w:pPr>
      <w:r w:rsidRPr="00980AF8">
        <w:rPr>
          <w:rFonts w:ascii="Arial" w:hAnsi="Arial" w:cs="Arial"/>
          <w:sz w:val="24"/>
          <w:szCs w:val="24"/>
        </w:rPr>
        <w:t xml:space="preserve"> </w:t>
      </w:r>
      <w:r w:rsidRPr="00980AF8">
        <w:rPr>
          <w:rFonts w:ascii="Arial" w:hAnsi="Arial" w:cs="Arial"/>
          <w:b/>
          <w:sz w:val="24"/>
          <w:szCs w:val="24"/>
        </w:rPr>
        <w:t>Hărțile de zgomot</w:t>
      </w:r>
      <w:r w:rsidRPr="00980AF8">
        <w:rPr>
          <w:rFonts w:ascii="Arial" w:hAnsi="Arial" w:cs="Arial"/>
          <w:sz w:val="24"/>
          <w:szCs w:val="24"/>
        </w:rPr>
        <w:t xml:space="preserve"> trebuie să servească următoarelor cauze: oferă o bază pentru datele ce trebuie trimise Comisiei Europene; reprezintă o sursă de informare pentru cetățeni; oferă o bază pentru planuri de acțiune. Fiecare dintre aceste cauze necesită diferite tipuri de hărți acustice.</w:t>
      </w:r>
    </w:p>
    <w:p w:rsidR="00D4086A" w:rsidRDefault="00D4086A" w:rsidP="00D4086A">
      <w:pPr>
        <w:autoSpaceDE w:val="0"/>
        <w:autoSpaceDN w:val="0"/>
        <w:adjustRightInd w:val="0"/>
        <w:spacing w:after="0" w:line="240" w:lineRule="auto"/>
        <w:jc w:val="both"/>
        <w:rPr>
          <w:rFonts w:ascii="Arial" w:hAnsi="Arial" w:cs="Arial"/>
          <w:sz w:val="24"/>
          <w:szCs w:val="24"/>
        </w:rPr>
      </w:pPr>
      <w:r w:rsidRPr="00980AF8">
        <w:rPr>
          <w:rFonts w:ascii="Arial" w:hAnsi="Arial" w:cs="Arial"/>
          <w:b/>
          <w:bCs/>
          <w:sz w:val="24"/>
          <w:szCs w:val="24"/>
        </w:rPr>
        <w:t xml:space="preserve"> Planurile de acţiune </w:t>
      </w:r>
      <w:r w:rsidRPr="00980AF8">
        <w:rPr>
          <w:rFonts w:ascii="Arial" w:hAnsi="Arial" w:cs="Arial"/>
          <w:sz w:val="24"/>
          <w:szCs w:val="24"/>
        </w:rPr>
        <w:t>sunt destinate gestionării problemelor şi efectelor cauzate de zgomot, incluzând măsuri de diminuare, dacă este necesar. Planul de acţiune este o continuare naturală a procesului de cartare strategică a zgomotului.</w:t>
      </w:r>
    </w:p>
    <w:p w:rsidR="00D4086A" w:rsidRPr="00980AF8" w:rsidRDefault="00D4086A" w:rsidP="00D4086A">
      <w:pPr>
        <w:autoSpaceDE w:val="0"/>
        <w:autoSpaceDN w:val="0"/>
        <w:adjustRightInd w:val="0"/>
        <w:spacing w:after="0" w:line="240" w:lineRule="auto"/>
        <w:jc w:val="both"/>
        <w:rPr>
          <w:rFonts w:ascii="Arial" w:hAnsi="Arial" w:cs="Arial"/>
          <w:b/>
          <w:sz w:val="24"/>
          <w:szCs w:val="24"/>
          <w:u w:val="single"/>
        </w:rPr>
      </w:pPr>
    </w:p>
    <w:p w:rsidR="00D4086A" w:rsidRDefault="00D4086A" w:rsidP="00D4086A">
      <w:pPr>
        <w:autoSpaceDE w:val="0"/>
        <w:autoSpaceDN w:val="0"/>
        <w:adjustRightInd w:val="0"/>
        <w:spacing w:after="0" w:line="240" w:lineRule="auto"/>
        <w:ind w:firstLine="708"/>
        <w:jc w:val="both"/>
        <w:rPr>
          <w:rFonts w:ascii="Arial" w:hAnsi="Arial" w:cs="Arial"/>
          <w:sz w:val="24"/>
          <w:szCs w:val="24"/>
        </w:rPr>
      </w:pPr>
      <w:r w:rsidRPr="00980AF8">
        <w:rPr>
          <w:rFonts w:ascii="Arial" w:hAnsi="Arial" w:cs="Arial"/>
          <w:b/>
          <w:bCs/>
          <w:sz w:val="24"/>
          <w:szCs w:val="24"/>
        </w:rPr>
        <w:t xml:space="preserve">1. Hărţile strategice de zgomot pentru </w:t>
      </w:r>
      <w:r w:rsidRPr="00980AF8">
        <w:rPr>
          <w:rFonts w:ascii="Arial" w:hAnsi="Arial" w:cs="Arial"/>
          <w:b/>
          <w:sz w:val="24"/>
          <w:szCs w:val="24"/>
        </w:rPr>
        <w:t xml:space="preserve">Municipiul </w:t>
      </w:r>
      <w:r w:rsidR="00217620">
        <w:rPr>
          <w:rFonts w:ascii="Arial" w:hAnsi="Arial" w:cs="Arial"/>
          <w:b/>
          <w:sz w:val="24"/>
          <w:szCs w:val="24"/>
        </w:rPr>
        <w:t>Brăila</w:t>
      </w:r>
      <w:r w:rsidRPr="00980AF8">
        <w:rPr>
          <w:rFonts w:ascii="Arial" w:hAnsi="Arial" w:cs="Arial"/>
          <w:sz w:val="24"/>
          <w:szCs w:val="24"/>
        </w:rPr>
        <w:t xml:space="preserve"> au fost </w:t>
      </w:r>
      <w:r>
        <w:rPr>
          <w:rFonts w:ascii="Arial" w:hAnsi="Arial" w:cs="Arial"/>
          <w:sz w:val="24"/>
          <w:szCs w:val="24"/>
        </w:rPr>
        <w:t xml:space="preserve">realizate și aprobate prin Hotărârea HCLM </w:t>
      </w:r>
      <w:r w:rsidR="00217620">
        <w:rPr>
          <w:rFonts w:ascii="Arial" w:hAnsi="Arial" w:cs="Arial"/>
          <w:sz w:val="24"/>
          <w:szCs w:val="24"/>
        </w:rPr>
        <w:t>Brăila</w:t>
      </w:r>
      <w:r>
        <w:rPr>
          <w:rFonts w:ascii="Arial" w:hAnsi="Arial" w:cs="Arial"/>
          <w:sz w:val="24"/>
          <w:szCs w:val="24"/>
        </w:rPr>
        <w:t xml:space="preserve"> nr. 278/27.10.2015.</w:t>
      </w:r>
    </w:p>
    <w:p w:rsidR="00D4086A" w:rsidRDefault="00D4086A" w:rsidP="00D4086A">
      <w:pPr>
        <w:autoSpaceDE w:val="0"/>
        <w:autoSpaceDN w:val="0"/>
        <w:adjustRightInd w:val="0"/>
        <w:spacing w:after="0" w:line="240" w:lineRule="auto"/>
        <w:jc w:val="both"/>
        <w:rPr>
          <w:rFonts w:ascii="Arial" w:hAnsi="Arial" w:cs="Arial"/>
          <w:bCs/>
          <w:iCs/>
          <w:sz w:val="24"/>
          <w:szCs w:val="24"/>
        </w:rPr>
      </w:pPr>
      <w:r w:rsidRPr="00980AF8">
        <w:rPr>
          <w:rFonts w:ascii="Arial" w:hAnsi="Arial" w:cs="Arial"/>
          <w:b/>
          <w:bCs/>
          <w:i/>
          <w:iCs/>
          <w:sz w:val="24"/>
          <w:szCs w:val="24"/>
        </w:rPr>
        <w:t xml:space="preserve"> </w:t>
      </w:r>
      <w:r w:rsidRPr="00980AF8">
        <w:rPr>
          <w:rFonts w:ascii="Arial" w:hAnsi="Arial" w:cs="Arial"/>
          <w:b/>
          <w:bCs/>
          <w:i/>
          <w:iCs/>
          <w:sz w:val="24"/>
          <w:szCs w:val="24"/>
        </w:rPr>
        <w:tab/>
        <w:t xml:space="preserve">2. </w:t>
      </w:r>
      <w:r w:rsidRPr="00980AF8">
        <w:rPr>
          <w:rFonts w:ascii="Arial" w:hAnsi="Arial" w:cs="Arial"/>
          <w:b/>
          <w:bCs/>
          <w:iCs/>
          <w:sz w:val="24"/>
          <w:szCs w:val="24"/>
        </w:rPr>
        <w:t xml:space="preserve">Planul de acţiune pentru reducerea nivelului de zgomot ambiant în municipiul </w:t>
      </w:r>
      <w:r w:rsidR="00217620">
        <w:rPr>
          <w:rFonts w:ascii="Arial" w:hAnsi="Arial" w:cs="Arial"/>
          <w:b/>
          <w:bCs/>
          <w:iCs/>
          <w:sz w:val="24"/>
          <w:szCs w:val="24"/>
        </w:rPr>
        <w:t>Brăila</w:t>
      </w:r>
      <w:r w:rsidRPr="00980AF8">
        <w:rPr>
          <w:rFonts w:ascii="Arial" w:hAnsi="Arial" w:cs="Arial"/>
          <w:b/>
          <w:bCs/>
          <w:iCs/>
          <w:sz w:val="24"/>
          <w:szCs w:val="24"/>
        </w:rPr>
        <w:t xml:space="preserve"> </w:t>
      </w:r>
      <w:r w:rsidRPr="00980AF8">
        <w:rPr>
          <w:rFonts w:ascii="Arial" w:hAnsi="Arial" w:cs="Arial"/>
          <w:bCs/>
          <w:iCs/>
          <w:sz w:val="24"/>
          <w:szCs w:val="24"/>
        </w:rPr>
        <w:t>nu a fost realizat până la data prezentei.</w:t>
      </w:r>
    </w:p>
    <w:p w:rsidR="00D4086A" w:rsidRDefault="00D4086A" w:rsidP="00D4086A">
      <w:pPr>
        <w:tabs>
          <w:tab w:val="left" w:pos="567"/>
          <w:tab w:val="left" w:pos="709"/>
          <w:tab w:val="left" w:pos="993"/>
        </w:tabs>
        <w:autoSpaceDE w:val="0"/>
        <w:autoSpaceDN w:val="0"/>
        <w:adjustRightInd w:val="0"/>
        <w:spacing w:after="0" w:line="240" w:lineRule="auto"/>
        <w:jc w:val="both"/>
        <w:rPr>
          <w:rFonts w:ascii="Arial" w:hAnsi="Arial" w:cs="Arial"/>
          <w:sz w:val="24"/>
          <w:szCs w:val="24"/>
        </w:rPr>
      </w:pPr>
      <w:r w:rsidRPr="00980AF8">
        <w:rPr>
          <w:rFonts w:ascii="Arial" w:hAnsi="Arial" w:cs="Arial"/>
          <w:b/>
          <w:bCs/>
          <w:sz w:val="24"/>
          <w:szCs w:val="24"/>
        </w:rPr>
        <w:t xml:space="preserve">       </w:t>
      </w:r>
      <w:r w:rsidRPr="00980AF8">
        <w:rPr>
          <w:rFonts w:ascii="Arial" w:hAnsi="Arial" w:cs="Arial"/>
          <w:b/>
          <w:bCs/>
          <w:sz w:val="24"/>
          <w:szCs w:val="24"/>
        </w:rPr>
        <w:tab/>
        <w:t xml:space="preserve">  3. Compania Naţională Administraţia Porturilor Dunării Maritime SA Galaţi</w:t>
      </w:r>
      <w:r w:rsidRPr="00980AF8">
        <w:rPr>
          <w:rFonts w:ascii="Arial" w:hAnsi="Arial" w:cs="Arial"/>
          <w:sz w:val="24"/>
          <w:szCs w:val="24"/>
        </w:rPr>
        <w:t xml:space="preserve"> a realizat </w:t>
      </w:r>
      <w:r w:rsidRPr="00980AF8">
        <w:rPr>
          <w:rFonts w:ascii="Arial" w:hAnsi="Arial" w:cs="Arial"/>
          <w:b/>
          <w:sz w:val="24"/>
          <w:szCs w:val="24"/>
        </w:rPr>
        <w:t xml:space="preserve">Hărțile strategice de zgomot pentru Portul </w:t>
      </w:r>
      <w:r w:rsidR="00217620">
        <w:rPr>
          <w:rFonts w:ascii="Arial" w:hAnsi="Arial" w:cs="Arial"/>
          <w:b/>
          <w:sz w:val="24"/>
          <w:szCs w:val="24"/>
        </w:rPr>
        <w:t>Brăila</w:t>
      </w:r>
      <w:r w:rsidRPr="00980AF8">
        <w:rPr>
          <w:rFonts w:ascii="Arial" w:hAnsi="Arial" w:cs="Arial"/>
          <w:b/>
          <w:sz w:val="24"/>
          <w:szCs w:val="24"/>
        </w:rPr>
        <w:t xml:space="preserve"> </w:t>
      </w:r>
      <w:r w:rsidRPr="00980AF8">
        <w:rPr>
          <w:rFonts w:ascii="Arial" w:hAnsi="Arial" w:cs="Arial"/>
          <w:b/>
          <w:i/>
          <w:sz w:val="24"/>
          <w:szCs w:val="24"/>
        </w:rPr>
        <w:t>(Hârșova, Turcoaia, Măcin, Gura Arman)</w:t>
      </w:r>
      <w:r w:rsidRPr="00980AF8">
        <w:rPr>
          <w:rFonts w:ascii="Arial" w:hAnsi="Arial" w:cs="Arial"/>
          <w:i/>
          <w:sz w:val="24"/>
          <w:szCs w:val="24"/>
        </w:rPr>
        <w:t xml:space="preserve"> </w:t>
      </w:r>
      <w:r>
        <w:rPr>
          <w:rFonts w:ascii="Arial" w:hAnsi="Arial" w:cs="Arial"/>
          <w:i/>
          <w:sz w:val="24"/>
          <w:szCs w:val="24"/>
        </w:rPr>
        <w:t xml:space="preserve">și </w:t>
      </w:r>
      <w:r w:rsidRPr="00980AF8">
        <w:rPr>
          <w:rFonts w:ascii="Arial" w:hAnsi="Arial" w:cs="Arial"/>
          <w:bCs/>
          <w:sz w:val="24"/>
          <w:szCs w:val="24"/>
        </w:rPr>
        <w:t xml:space="preserve">au fost aprobate prin Ordinul Ministerului Transporturilor nr. 1183 /10.07.2014. </w:t>
      </w:r>
      <w:r w:rsidRPr="00980AF8">
        <w:rPr>
          <w:rFonts w:ascii="Arial" w:hAnsi="Arial" w:cs="Arial"/>
          <w:sz w:val="24"/>
          <w:szCs w:val="24"/>
        </w:rPr>
        <w:t>Concluzia care se desprinde din analiza rezultatelor obţinute este că nu există persoane expuse la nivel de zgomot peste limită. Strategia pe termen lung a C.N. APDM în ceea ce priveşte zgomotul ambiental este de a menţine emisiile datorate activităţilor portuare sub limitele admise în legislaţie şi de a îmbunătăţi situaţia existentă.</w:t>
      </w:r>
    </w:p>
    <w:p w:rsidR="00D4086A" w:rsidRPr="00980AF8" w:rsidRDefault="00D4086A" w:rsidP="00D4086A">
      <w:pPr>
        <w:autoSpaceDE w:val="0"/>
        <w:autoSpaceDN w:val="0"/>
        <w:adjustRightInd w:val="0"/>
        <w:spacing w:after="0" w:line="240" w:lineRule="auto"/>
        <w:ind w:firstLine="708"/>
        <w:jc w:val="both"/>
        <w:rPr>
          <w:rFonts w:ascii="Arial" w:hAnsi="Arial" w:cs="Arial"/>
          <w:sz w:val="24"/>
          <w:szCs w:val="24"/>
        </w:rPr>
      </w:pPr>
      <w:r w:rsidRPr="00980AF8">
        <w:rPr>
          <w:rFonts w:ascii="Arial" w:hAnsi="Arial" w:cs="Arial"/>
          <w:b/>
          <w:bCs/>
          <w:sz w:val="24"/>
          <w:szCs w:val="24"/>
        </w:rPr>
        <w:t>4.Compania Naţională Administraţia Porturilor Dunării Maritime SA Galaţi</w:t>
      </w:r>
      <w:r w:rsidRPr="00980AF8">
        <w:rPr>
          <w:rFonts w:ascii="Arial" w:hAnsi="Arial" w:cs="Arial"/>
          <w:sz w:val="24"/>
          <w:szCs w:val="24"/>
        </w:rPr>
        <w:t xml:space="preserve"> a realizat </w:t>
      </w:r>
      <w:r w:rsidRPr="00980AF8">
        <w:rPr>
          <w:rFonts w:ascii="Arial" w:hAnsi="Arial" w:cs="Arial"/>
          <w:b/>
          <w:bCs/>
          <w:sz w:val="24"/>
          <w:szCs w:val="24"/>
        </w:rPr>
        <w:t xml:space="preserve">Planurile de acţiune destinate gestionării zgomotului și a efectelor acestuia </w:t>
      </w:r>
      <w:r w:rsidRPr="00980AF8">
        <w:rPr>
          <w:rFonts w:ascii="Arial" w:hAnsi="Arial" w:cs="Arial"/>
          <w:b/>
          <w:sz w:val="24"/>
          <w:szCs w:val="24"/>
        </w:rPr>
        <w:t xml:space="preserve">pentru Portul </w:t>
      </w:r>
      <w:r w:rsidR="00217620">
        <w:rPr>
          <w:rFonts w:ascii="Arial" w:hAnsi="Arial" w:cs="Arial"/>
          <w:b/>
          <w:sz w:val="24"/>
          <w:szCs w:val="24"/>
        </w:rPr>
        <w:t>Brăila</w:t>
      </w:r>
      <w:r w:rsidRPr="00980AF8">
        <w:rPr>
          <w:rFonts w:ascii="Arial" w:hAnsi="Arial" w:cs="Arial"/>
          <w:b/>
          <w:sz w:val="24"/>
          <w:szCs w:val="24"/>
        </w:rPr>
        <w:t xml:space="preserve"> </w:t>
      </w:r>
      <w:r w:rsidRPr="00980AF8">
        <w:rPr>
          <w:rFonts w:ascii="Arial" w:hAnsi="Arial" w:cs="Arial"/>
          <w:b/>
          <w:i/>
          <w:sz w:val="24"/>
          <w:szCs w:val="24"/>
        </w:rPr>
        <w:t xml:space="preserve">(Hârșova, Turcoaia, Măcin, Gura Arman) </w:t>
      </w:r>
      <w:r w:rsidRPr="00980AF8">
        <w:rPr>
          <w:rFonts w:ascii="Arial" w:hAnsi="Arial" w:cs="Arial"/>
          <w:sz w:val="24"/>
          <w:szCs w:val="24"/>
        </w:rPr>
        <w:t>au fost aprobate prin  Ordinul Ministerului Transportului nr. 672/25.05.2015.</w:t>
      </w:r>
    </w:p>
    <w:p w:rsidR="00D4086A" w:rsidRDefault="00D4086A" w:rsidP="00D4086A">
      <w:pPr>
        <w:autoSpaceDE w:val="0"/>
        <w:autoSpaceDN w:val="0"/>
        <w:adjustRightInd w:val="0"/>
        <w:spacing w:after="0" w:line="240" w:lineRule="auto"/>
        <w:jc w:val="both"/>
        <w:rPr>
          <w:rFonts w:ascii="Arial" w:hAnsi="Arial" w:cs="Arial"/>
          <w:sz w:val="24"/>
          <w:szCs w:val="24"/>
        </w:rPr>
      </w:pPr>
    </w:p>
    <w:p w:rsidR="00D4086A" w:rsidRPr="00980AF8" w:rsidRDefault="00D4086A" w:rsidP="00D4086A">
      <w:pPr>
        <w:autoSpaceDE w:val="0"/>
        <w:autoSpaceDN w:val="0"/>
        <w:adjustRightInd w:val="0"/>
        <w:spacing w:after="0" w:line="240" w:lineRule="auto"/>
        <w:jc w:val="both"/>
        <w:rPr>
          <w:rFonts w:ascii="Arial" w:hAnsi="Arial" w:cs="Arial"/>
          <w:sz w:val="24"/>
          <w:szCs w:val="24"/>
        </w:rPr>
      </w:pPr>
      <w:r w:rsidRPr="00980AF8">
        <w:rPr>
          <w:rFonts w:ascii="Arial" w:hAnsi="Arial" w:cs="Arial"/>
          <w:sz w:val="24"/>
          <w:szCs w:val="24"/>
        </w:rPr>
        <w:t>Rezolvarea problemei poluării sonore impune o abordare pluridisciplinară în care trebuie antrenaţi specialişti din diferite domenii: urbanism şi amenajarea teritoriului, protecţia mediului, sănătate publică, poliţie, informatică, inginerie, mass-media, organizaţii neguvernamentale etc.</w:t>
      </w:r>
    </w:p>
    <w:p w:rsidR="00D4086A" w:rsidRPr="00980AF8" w:rsidRDefault="00D4086A" w:rsidP="00D4086A">
      <w:pPr>
        <w:autoSpaceDE w:val="0"/>
        <w:autoSpaceDN w:val="0"/>
        <w:adjustRightInd w:val="0"/>
        <w:spacing w:after="0" w:line="240" w:lineRule="auto"/>
        <w:jc w:val="both"/>
        <w:rPr>
          <w:rFonts w:ascii="Arial" w:hAnsi="Arial" w:cs="Arial"/>
          <w:sz w:val="24"/>
          <w:szCs w:val="24"/>
        </w:rPr>
      </w:pPr>
    </w:p>
    <w:p w:rsidR="00D4086A" w:rsidRPr="00980AF8" w:rsidRDefault="00D4086A" w:rsidP="00D4086A">
      <w:pPr>
        <w:autoSpaceDE w:val="0"/>
        <w:autoSpaceDN w:val="0"/>
        <w:adjustRightInd w:val="0"/>
        <w:spacing w:after="0" w:line="240" w:lineRule="auto"/>
        <w:jc w:val="both"/>
        <w:rPr>
          <w:rFonts w:ascii="Arial" w:hAnsi="Arial" w:cs="Arial"/>
          <w:sz w:val="24"/>
          <w:szCs w:val="24"/>
        </w:rPr>
      </w:pPr>
      <w:r w:rsidRPr="00980AF8">
        <w:rPr>
          <w:rFonts w:ascii="Arial" w:hAnsi="Arial" w:cs="Arial"/>
          <w:sz w:val="24"/>
          <w:szCs w:val="24"/>
        </w:rPr>
        <w:t>Dintre obiectivele şi măsurile avute în vedere a fi aplicabile enumerăm:</w:t>
      </w:r>
    </w:p>
    <w:p w:rsidR="00D4086A" w:rsidRPr="00980AF8" w:rsidRDefault="00D4086A" w:rsidP="00252ED3">
      <w:pPr>
        <w:pStyle w:val="ListParagraph"/>
        <w:numPr>
          <w:ilvl w:val="0"/>
          <w:numId w:val="67"/>
        </w:numPr>
        <w:autoSpaceDE w:val="0"/>
        <w:autoSpaceDN w:val="0"/>
        <w:adjustRightInd w:val="0"/>
        <w:jc w:val="both"/>
        <w:rPr>
          <w:rFonts w:ascii="Arial" w:hAnsi="Arial" w:cs="Arial"/>
        </w:rPr>
      </w:pPr>
      <w:r w:rsidRPr="00980AF8">
        <w:rPr>
          <w:rFonts w:ascii="Arial" w:hAnsi="Arial" w:cs="Arial"/>
        </w:rPr>
        <w:lastRenderedPageBreak/>
        <w:t>punerea în aplicare a planurilor de acţiune având ca scop prevenirea şi reducerea  zgomotului ambiental în zonele pentru care s-au întocmit hărţile de zgomot;</w:t>
      </w:r>
    </w:p>
    <w:p w:rsidR="00D4086A" w:rsidRPr="00980AF8" w:rsidRDefault="00D4086A" w:rsidP="00252ED3">
      <w:pPr>
        <w:pStyle w:val="ListParagraph"/>
        <w:numPr>
          <w:ilvl w:val="0"/>
          <w:numId w:val="67"/>
        </w:numPr>
        <w:jc w:val="both"/>
        <w:rPr>
          <w:rFonts w:ascii="Arial" w:hAnsi="Arial" w:cs="Arial"/>
        </w:rPr>
      </w:pPr>
      <w:r w:rsidRPr="00980AF8">
        <w:rPr>
          <w:rFonts w:ascii="Arial" w:hAnsi="Arial" w:cs="Arial"/>
        </w:rPr>
        <w:t>amplasarea noilor obiective industriale şi economice în afara zonelor de locuit;</w:t>
      </w:r>
    </w:p>
    <w:p w:rsidR="00D4086A" w:rsidRPr="00980AF8" w:rsidRDefault="00D4086A" w:rsidP="00252ED3">
      <w:pPr>
        <w:pStyle w:val="ListParagraph"/>
        <w:numPr>
          <w:ilvl w:val="0"/>
          <w:numId w:val="67"/>
        </w:numPr>
        <w:autoSpaceDE w:val="0"/>
        <w:autoSpaceDN w:val="0"/>
        <w:adjustRightInd w:val="0"/>
        <w:jc w:val="both"/>
        <w:rPr>
          <w:rFonts w:ascii="Arial" w:hAnsi="Arial" w:cs="Arial"/>
        </w:rPr>
      </w:pPr>
      <w:r w:rsidRPr="00980AF8">
        <w:rPr>
          <w:rFonts w:ascii="Arial" w:hAnsi="Arial" w:cs="Arial"/>
        </w:rPr>
        <w:t>evitarea construirii de noi locuinţe în zonele identificate cu un nivel ridicat a nivelului de  zgomot;</w:t>
      </w:r>
    </w:p>
    <w:p w:rsidR="00D4086A" w:rsidRPr="00980AF8" w:rsidRDefault="00D4086A" w:rsidP="00252ED3">
      <w:pPr>
        <w:pStyle w:val="ListParagraph"/>
        <w:numPr>
          <w:ilvl w:val="0"/>
          <w:numId w:val="67"/>
        </w:numPr>
        <w:autoSpaceDE w:val="0"/>
        <w:autoSpaceDN w:val="0"/>
        <w:adjustRightInd w:val="0"/>
        <w:jc w:val="both"/>
        <w:rPr>
          <w:rFonts w:ascii="Arial" w:hAnsi="Arial" w:cs="Arial"/>
        </w:rPr>
      </w:pPr>
      <w:r w:rsidRPr="00980AF8">
        <w:rPr>
          <w:rFonts w:ascii="Arial" w:hAnsi="Arial" w:cs="Arial"/>
        </w:rPr>
        <w:t>utilizarea în construcţii a materialelor fonoabsorbante;</w:t>
      </w:r>
    </w:p>
    <w:p w:rsidR="00D4086A" w:rsidRPr="00980AF8" w:rsidRDefault="00D4086A" w:rsidP="00252ED3">
      <w:pPr>
        <w:pStyle w:val="ListParagraph"/>
        <w:numPr>
          <w:ilvl w:val="0"/>
          <w:numId w:val="67"/>
        </w:numPr>
        <w:autoSpaceDE w:val="0"/>
        <w:autoSpaceDN w:val="0"/>
        <w:adjustRightInd w:val="0"/>
        <w:jc w:val="both"/>
        <w:rPr>
          <w:rFonts w:ascii="Arial" w:hAnsi="Arial" w:cs="Arial"/>
        </w:rPr>
      </w:pPr>
      <w:r w:rsidRPr="00980AF8">
        <w:rPr>
          <w:rFonts w:ascii="Arial" w:hAnsi="Arial" w:cs="Arial"/>
        </w:rPr>
        <w:t>monitorizarea zgomotului în incintele industriale, prin actele de reglementare emise din punct de vedere al protecţiei mediului.</w:t>
      </w:r>
    </w:p>
    <w:p w:rsidR="00D4086A" w:rsidRPr="00594535" w:rsidRDefault="00D4086A" w:rsidP="00D4086A">
      <w:pPr>
        <w:jc w:val="both"/>
        <w:rPr>
          <w:rFonts w:ascii="Arial" w:hAnsi="Arial" w:cs="Arial"/>
          <w:sz w:val="24"/>
          <w:szCs w:val="24"/>
        </w:rPr>
      </w:pPr>
    </w:p>
    <w:p w:rsidR="00D4086A" w:rsidRPr="00594535" w:rsidRDefault="00D4086A" w:rsidP="00D4086A">
      <w:pPr>
        <w:jc w:val="both"/>
        <w:rPr>
          <w:rFonts w:ascii="Arial" w:hAnsi="Arial" w:cs="Arial"/>
          <w:b/>
          <w:sz w:val="24"/>
          <w:szCs w:val="24"/>
          <w:highlight w:val="yellow"/>
          <w:lang w:val="en-US"/>
        </w:rPr>
      </w:pPr>
      <w:r>
        <w:rPr>
          <w:rFonts w:ascii="Arial" w:hAnsi="Arial" w:cs="Arial"/>
          <w:b/>
          <w:sz w:val="24"/>
          <w:szCs w:val="24"/>
          <w:lang w:val="en-US"/>
        </w:rPr>
        <w:t xml:space="preserve"> </w:t>
      </w:r>
      <w:r w:rsidRPr="00594535">
        <w:rPr>
          <w:rFonts w:ascii="Arial" w:hAnsi="Arial" w:cs="Arial"/>
          <w:b/>
          <w:sz w:val="24"/>
          <w:szCs w:val="24"/>
          <w:lang w:val="en-US"/>
        </w:rPr>
        <w:t xml:space="preserve">VIII.1.3. </w:t>
      </w:r>
      <w:r w:rsidRPr="00E2616E">
        <w:rPr>
          <w:rFonts w:ascii="Arial" w:hAnsi="Arial" w:cs="Arial"/>
          <w:b/>
          <w:i/>
          <w:sz w:val="24"/>
          <w:szCs w:val="24"/>
          <w:lang w:val="en-US"/>
        </w:rPr>
        <w:t xml:space="preserve">Calitatea apei potabile şi efectele asupra sǎnǎtǎţii </w:t>
      </w:r>
    </w:p>
    <w:p w:rsidR="00D4086A" w:rsidRPr="00185D25" w:rsidRDefault="00D4086A" w:rsidP="00D4086A">
      <w:pPr>
        <w:spacing w:after="0" w:line="240" w:lineRule="auto"/>
        <w:jc w:val="both"/>
        <w:rPr>
          <w:rFonts w:ascii="Arial" w:hAnsi="Arial" w:cs="Arial"/>
          <w:sz w:val="24"/>
          <w:szCs w:val="24"/>
          <w:lang w:val="en-US"/>
        </w:rPr>
      </w:pPr>
      <w:r w:rsidRPr="00594535">
        <w:rPr>
          <w:rFonts w:ascii="Arial" w:hAnsi="Arial" w:cs="Arial"/>
          <w:b/>
          <w:sz w:val="24"/>
          <w:szCs w:val="24"/>
          <w:lang w:val="en-US"/>
        </w:rPr>
        <w:t>A.</w:t>
      </w:r>
      <w:r w:rsidRPr="00594535">
        <w:rPr>
          <w:rFonts w:ascii="Arial" w:hAnsi="Arial" w:cs="Arial"/>
          <w:sz w:val="24"/>
          <w:szCs w:val="24"/>
          <w:lang w:val="en-US"/>
        </w:rPr>
        <w:t xml:space="preserve"> </w:t>
      </w:r>
      <w:r w:rsidRPr="00185D25">
        <w:rPr>
          <w:rFonts w:ascii="Arial" w:hAnsi="Arial" w:cs="Arial"/>
          <w:sz w:val="24"/>
          <w:szCs w:val="24"/>
          <w:lang w:val="en-US"/>
        </w:rPr>
        <w:t xml:space="preserve">În județul </w:t>
      </w:r>
      <w:r w:rsidR="00217620">
        <w:rPr>
          <w:rFonts w:ascii="Arial" w:hAnsi="Arial" w:cs="Arial"/>
          <w:sz w:val="24"/>
          <w:szCs w:val="24"/>
          <w:lang w:val="en-US"/>
        </w:rPr>
        <w:t>Brăila</w:t>
      </w:r>
      <w:r w:rsidRPr="00185D25">
        <w:rPr>
          <w:rFonts w:ascii="Arial" w:hAnsi="Arial" w:cs="Arial"/>
          <w:sz w:val="24"/>
          <w:szCs w:val="24"/>
          <w:lang w:val="en-US"/>
        </w:rPr>
        <w:t xml:space="preserve"> există următoarele stații de tratare și distribuție a apei potabile la nivelul anului 2016: </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1.</w:t>
      </w:r>
      <w:r w:rsidRPr="00185D25">
        <w:rPr>
          <w:rFonts w:ascii="Arial" w:hAnsi="Arial" w:cs="Arial"/>
          <w:sz w:val="24"/>
          <w:szCs w:val="24"/>
          <w:lang w:val="en-US"/>
        </w:rPr>
        <w:t xml:space="preserve"> Sta</w:t>
      </w:r>
      <w:r>
        <w:rPr>
          <w:rFonts w:ascii="Arial" w:hAnsi="Arial" w:cs="Arial"/>
          <w:sz w:val="24"/>
          <w:szCs w:val="24"/>
          <w:lang w:val="en-US"/>
        </w:rPr>
        <w:t>ț</w:t>
      </w:r>
      <w:r w:rsidRPr="00185D25">
        <w:rPr>
          <w:rFonts w:ascii="Arial" w:hAnsi="Arial" w:cs="Arial"/>
          <w:sz w:val="24"/>
          <w:szCs w:val="24"/>
          <w:lang w:val="en-US"/>
        </w:rPr>
        <w:t xml:space="preserve">ia de tratare a apei </w:t>
      </w:r>
      <w:r w:rsidR="00217620">
        <w:rPr>
          <w:rFonts w:ascii="Arial" w:hAnsi="Arial" w:cs="Arial"/>
          <w:b/>
          <w:sz w:val="24"/>
          <w:szCs w:val="24"/>
          <w:lang w:val="en-US"/>
        </w:rPr>
        <w:t>Brăila</w:t>
      </w:r>
      <w:r w:rsidRPr="00185D25">
        <w:rPr>
          <w:rFonts w:ascii="Arial" w:hAnsi="Arial" w:cs="Arial"/>
          <w:sz w:val="24"/>
          <w:szCs w:val="24"/>
          <w:lang w:val="en-US"/>
        </w:rPr>
        <w:t xml:space="preserve">, autorizată sanitar, cu următoarea zonă de distribuție: municipiul </w:t>
      </w:r>
      <w:r w:rsidR="00217620">
        <w:rPr>
          <w:rFonts w:ascii="Arial" w:hAnsi="Arial" w:cs="Arial"/>
          <w:sz w:val="24"/>
          <w:szCs w:val="24"/>
          <w:lang w:val="en-US"/>
        </w:rPr>
        <w:t>Brăila</w:t>
      </w:r>
      <w:r w:rsidRPr="00185D25">
        <w:rPr>
          <w:rFonts w:ascii="Arial" w:hAnsi="Arial" w:cs="Arial"/>
          <w:sz w:val="24"/>
          <w:szCs w:val="24"/>
          <w:lang w:val="en-US"/>
        </w:rPr>
        <w:t xml:space="preserve"> și localitățile Chiscani, Lacu Sărat, Vărsătura, Baldovinești, Pietroiu, Cazasu,Comăneasca, T. Vladimirescu, Scorțaru Vechi, Siliștea, Mărtăcești ( apa provine din Dunăre).</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2.</w:t>
      </w:r>
      <w:r w:rsidRPr="00185D25">
        <w:rPr>
          <w:rFonts w:ascii="Arial" w:hAnsi="Arial" w:cs="Arial"/>
          <w:sz w:val="24"/>
          <w:szCs w:val="24"/>
          <w:lang w:val="en-US"/>
        </w:rPr>
        <w:t xml:space="preserve"> Stația de tratare a apei </w:t>
      </w:r>
      <w:r w:rsidRPr="00185D25">
        <w:rPr>
          <w:rFonts w:ascii="Arial" w:hAnsi="Arial" w:cs="Arial"/>
          <w:b/>
          <w:sz w:val="24"/>
          <w:szCs w:val="24"/>
          <w:lang w:val="en-US"/>
        </w:rPr>
        <w:t>Ianca</w:t>
      </w:r>
      <w:r w:rsidRPr="00185D25">
        <w:rPr>
          <w:rFonts w:ascii="Arial" w:hAnsi="Arial" w:cs="Arial"/>
          <w:sz w:val="24"/>
          <w:szCs w:val="24"/>
          <w:lang w:val="en-US"/>
        </w:rPr>
        <w:t>, autorizată sanitar, cu zonă de distribuție reprezentată de localitățile Ianca, Făurei, Plopu, Perișoru, Oprișenești, Berlești, Tîrlele Filiu, Bordei Verde, Ga</w:t>
      </w:r>
      <w:r w:rsidR="007C1699">
        <w:rPr>
          <w:rFonts w:ascii="Arial" w:hAnsi="Arial" w:cs="Arial"/>
          <w:sz w:val="24"/>
          <w:szCs w:val="24"/>
          <w:lang w:val="en-US"/>
        </w:rPr>
        <w:t>BR</w:t>
      </w:r>
      <w:r w:rsidRPr="00185D25">
        <w:rPr>
          <w:rFonts w:ascii="Arial" w:hAnsi="Arial" w:cs="Arial"/>
          <w:sz w:val="24"/>
          <w:szCs w:val="24"/>
          <w:lang w:val="en-US"/>
        </w:rPr>
        <w:t xml:space="preserve">ielescu, Lișcotenca, Surdila Greci, Făurei, Sat </w:t>
      </w:r>
      <w:r w:rsidR="007C1699">
        <w:rPr>
          <w:rFonts w:ascii="Arial" w:hAnsi="Arial" w:cs="Arial"/>
          <w:sz w:val="24"/>
          <w:szCs w:val="24"/>
          <w:lang w:val="en-US"/>
        </w:rPr>
        <w:t>BR</w:t>
      </w:r>
      <w:r w:rsidRPr="00185D25">
        <w:rPr>
          <w:rFonts w:ascii="Arial" w:hAnsi="Arial" w:cs="Arial"/>
          <w:sz w:val="24"/>
          <w:szCs w:val="24"/>
          <w:lang w:val="en-US"/>
        </w:rPr>
        <w:t xml:space="preserve">ateșu Vechi, Horia, </w:t>
      </w:r>
      <w:r w:rsidRPr="00185D25">
        <w:rPr>
          <w:rFonts w:ascii="Arial" w:hAnsi="Arial" w:cs="Arial"/>
          <w:sz w:val="24"/>
          <w:szCs w:val="24"/>
        </w:rPr>
        <w:t>Surdila Găiseanca, Filipești, Mircea Vodă, Dedulești, Grădiștea, I</w:t>
      </w:r>
      <w:r w:rsidR="007C1699">
        <w:rPr>
          <w:rFonts w:ascii="Arial" w:hAnsi="Arial" w:cs="Arial"/>
          <w:sz w:val="24"/>
          <w:szCs w:val="24"/>
        </w:rPr>
        <w:t>BR</w:t>
      </w:r>
      <w:r w:rsidRPr="00185D25">
        <w:rPr>
          <w:rFonts w:ascii="Arial" w:hAnsi="Arial" w:cs="Arial"/>
          <w:sz w:val="24"/>
          <w:szCs w:val="24"/>
        </w:rPr>
        <w:t>ianu, Maraloiu, Șuțești, M. Kogălniceanu, Jirlău</w:t>
      </w:r>
      <w:r w:rsidRPr="00185D25">
        <w:rPr>
          <w:rFonts w:ascii="Times New Roman" w:hAnsi="Times New Roman"/>
          <w:sz w:val="24"/>
          <w:szCs w:val="24"/>
        </w:rPr>
        <w:t xml:space="preserve"> </w:t>
      </w:r>
      <w:r w:rsidRPr="00185D25">
        <w:rPr>
          <w:rFonts w:ascii="Arial" w:hAnsi="Arial" w:cs="Arial"/>
          <w:sz w:val="24"/>
          <w:szCs w:val="24"/>
          <w:lang w:val="en-US"/>
        </w:rPr>
        <w:t>(apa provine din Dunăre).</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3.</w:t>
      </w:r>
      <w:r w:rsidRPr="00185D25">
        <w:rPr>
          <w:rFonts w:ascii="Arial" w:hAnsi="Arial" w:cs="Arial"/>
          <w:sz w:val="24"/>
          <w:szCs w:val="24"/>
          <w:lang w:val="en-US"/>
        </w:rPr>
        <w:t xml:space="preserve"> Stația de tratare a apei </w:t>
      </w:r>
      <w:r w:rsidRPr="00185D25">
        <w:rPr>
          <w:rFonts w:ascii="Arial" w:hAnsi="Arial" w:cs="Arial"/>
          <w:b/>
          <w:sz w:val="24"/>
          <w:szCs w:val="24"/>
          <w:lang w:val="en-US"/>
        </w:rPr>
        <w:t>Gropeni,</w:t>
      </w:r>
      <w:r w:rsidRPr="00185D25">
        <w:rPr>
          <w:rFonts w:ascii="Arial" w:hAnsi="Arial" w:cs="Arial"/>
          <w:sz w:val="24"/>
          <w:szCs w:val="24"/>
          <w:lang w:val="en-US"/>
        </w:rPr>
        <w:t xml:space="preserve"> autorizată sanitar, cu zonă de distribuție reprezentată de localitățile Gropeni, Tufești, Tichilești, (apa provine din Dunăre).</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4.</w:t>
      </w:r>
      <w:r w:rsidRPr="00185D25">
        <w:rPr>
          <w:rFonts w:ascii="Arial" w:hAnsi="Arial" w:cs="Arial"/>
          <w:sz w:val="24"/>
          <w:szCs w:val="24"/>
          <w:lang w:val="en-US"/>
        </w:rPr>
        <w:t xml:space="preserve"> Stația de tratare a apei </w:t>
      </w:r>
      <w:r w:rsidRPr="00185D25">
        <w:rPr>
          <w:rFonts w:ascii="Arial" w:hAnsi="Arial" w:cs="Arial"/>
          <w:b/>
          <w:sz w:val="24"/>
          <w:szCs w:val="24"/>
          <w:lang w:val="en-US"/>
        </w:rPr>
        <w:t>Movila Miresii</w:t>
      </w:r>
      <w:r w:rsidRPr="00185D25">
        <w:rPr>
          <w:rFonts w:ascii="Arial" w:hAnsi="Arial" w:cs="Arial"/>
          <w:sz w:val="24"/>
          <w:szCs w:val="24"/>
          <w:lang w:val="en-US"/>
        </w:rPr>
        <w:t>, autorizată sanitar, cu zonă de distribuție reprezentată de localitățile Movila Miresii, Țepeș Vodă, Esna, Urleasca, Gemenele, Râmnicelu, Constantinești, Boarca, M.Kogălniceanu, Racovița, Custura, Corbeni, Traian, Găvani (apa provine din Dunăre).</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5.</w:t>
      </w:r>
      <w:r w:rsidRPr="00185D25">
        <w:rPr>
          <w:rFonts w:ascii="Arial" w:hAnsi="Arial" w:cs="Arial"/>
          <w:sz w:val="24"/>
          <w:szCs w:val="24"/>
          <w:lang w:val="en-US"/>
        </w:rPr>
        <w:t xml:space="preserve"> Stația de tratare a apei </w:t>
      </w:r>
      <w:r w:rsidRPr="00185D25">
        <w:rPr>
          <w:rFonts w:ascii="Arial" w:hAnsi="Arial" w:cs="Arial"/>
          <w:b/>
          <w:sz w:val="24"/>
          <w:szCs w:val="24"/>
          <w:lang w:val="en-US"/>
        </w:rPr>
        <w:t>Unirea</w:t>
      </w:r>
      <w:r w:rsidRPr="00185D25">
        <w:rPr>
          <w:rFonts w:ascii="Arial" w:hAnsi="Arial" w:cs="Arial"/>
          <w:sz w:val="24"/>
          <w:szCs w:val="24"/>
          <w:lang w:val="en-US"/>
        </w:rPr>
        <w:t>, autorizată sanitar, cu zonă de distribuție reprezentată de localitățile Unirea, Lanurile, Viziru, Valea Cânepii (apa provine din Dunăre).</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6.</w:t>
      </w:r>
      <w:r w:rsidRPr="00185D25">
        <w:rPr>
          <w:rFonts w:ascii="Arial" w:hAnsi="Arial" w:cs="Arial"/>
          <w:sz w:val="24"/>
          <w:szCs w:val="24"/>
          <w:lang w:val="en-US"/>
        </w:rPr>
        <w:t xml:space="preserve"> Stația de tratare a apei </w:t>
      </w:r>
      <w:r w:rsidRPr="00185D25">
        <w:rPr>
          <w:rFonts w:ascii="Arial" w:hAnsi="Arial" w:cs="Arial"/>
          <w:b/>
          <w:sz w:val="24"/>
          <w:szCs w:val="24"/>
          <w:lang w:val="en-US"/>
        </w:rPr>
        <w:t>Însurăței</w:t>
      </w:r>
      <w:r w:rsidRPr="00185D25">
        <w:rPr>
          <w:rFonts w:ascii="Arial" w:hAnsi="Arial" w:cs="Arial"/>
          <w:sz w:val="24"/>
          <w:szCs w:val="24"/>
          <w:lang w:val="en-US"/>
        </w:rPr>
        <w:t>, autorizată sanitar, cu zonă de distribuție reprezentată de localitățile Însurăței, Lacu Rezii, Măru Roșu (apă de profunzime).</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7.</w:t>
      </w:r>
      <w:r w:rsidRPr="00185D25">
        <w:rPr>
          <w:rFonts w:ascii="Arial" w:hAnsi="Arial" w:cs="Arial"/>
          <w:sz w:val="24"/>
          <w:szCs w:val="24"/>
          <w:lang w:val="en-US"/>
        </w:rPr>
        <w:t xml:space="preserve"> Stația de tratare a apei </w:t>
      </w:r>
      <w:r w:rsidRPr="00185D25">
        <w:rPr>
          <w:rFonts w:ascii="Arial" w:hAnsi="Arial" w:cs="Arial"/>
          <w:b/>
          <w:sz w:val="24"/>
          <w:szCs w:val="24"/>
          <w:lang w:val="en-US"/>
        </w:rPr>
        <w:t>Victoria</w:t>
      </w:r>
      <w:r w:rsidRPr="00185D25">
        <w:rPr>
          <w:rFonts w:ascii="Arial" w:hAnsi="Arial" w:cs="Arial"/>
          <w:sz w:val="24"/>
          <w:szCs w:val="24"/>
          <w:lang w:val="en-US"/>
        </w:rPr>
        <w:t xml:space="preserve">, autorizată sanitar, cu zonă de distribuție reprezentată de localitățile Victoria, Mihai </w:t>
      </w:r>
      <w:r w:rsidR="007C1699">
        <w:rPr>
          <w:rFonts w:ascii="Arial" w:hAnsi="Arial" w:cs="Arial"/>
          <w:sz w:val="24"/>
          <w:szCs w:val="24"/>
          <w:lang w:val="en-US"/>
        </w:rPr>
        <w:t>BR</w:t>
      </w:r>
      <w:r w:rsidRPr="00185D25">
        <w:rPr>
          <w:rFonts w:ascii="Arial" w:hAnsi="Arial" w:cs="Arial"/>
          <w:sz w:val="24"/>
          <w:szCs w:val="24"/>
          <w:lang w:val="en-US"/>
        </w:rPr>
        <w:t>avu, Bărăganu (apă de profunzime).</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8.</w:t>
      </w:r>
      <w:r w:rsidRPr="00185D25">
        <w:rPr>
          <w:rFonts w:ascii="Arial" w:hAnsi="Arial" w:cs="Arial"/>
          <w:sz w:val="24"/>
          <w:szCs w:val="24"/>
          <w:lang w:val="en-US"/>
        </w:rPr>
        <w:t xml:space="preserve"> Stația de tratare a apei </w:t>
      </w:r>
      <w:r w:rsidRPr="00185D25">
        <w:rPr>
          <w:rFonts w:ascii="Arial" w:hAnsi="Arial" w:cs="Arial"/>
          <w:b/>
          <w:sz w:val="24"/>
          <w:szCs w:val="24"/>
          <w:lang w:val="en-US"/>
        </w:rPr>
        <w:t>Roșiori,</w:t>
      </w:r>
      <w:r w:rsidRPr="00185D25">
        <w:rPr>
          <w:rFonts w:ascii="Arial" w:hAnsi="Arial" w:cs="Arial"/>
          <w:sz w:val="24"/>
          <w:szCs w:val="24"/>
          <w:lang w:val="en-US"/>
        </w:rPr>
        <w:t xml:space="preserve"> autorizată sanitar, cu zonă de distribuție reprezentată de localitatea Roșiori (apă de profunzime).</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sz w:val="24"/>
          <w:szCs w:val="24"/>
          <w:lang w:val="en-US"/>
        </w:rPr>
        <w:t xml:space="preserve">Stațiile de tratare și distribuție a apei potabile aparțin de Compania de Utilități Publice Dunărea </w:t>
      </w:r>
      <w:r w:rsidR="00217620">
        <w:rPr>
          <w:rFonts w:ascii="Arial" w:hAnsi="Arial" w:cs="Arial"/>
          <w:sz w:val="24"/>
          <w:szCs w:val="24"/>
          <w:lang w:val="en-US"/>
        </w:rPr>
        <w:t>Brăila</w:t>
      </w:r>
      <w:r w:rsidRPr="00185D25">
        <w:rPr>
          <w:rFonts w:ascii="Arial" w:hAnsi="Arial" w:cs="Arial"/>
          <w:sz w:val="24"/>
          <w:szCs w:val="24"/>
          <w:lang w:val="en-US"/>
        </w:rPr>
        <w:t xml:space="preserve"> și furnizează apă de calitate corespunzătoare care este monitorizată atât de producătorul județean de apă, cât și de Direcția de Sănătate Publică </w:t>
      </w:r>
      <w:r w:rsidR="00217620">
        <w:rPr>
          <w:rFonts w:ascii="Arial" w:hAnsi="Arial" w:cs="Arial"/>
          <w:sz w:val="24"/>
          <w:szCs w:val="24"/>
          <w:lang w:val="en-US"/>
        </w:rPr>
        <w:t>Brăila</w:t>
      </w:r>
      <w:r w:rsidRPr="00185D25">
        <w:rPr>
          <w:rFonts w:ascii="Arial" w:hAnsi="Arial" w:cs="Arial"/>
          <w:sz w:val="24"/>
          <w:szCs w:val="24"/>
          <w:lang w:val="en-US"/>
        </w:rPr>
        <w:t>.</w:t>
      </w:r>
    </w:p>
    <w:p w:rsidR="00D4086A" w:rsidRPr="00185D25" w:rsidRDefault="00D4086A" w:rsidP="00D4086A">
      <w:pPr>
        <w:spacing w:after="0" w:line="240" w:lineRule="auto"/>
        <w:jc w:val="both"/>
        <w:rPr>
          <w:rFonts w:ascii="Arial" w:hAnsi="Arial" w:cs="Arial"/>
          <w:sz w:val="24"/>
          <w:szCs w:val="24"/>
          <w:lang w:val="en-US"/>
        </w:rPr>
      </w:pPr>
    </w:p>
    <w:p w:rsidR="00D4086A" w:rsidRPr="00185D25" w:rsidRDefault="00D4086A" w:rsidP="00D4086A">
      <w:pPr>
        <w:ind w:firstLine="720"/>
        <w:jc w:val="both"/>
        <w:rPr>
          <w:rFonts w:ascii="Arial" w:eastAsia="Calibri" w:hAnsi="Arial" w:cs="Arial"/>
          <w:sz w:val="24"/>
          <w:szCs w:val="24"/>
          <w:lang w:val="en-US"/>
        </w:rPr>
      </w:pPr>
      <w:r w:rsidRPr="00185D25">
        <w:rPr>
          <w:rFonts w:ascii="Arial" w:eastAsia="Calibri" w:hAnsi="Arial" w:cs="Arial"/>
          <w:sz w:val="24"/>
          <w:szCs w:val="24"/>
          <w:lang w:val="en-US"/>
        </w:rPr>
        <w:t xml:space="preserve">În a doua parte a anului 2016 au început probele tehnologice la noua stație de tratare a apei construită în comuna Gropeni și treptat s-a realizat și racordarea rețelei județene la această stație. Prin punerea în funcțiune a acestui nou obiectiv de la Gropeni, stațiile din localitățile Unirea, Ianca și Movila Miresii s-au transformat în gospodării cu apă. La sfârșitul anului 2016, CUP Dunărea </w:t>
      </w:r>
      <w:r w:rsidR="00217620">
        <w:rPr>
          <w:rFonts w:ascii="Arial" w:eastAsia="Calibri" w:hAnsi="Arial" w:cs="Arial"/>
          <w:sz w:val="24"/>
          <w:szCs w:val="24"/>
          <w:lang w:val="en-US"/>
        </w:rPr>
        <w:t>Brăila</w:t>
      </w:r>
      <w:r w:rsidRPr="00185D25">
        <w:rPr>
          <w:rFonts w:ascii="Arial" w:eastAsia="Calibri" w:hAnsi="Arial" w:cs="Arial"/>
          <w:sz w:val="24"/>
          <w:szCs w:val="24"/>
          <w:lang w:val="en-US"/>
        </w:rPr>
        <w:t xml:space="preserve"> a depus documentația în vederea autorizării sanitare a acestei stații și a rețelei de distribuție.</w:t>
      </w:r>
    </w:p>
    <w:p w:rsidR="00D4086A" w:rsidRPr="00185D25" w:rsidRDefault="00D4086A" w:rsidP="00D4086A">
      <w:pPr>
        <w:ind w:firstLine="720"/>
        <w:rPr>
          <w:rFonts w:ascii="Arial" w:eastAsia="Calibri" w:hAnsi="Arial" w:cs="Arial"/>
          <w:sz w:val="24"/>
          <w:szCs w:val="24"/>
          <w:lang w:val="en-US"/>
        </w:rPr>
      </w:pPr>
      <w:r w:rsidRPr="00185D25">
        <w:rPr>
          <w:rFonts w:ascii="Arial" w:eastAsia="Calibri" w:hAnsi="Arial" w:cs="Arial"/>
          <w:sz w:val="24"/>
          <w:szCs w:val="24"/>
          <w:lang w:val="en-US"/>
        </w:rPr>
        <w:t xml:space="preserve">În cursul anului 2016 toate aceste stații au funcționat corespunzător. Microbiologic probele au corespuns prevederilor legale, s-au înregistrat neconformități doar la parametrul „clor”, mai ales în sezonul cald, când, datorită consumului mare de apă nu s-a reușit în toate cazurile menținerea la capete de rețea a clorului rezidual la valorile minime admisibile. </w:t>
      </w:r>
    </w:p>
    <w:p w:rsidR="00D4086A" w:rsidRPr="00185D25" w:rsidRDefault="00D4086A" w:rsidP="00D4086A">
      <w:pPr>
        <w:ind w:firstLine="720"/>
        <w:jc w:val="both"/>
        <w:rPr>
          <w:rFonts w:ascii="Arial" w:eastAsia="Calibri" w:hAnsi="Arial" w:cs="Arial"/>
          <w:sz w:val="24"/>
          <w:szCs w:val="24"/>
          <w:lang w:val="en-US"/>
        </w:rPr>
      </w:pPr>
      <w:r w:rsidRPr="00185D25">
        <w:rPr>
          <w:rFonts w:ascii="Arial" w:eastAsia="Calibri" w:hAnsi="Arial" w:cs="Arial"/>
          <w:sz w:val="24"/>
          <w:szCs w:val="24"/>
          <w:lang w:val="en-US"/>
        </w:rPr>
        <w:lastRenderedPageBreak/>
        <w:t xml:space="preserve">În evidența D.S.P. </w:t>
      </w:r>
      <w:r w:rsidR="00217620">
        <w:rPr>
          <w:rFonts w:ascii="Arial" w:eastAsia="Calibri" w:hAnsi="Arial" w:cs="Arial"/>
          <w:sz w:val="24"/>
          <w:szCs w:val="24"/>
          <w:lang w:val="en-US"/>
        </w:rPr>
        <w:t>Brăila</w:t>
      </w:r>
      <w:r w:rsidRPr="00185D25">
        <w:rPr>
          <w:rFonts w:ascii="Arial" w:eastAsia="Calibri" w:hAnsi="Arial" w:cs="Arial"/>
          <w:sz w:val="24"/>
          <w:szCs w:val="24"/>
          <w:lang w:val="en-US"/>
        </w:rPr>
        <w:t xml:space="preserve"> se mai găsesc încă două stații de tratare a apei aflate în proprietatea a doi agenti economici, autorizate sanitar, care au funcționat corespunzător : SC Mimbu SRL cu profil de industrie alimentară ce folosește apa de profunzime și SC TEBU Invest Consult SRL cu profil zootehnic, care  folosește apa provenită din Dunăre.</w:t>
      </w:r>
    </w:p>
    <w:p w:rsidR="00D4086A" w:rsidRPr="00185D25" w:rsidRDefault="00D4086A" w:rsidP="00D4086A">
      <w:pPr>
        <w:spacing w:after="0" w:line="240" w:lineRule="auto"/>
        <w:jc w:val="both"/>
        <w:rPr>
          <w:rFonts w:ascii="Arial" w:hAnsi="Arial" w:cs="Arial"/>
          <w:sz w:val="24"/>
          <w:szCs w:val="24"/>
          <w:lang w:val="en-US"/>
        </w:rPr>
      </w:pP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B.</w:t>
      </w:r>
      <w:r w:rsidRPr="00185D25">
        <w:rPr>
          <w:rFonts w:ascii="Arial" w:hAnsi="Arial" w:cs="Arial"/>
          <w:sz w:val="24"/>
          <w:szCs w:val="24"/>
          <w:lang w:val="en-US"/>
        </w:rPr>
        <w:t xml:space="preserve"> Alte localități folosesc apa din surse de profunzime (puțuri de medie/mare adâncime):</w:t>
      </w:r>
    </w:p>
    <w:p w:rsidR="00D4086A" w:rsidRPr="00185D25" w:rsidRDefault="00D4086A" w:rsidP="00D4086A">
      <w:pPr>
        <w:ind w:firstLine="720"/>
        <w:jc w:val="both"/>
        <w:rPr>
          <w:rFonts w:ascii="Arial" w:hAnsi="Arial" w:cs="Arial"/>
          <w:sz w:val="24"/>
          <w:szCs w:val="24"/>
          <w:lang w:val="en-US"/>
        </w:rPr>
      </w:pPr>
      <w:r w:rsidRPr="00185D25">
        <w:rPr>
          <w:rFonts w:ascii="Arial" w:hAnsi="Arial" w:cs="Arial"/>
          <w:sz w:val="24"/>
          <w:szCs w:val="24"/>
          <w:lang w:val="en-US"/>
        </w:rPr>
        <w:t xml:space="preserve">   - Berteștii de Jos, Galbenu, Jirlău (parțial), Măxineni, Romanu, Salcia Tudor, Scorțaru Nou, Vișani, Vădeni, Stăncuța și Frecăței Ele dispun de microinstalații care captează, înmagazinează și distribuie apa </w:t>
      </w:r>
      <w:r w:rsidRPr="00185D25">
        <w:rPr>
          <w:rFonts w:ascii="Arial" w:hAnsi="Arial" w:cs="Arial"/>
          <w:sz w:val="24"/>
          <w:szCs w:val="24"/>
        </w:rPr>
        <w:t>unele dispunând de echipamente de tratare sau doar de dezinfecție  a apei.</w:t>
      </w:r>
      <w:r w:rsidRPr="00185D25">
        <w:rPr>
          <w:rFonts w:ascii="Arial" w:hAnsi="Arial" w:cs="Arial"/>
          <w:sz w:val="24"/>
          <w:szCs w:val="24"/>
          <w:lang w:val="en-US"/>
        </w:rPr>
        <w:t xml:space="preserve"> Aceasta nu corespunde din punct de vedere chimic,înregistrând depășiri la parametri precum cloruri, fier.</w:t>
      </w:r>
      <w:r w:rsidRPr="00185D25">
        <w:rPr>
          <w:rFonts w:ascii="Times New Roman" w:eastAsia="Calibri" w:hAnsi="Times New Roman"/>
          <w:sz w:val="24"/>
          <w:szCs w:val="24"/>
          <w:lang w:val="en-US"/>
        </w:rPr>
        <w:t xml:space="preserve"> </w:t>
      </w:r>
      <w:r w:rsidRPr="00185D25">
        <w:rPr>
          <w:rFonts w:ascii="Arial" w:eastAsia="Calibri" w:hAnsi="Arial" w:cs="Arial"/>
          <w:sz w:val="24"/>
          <w:szCs w:val="24"/>
          <w:lang w:val="en-US"/>
        </w:rPr>
        <w:t xml:space="preserve">Cu excepția stațiilor de la Stăncuța și Frecăței aflate în proprietatea UAT-urilor, celelalte stații se află în administrarea CUP Dunărea </w:t>
      </w:r>
      <w:r w:rsidR="00217620">
        <w:rPr>
          <w:rFonts w:ascii="Arial" w:eastAsia="Calibri" w:hAnsi="Arial" w:cs="Arial"/>
          <w:sz w:val="24"/>
          <w:szCs w:val="24"/>
          <w:lang w:val="en-US"/>
        </w:rPr>
        <w:t>Brăila</w:t>
      </w:r>
      <w:r w:rsidRPr="00185D25">
        <w:rPr>
          <w:rFonts w:ascii="Arial" w:eastAsia="Calibri" w:hAnsi="Arial" w:cs="Arial"/>
          <w:sz w:val="24"/>
          <w:szCs w:val="24"/>
          <w:lang w:val="en-US"/>
        </w:rPr>
        <w:t xml:space="preserve"> și nu sunt autorizate sanitar. Date privind calitatea neconformă a apei au constituit subiectul informărilor periodice către producătorul județean de apă, către UAT-uri și către autoritățile județene.   </w:t>
      </w:r>
    </w:p>
    <w:p w:rsidR="00D4086A" w:rsidRPr="00185D25" w:rsidRDefault="00D4086A" w:rsidP="00D4086A">
      <w:pPr>
        <w:spacing w:after="0" w:line="240" w:lineRule="auto"/>
        <w:jc w:val="both"/>
        <w:rPr>
          <w:rFonts w:ascii="Arial" w:hAnsi="Arial" w:cs="Arial"/>
          <w:sz w:val="24"/>
          <w:szCs w:val="24"/>
          <w:lang w:val="en-US"/>
        </w:rPr>
      </w:pPr>
      <w:r w:rsidRPr="00185D25">
        <w:rPr>
          <w:rFonts w:ascii="Arial" w:hAnsi="Arial" w:cs="Arial"/>
          <w:b/>
          <w:sz w:val="24"/>
          <w:szCs w:val="24"/>
          <w:lang w:val="en-US"/>
        </w:rPr>
        <w:t xml:space="preserve">C. </w:t>
      </w:r>
      <w:r w:rsidRPr="00185D25">
        <w:rPr>
          <w:rFonts w:ascii="Arial" w:hAnsi="Arial" w:cs="Arial"/>
          <w:sz w:val="24"/>
          <w:szCs w:val="24"/>
          <w:lang w:val="en-US"/>
        </w:rPr>
        <w:t>O ultimă categorie este reprezentată de localități rurale care folosesc apa de fântână care nu este de bună calitate. Astfel de localități sunt:</w:t>
      </w:r>
    </w:p>
    <w:p w:rsidR="00D4086A" w:rsidRDefault="00D4086A" w:rsidP="00D4086A">
      <w:pPr>
        <w:spacing w:after="0" w:line="240" w:lineRule="auto"/>
        <w:jc w:val="both"/>
        <w:rPr>
          <w:rFonts w:ascii="Arial" w:hAnsi="Arial" w:cs="Arial"/>
          <w:sz w:val="24"/>
          <w:szCs w:val="24"/>
          <w:lang w:val="en-US"/>
        </w:rPr>
      </w:pPr>
      <w:r w:rsidRPr="00185D25">
        <w:rPr>
          <w:rFonts w:ascii="Arial" w:hAnsi="Arial" w:cs="Arial"/>
          <w:sz w:val="24"/>
          <w:szCs w:val="24"/>
          <w:lang w:val="en-US"/>
        </w:rPr>
        <w:t xml:space="preserve"> - Dudești, Ciocile, Cireșu, Marașu, Ulmu, Zăvoaia și mai multe sate componente aparținând comunelor Măxineni, Roșiori, Salcia Tudor, Siliștea, Stăncuța,Tichilești, Traian.</w:t>
      </w:r>
    </w:p>
    <w:p w:rsidR="00D4086A" w:rsidRPr="00185D25" w:rsidRDefault="00D4086A" w:rsidP="00D4086A">
      <w:pPr>
        <w:spacing w:after="0" w:line="240" w:lineRule="auto"/>
        <w:jc w:val="both"/>
        <w:rPr>
          <w:rFonts w:ascii="Arial" w:hAnsi="Arial" w:cs="Arial"/>
          <w:sz w:val="24"/>
          <w:szCs w:val="24"/>
          <w:lang w:val="en-US"/>
        </w:rPr>
      </w:pPr>
    </w:p>
    <w:p w:rsidR="00D4086A" w:rsidRPr="00185D25" w:rsidRDefault="00D4086A" w:rsidP="00D4086A">
      <w:pPr>
        <w:spacing w:after="0" w:line="240" w:lineRule="auto"/>
        <w:jc w:val="both"/>
        <w:rPr>
          <w:rFonts w:ascii="Arial" w:hAnsi="Arial" w:cs="Arial"/>
          <w:b/>
          <w:i/>
          <w:sz w:val="24"/>
          <w:szCs w:val="24"/>
          <w:lang w:val="en-US"/>
        </w:rPr>
      </w:pPr>
      <w:r w:rsidRPr="00185D25">
        <w:rPr>
          <w:rFonts w:ascii="Arial" w:hAnsi="Arial" w:cs="Arial"/>
          <w:b/>
          <w:i/>
          <w:sz w:val="20"/>
          <w:szCs w:val="20"/>
          <w:lang w:val="en-US"/>
        </w:rPr>
        <w:t>Not</w:t>
      </w:r>
      <w:r w:rsidRPr="00185D25">
        <w:rPr>
          <w:rFonts w:ascii="Arial" w:hAnsi="Arial" w:cs="Arial"/>
          <w:b/>
          <w:i/>
          <w:sz w:val="20"/>
          <w:szCs w:val="20"/>
        </w:rPr>
        <w:t xml:space="preserve">ă: Informații actualizate la nivelul anului 2016 furnizate de către Direcția de Sănătate Publică a județului </w:t>
      </w:r>
      <w:r w:rsidR="00217620">
        <w:rPr>
          <w:rFonts w:ascii="Arial" w:hAnsi="Arial" w:cs="Arial"/>
          <w:b/>
          <w:i/>
          <w:sz w:val="20"/>
          <w:szCs w:val="20"/>
        </w:rPr>
        <w:t>Brăila</w:t>
      </w:r>
    </w:p>
    <w:p w:rsidR="00D4086A" w:rsidRPr="00594535" w:rsidRDefault="00D4086A" w:rsidP="00D4086A">
      <w:pPr>
        <w:jc w:val="both"/>
        <w:rPr>
          <w:rFonts w:ascii="Arial" w:hAnsi="Arial" w:cs="Arial"/>
          <w:sz w:val="24"/>
          <w:szCs w:val="24"/>
        </w:rPr>
      </w:pPr>
    </w:p>
    <w:p w:rsidR="00D4086A" w:rsidRDefault="00D4086A" w:rsidP="00D4086A">
      <w:pPr>
        <w:jc w:val="both"/>
        <w:rPr>
          <w:rFonts w:ascii="Arial" w:hAnsi="Arial" w:cs="Arial"/>
          <w:b/>
          <w:sz w:val="24"/>
          <w:szCs w:val="24"/>
          <w:lang w:val="en-US"/>
        </w:rPr>
      </w:pPr>
      <w:r w:rsidRPr="00594535">
        <w:rPr>
          <w:rFonts w:ascii="Arial" w:hAnsi="Arial" w:cs="Arial"/>
          <w:b/>
          <w:sz w:val="24"/>
          <w:szCs w:val="24"/>
          <w:lang w:val="en-US"/>
        </w:rPr>
        <w:t>Influenţa calităţii apei potabile asupra sănătăţii umane</w:t>
      </w:r>
      <w:r>
        <w:rPr>
          <w:rFonts w:ascii="Arial" w:hAnsi="Arial" w:cs="Arial"/>
          <w:b/>
          <w:sz w:val="24"/>
          <w:szCs w:val="24"/>
          <w:lang w:val="en-US"/>
        </w:rPr>
        <w:t xml:space="preserve"> </w:t>
      </w:r>
    </w:p>
    <w:p w:rsidR="00D4086A" w:rsidRDefault="00D4086A" w:rsidP="00D4086A">
      <w:pPr>
        <w:pStyle w:val="BodyText2"/>
        <w:spacing w:after="0" w:line="240" w:lineRule="auto"/>
        <w:ind w:firstLine="720"/>
        <w:rPr>
          <w:rFonts w:ascii="Arial" w:hAnsi="Arial" w:cs="Arial"/>
        </w:rPr>
      </w:pPr>
      <w:r w:rsidRPr="003F77BD">
        <w:rPr>
          <w:rFonts w:ascii="Arial" w:hAnsi="Arial" w:cs="Arial"/>
        </w:rPr>
        <w:t>Calitatea apei pentru consum uman</w:t>
      </w:r>
      <w:r>
        <w:rPr>
          <w:rFonts w:ascii="Arial" w:hAnsi="Arial" w:cs="Arial"/>
        </w:rPr>
        <w:t xml:space="preserve"> în anul 2016</w:t>
      </w:r>
      <w:r w:rsidRPr="003F77BD">
        <w:rPr>
          <w:rFonts w:ascii="Arial" w:hAnsi="Arial" w:cs="Arial"/>
        </w:rPr>
        <w:t xml:space="preserve"> s-a concretizat </w:t>
      </w:r>
      <w:r>
        <w:rPr>
          <w:rFonts w:ascii="Arial" w:hAnsi="Arial" w:cs="Arial"/>
        </w:rPr>
        <w:t>î</w:t>
      </w:r>
      <w:r w:rsidRPr="003F77BD">
        <w:rPr>
          <w:rFonts w:ascii="Arial" w:hAnsi="Arial" w:cs="Arial"/>
        </w:rPr>
        <w:t>n recoltarea de probe din toate zonele de aprovizionare autorizate din jude</w:t>
      </w:r>
      <w:r>
        <w:rPr>
          <w:rFonts w:ascii="Arial" w:hAnsi="Arial" w:cs="Arial"/>
        </w:rPr>
        <w:t>ț</w:t>
      </w:r>
      <w:r w:rsidRPr="003F77BD">
        <w:rPr>
          <w:rFonts w:ascii="Arial" w:hAnsi="Arial" w:cs="Arial"/>
        </w:rPr>
        <w:t xml:space="preserve">, </w:t>
      </w:r>
      <w:r>
        <w:rPr>
          <w:rFonts w:ascii="Arial" w:hAnsi="Arial" w:cs="Arial"/>
        </w:rPr>
        <w:t>î</w:t>
      </w:r>
      <w:r w:rsidRPr="003F77BD">
        <w:rPr>
          <w:rFonts w:ascii="Arial" w:hAnsi="Arial" w:cs="Arial"/>
        </w:rPr>
        <w:t>n cadrul monitoriz</w:t>
      </w:r>
      <w:r>
        <w:rPr>
          <w:rFonts w:ascii="Arial" w:hAnsi="Arial" w:cs="Arial"/>
        </w:rPr>
        <w:t>ă</w:t>
      </w:r>
      <w:r w:rsidRPr="003F77BD">
        <w:rPr>
          <w:rFonts w:ascii="Arial" w:hAnsi="Arial" w:cs="Arial"/>
        </w:rPr>
        <w:t>rilor, rezultatele fiind urmatoarele:</w:t>
      </w:r>
    </w:p>
    <w:p w:rsidR="004E720D" w:rsidRDefault="004E720D" w:rsidP="00D4086A">
      <w:pPr>
        <w:pStyle w:val="BodyText2"/>
        <w:spacing w:after="0" w:line="240" w:lineRule="auto"/>
        <w:ind w:firstLine="720"/>
        <w:rPr>
          <w:rFonts w:ascii="Arial" w:hAnsi="Arial" w:cs="Arial"/>
          <w:b/>
          <w:lang w:val="en-US"/>
        </w:rPr>
      </w:pPr>
    </w:p>
    <w:p w:rsidR="00D4086A" w:rsidRPr="004E720D" w:rsidRDefault="00D4086A" w:rsidP="00D4086A">
      <w:pPr>
        <w:pStyle w:val="BodyText2"/>
        <w:spacing w:after="0" w:line="240" w:lineRule="auto"/>
        <w:ind w:firstLine="720"/>
        <w:rPr>
          <w:lang w:val="it-IT"/>
        </w:rPr>
      </w:pPr>
      <w:r w:rsidRPr="004E720D">
        <w:rPr>
          <w:rFonts w:ascii="Arial" w:hAnsi="Arial" w:cs="Arial"/>
          <w:lang w:val="en-US"/>
        </w:rPr>
        <w:t>Tabel VIII.1.3. -1</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400"/>
        <w:gridCol w:w="2072"/>
        <w:gridCol w:w="1843"/>
        <w:gridCol w:w="2245"/>
      </w:tblGrid>
      <w:tr w:rsidR="00D4086A" w:rsidRPr="003F77BD" w:rsidTr="0033527B">
        <w:trPr>
          <w:trHeight w:val="375"/>
        </w:trPr>
        <w:tc>
          <w:tcPr>
            <w:tcW w:w="2340" w:type="dxa"/>
            <w:vMerge w:val="restart"/>
            <w:shd w:val="clear" w:color="auto" w:fill="92CDDC"/>
          </w:tcPr>
          <w:p w:rsidR="00D4086A" w:rsidRPr="00F2468C" w:rsidRDefault="00D4086A" w:rsidP="0033527B">
            <w:pPr>
              <w:pStyle w:val="BodyText2"/>
              <w:spacing w:after="0" w:line="240" w:lineRule="auto"/>
              <w:jc w:val="center"/>
              <w:rPr>
                <w:rFonts w:ascii="Arial" w:hAnsi="Arial" w:cs="Arial"/>
                <w:b/>
                <w:sz w:val="22"/>
                <w:szCs w:val="22"/>
              </w:rPr>
            </w:pPr>
            <w:r w:rsidRPr="00F2468C">
              <w:rPr>
                <w:rFonts w:ascii="Arial" w:hAnsi="Arial" w:cs="Arial"/>
                <w:b/>
                <w:sz w:val="22"/>
                <w:szCs w:val="22"/>
              </w:rPr>
              <w:t>Zona de</w:t>
            </w:r>
          </w:p>
          <w:p w:rsidR="00D4086A" w:rsidRPr="00F2468C" w:rsidRDefault="00D4086A" w:rsidP="0033527B">
            <w:pPr>
              <w:pStyle w:val="BodyText2"/>
              <w:spacing w:after="0" w:line="240" w:lineRule="auto"/>
              <w:jc w:val="center"/>
              <w:rPr>
                <w:rFonts w:ascii="Arial" w:hAnsi="Arial" w:cs="Arial"/>
                <w:b/>
                <w:sz w:val="22"/>
                <w:szCs w:val="22"/>
              </w:rPr>
            </w:pPr>
            <w:r w:rsidRPr="00F2468C">
              <w:rPr>
                <w:rFonts w:ascii="Arial" w:hAnsi="Arial" w:cs="Arial"/>
                <w:b/>
                <w:sz w:val="22"/>
                <w:szCs w:val="22"/>
              </w:rPr>
              <w:t>aproviz</w:t>
            </w:r>
            <w:r>
              <w:rPr>
                <w:rFonts w:ascii="Arial" w:hAnsi="Arial" w:cs="Arial"/>
                <w:b/>
                <w:sz w:val="22"/>
                <w:szCs w:val="22"/>
              </w:rPr>
              <w:t>ionare</w:t>
            </w:r>
          </w:p>
          <w:p w:rsidR="00D4086A" w:rsidRPr="00F2468C" w:rsidRDefault="00D4086A" w:rsidP="0033527B">
            <w:pPr>
              <w:pStyle w:val="BodyText2"/>
              <w:spacing w:after="0" w:line="240" w:lineRule="auto"/>
              <w:jc w:val="center"/>
              <w:rPr>
                <w:rFonts w:ascii="Arial" w:hAnsi="Arial" w:cs="Arial"/>
                <w:b/>
                <w:i/>
                <w:sz w:val="22"/>
                <w:szCs w:val="22"/>
                <w:lang w:val="pt-BR"/>
              </w:rPr>
            </w:pPr>
            <w:r w:rsidRPr="00F2468C">
              <w:rPr>
                <w:rFonts w:ascii="Arial" w:hAnsi="Arial" w:cs="Arial"/>
                <w:b/>
                <w:sz w:val="22"/>
                <w:szCs w:val="22"/>
              </w:rPr>
              <w:t>cu apă potabilă</w:t>
            </w:r>
          </w:p>
        </w:tc>
        <w:tc>
          <w:tcPr>
            <w:tcW w:w="1400" w:type="dxa"/>
            <w:vMerge w:val="restart"/>
            <w:shd w:val="clear" w:color="auto" w:fill="92CDDC"/>
          </w:tcPr>
          <w:p w:rsidR="00D4086A" w:rsidRPr="00F2468C" w:rsidRDefault="00D4086A" w:rsidP="0033527B">
            <w:pPr>
              <w:pStyle w:val="BodyText2"/>
              <w:spacing w:after="0" w:line="240" w:lineRule="auto"/>
              <w:jc w:val="center"/>
              <w:rPr>
                <w:rFonts w:ascii="Arial" w:hAnsi="Arial" w:cs="Arial"/>
                <w:b/>
                <w:sz w:val="22"/>
                <w:szCs w:val="22"/>
              </w:rPr>
            </w:pPr>
            <w:r w:rsidRPr="00F2468C">
              <w:rPr>
                <w:rFonts w:ascii="Arial" w:hAnsi="Arial" w:cs="Arial"/>
                <w:b/>
                <w:sz w:val="22"/>
                <w:szCs w:val="22"/>
              </w:rPr>
              <w:t>Nr. parametri</w:t>
            </w:r>
          </w:p>
          <w:p w:rsidR="00D4086A" w:rsidRPr="00F2468C" w:rsidRDefault="00D4086A" w:rsidP="0033527B">
            <w:pPr>
              <w:pStyle w:val="BodyText2"/>
              <w:spacing w:after="0" w:line="240" w:lineRule="auto"/>
              <w:jc w:val="center"/>
              <w:rPr>
                <w:rFonts w:ascii="Arial" w:hAnsi="Arial" w:cs="Arial"/>
                <w:b/>
                <w:sz w:val="22"/>
                <w:szCs w:val="22"/>
                <w:lang w:val="pt-BR"/>
              </w:rPr>
            </w:pPr>
            <w:r w:rsidRPr="00F2468C">
              <w:rPr>
                <w:rFonts w:ascii="Arial" w:hAnsi="Arial" w:cs="Arial"/>
                <w:b/>
                <w:sz w:val="22"/>
                <w:szCs w:val="22"/>
                <w:lang w:val="pt-BR"/>
              </w:rPr>
              <w:t>analizați</w:t>
            </w:r>
          </w:p>
        </w:tc>
        <w:tc>
          <w:tcPr>
            <w:tcW w:w="2072" w:type="dxa"/>
            <w:vMerge w:val="restart"/>
            <w:shd w:val="clear" w:color="auto" w:fill="92CDDC"/>
          </w:tcPr>
          <w:p w:rsidR="00D4086A" w:rsidRPr="00F2468C" w:rsidRDefault="00D4086A" w:rsidP="0033527B">
            <w:pPr>
              <w:pStyle w:val="BodyText2"/>
              <w:spacing w:after="0" w:line="240" w:lineRule="auto"/>
              <w:jc w:val="center"/>
              <w:rPr>
                <w:rFonts w:ascii="Arial" w:hAnsi="Arial" w:cs="Arial"/>
                <w:b/>
                <w:sz w:val="22"/>
                <w:szCs w:val="22"/>
                <w:lang w:val="pt-BR"/>
              </w:rPr>
            </w:pPr>
            <w:r w:rsidRPr="00F2468C">
              <w:rPr>
                <w:rFonts w:ascii="Arial" w:hAnsi="Arial" w:cs="Arial"/>
                <w:b/>
                <w:sz w:val="22"/>
                <w:szCs w:val="22"/>
                <w:lang w:val="pt-BR"/>
              </w:rPr>
              <w:t>Nr. total parametri</w:t>
            </w:r>
          </w:p>
          <w:p w:rsidR="00D4086A" w:rsidRPr="00F2468C" w:rsidRDefault="00D4086A" w:rsidP="0033527B">
            <w:pPr>
              <w:pStyle w:val="BodyText2"/>
              <w:spacing w:after="0" w:line="240" w:lineRule="auto"/>
              <w:jc w:val="center"/>
              <w:rPr>
                <w:rFonts w:ascii="Arial" w:hAnsi="Arial" w:cs="Arial"/>
                <w:b/>
                <w:sz w:val="22"/>
                <w:szCs w:val="22"/>
                <w:lang w:val="pt-BR"/>
              </w:rPr>
            </w:pPr>
            <w:r w:rsidRPr="00F2468C">
              <w:rPr>
                <w:rFonts w:ascii="Arial" w:hAnsi="Arial" w:cs="Arial"/>
                <w:b/>
                <w:sz w:val="22"/>
                <w:szCs w:val="22"/>
                <w:lang w:val="pt-BR"/>
              </w:rPr>
              <w:t>necorespunzători</w:t>
            </w:r>
          </w:p>
        </w:tc>
        <w:tc>
          <w:tcPr>
            <w:tcW w:w="4088" w:type="dxa"/>
            <w:gridSpan w:val="2"/>
            <w:shd w:val="clear" w:color="auto" w:fill="92CDDC"/>
          </w:tcPr>
          <w:p w:rsidR="00D4086A" w:rsidRPr="00F2468C" w:rsidRDefault="00D4086A" w:rsidP="0033527B">
            <w:pPr>
              <w:pStyle w:val="BodyText2"/>
              <w:spacing w:after="0" w:line="240" w:lineRule="auto"/>
              <w:jc w:val="center"/>
              <w:rPr>
                <w:rFonts w:ascii="Arial" w:hAnsi="Arial" w:cs="Arial"/>
                <w:b/>
                <w:sz w:val="22"/>
                <w:szCs w:val="22"/>
                <w:lang w:val="pt-BR"/>
              </w:rPr>
            </w:pPr>
            <w:r w:rsidRPr="00F2468C">
              <w:rPr>
                <w:rFonts w:ascii="Arial" w:hAnsi="Arial" w:cs="Arial"/>
                <w:b/>
                <w:sz w:val="22"/>
                <w:szCs w:val="22"/>
                <w:lang w:val="pt-BR"/>
              </w:rPr>
              <w:t>Nr. parametri necorespunzători</w:t>
            </w:r>
          </w:p>
        </w:tc>
      </w:tr>
      <w:tr w:rsidR="00D4086A" w:rsidRPr="003F77BD" w:rsidTr="00880E32">
        <w:trPr>
          <w:trHeight w:val="393"/>
        </w:trPr>
        <w:tc>
          <w:tcPr>
            <w:tcW w:w="2340" w:type="dxa"/>
            <w:vMerge/>
            <w:shd w:val="clear" w:color="auto" w:fill="92CDDC"/>
          </w:tcPr>
          <w:p w:rsidR="00D4086A" w:rsidRPr="00F2468C" w:rsidRDefault="00D4086A" w:rsidP="0033527B">
            <w:pPr>
              <w:pStyle w:val="BodyText2"/>
              <w:spacing w:after="0" w:line="240" w:lineRule="auto"/>
              <w:jc w:val="center"/>
              <w:rPr>
                <w:rFonts w:ascii="Arial" w:hAnsi="Arial" w:cs="Arial"/>
                <w:b/>
                <w:sz w:val="22"/>
                <w:szCs w:val="22"/>
              </w:rPr>
            </w:pPr>
          </w:p>
        </w:tc>
        <w:tc>
          <w:tcPr>
            <w:tcW w:w="1400" w:type="dxa"/>
            <w:vMerge/>
            <w:shd w:val="clear" w:color="auto" w:fill="92CDDC"/>
          </w:tcPr>
          <w:p w:rsidR="00D4086A" w:rsidRPr="00F2468C" w:rsidRDefault="00D4086A" w:rsidP="0033527B">
            <w:pPr>
              <w:pStyle w:val="BodyText2"/>
              <w:spacing w:after="0" w:line="240" w:lineRule="auto"/>
              <w:jc w:val="center"/>
              <w:rPr>
                <w:rFonts w:ascii="Arial" w:hAnsi="Arial" w:cs="Arial"/>
                <w:b/>
                <w:sz w:val="22"/>
                <w:szCs w:val="22"/>
              </w:rPr>
            </w:pPr>
          </w:p>
        </w:tc>
        <w:tc>
          <w:tcPr>
            <w:tcW w:w="2072" w:type="dxa"/>
            <w:vMerge/>
            <w:shd w:val="clear" w:color="auto" w:fill="92CDDC"/>
          </w:tcPr>
          <w:p w:rsidR="00D4086A" w:rsidRPr="00F2468C" w:rsidRDefault="00D4086A" w:rsidP="0033527B">
            <w:pPr>
              <w:pStyle w:val="BodyText2"/>
              <w:spacing w:after="0" w:line="240" w:lineRule="auto"/>
              <w:jc w:val="center"/>
              <w:rPr>
                <w:rFonts w:ascii="Arial" w:hAnsi="Arial" w:cs="Arial"/>
                <w:b/>
                <w:sz w:val="22"/>
                <w:szCs w:val="22"/>
                <w:lang w:val="pt-BR"/>
              </w:rPr>
            </w:pPr>
          </w:p>
        </w:tc>
        <w:tc>
          <w:tcPr>
            <w:tcW w:w="1843" w:type="dxa"/>
            <w:shd w:val="clear" w:color="auto" w:fill="92CDDC"/>
          </w:tcPr>
          <w:p w:rsidR="00D4086A" w:rsidRPr="00F2468C" w:rsidRDefault="00D4086A" w:rsidP="0033527B">
            <w:pPr>
              <w:pStyle w:val="BodyText2"/>
              <w:spacing w:after="0" w:line="240" w:lineRule="auto"/>
              <w:jc w:val="center"/>
              <w:rPr>
                <w:rFonts w:ascii="Arial" w:hAnsi="Arial" w:cs="Arial"/>
                <w:b/>
                <w:sz w:val="22"/>
                <w:szCs w:val="22"/>
                <w:lang w:val="pt-BR"/>
              </w:rPr>
            </w:pPr>
            <w:r w:rsidRPr="00F2468C">
              <w:rPr>
                <w:rFonts w:ascii="Arial" w:hAnsi="Arial" w:cs="Arial"/>
                <w:b/>
                <w:sz w:val="22"/>
                <w:szCs w:val="22"/>
                <w:lang w:val="pt-BR"/>
              </w:rPr>
              <w:t>Microbiologici</w:t>
            </w:r>
          </w:p>
        </w:tc>
        <w:tc>
          <w:tcPr>
            <w:tcW w:w="2245" w:type="dxa"/>
            <w:shd w:val="clear" w:color="auto" w:fill="92CDDC"/>
          </w:tcPr>
          <w:p w:rsidR="00D4086A" w:rsidRPr="00F2468C" w:rsidRDefault="00D4086A" w:rsidP="0033527B">
            <w:pPr>
              <w:pStyle w:val="BodyText2"/>
              <w:spacing w:after="0" w:line="240" w:lineRule="auto"/>
              <w:jc w:val="center"/>
              <w:rPr>
                <w:rFonts w:ascii="Arial" w:hAnsi="Arial" w:cs="Arial"/>
                <w:b/>
                <w:sz w:val="22"/>
                <w:szCs w:val="22"/>
                <w:lang w:val="pt-BR"/>
              </w:rPr>
            </w:pPr>
            <w:r w:rsidRPr="00F2468C">
              <w:rPr>
                <w:rFonts w:ascii="Arial" w:hAnsi="Arial" w:cs="Arial"/>
                <w:b/>
                <w:sz w:val="22"/>
                <w:szCs w:val="22"/>
                <w:lang w:val="pt-BR"/>
              </w:rPr>
              <w:t>Fizico-chimici</w:t>
            </w:r>
          </w:p>
        </w:tc>
      </w:tr>
      <w:tr w:rsidR="00D4086A" w:rsidRPr="003F77BD" w:rsidTr="0033527B">
        <w:trPr>
          <w:trHeight w:val="315"/>
        </w:trPr>
        <w:tc>
          <w:tcPr>
            <w:tcW w:w="2340" w:type="dxa"/>
            <w:shd w:val="clear" w:color="auto" w:fill="B6DDE8"/>
          </w:tcPr>
          <w:p w:rsidR="00D4086A" w:rsidRPr="003F77BD" w:rsidRDefault="00D4086A" w:rsidP="0033527B">
            <w:pPr>
              <w:pStyle w:val="BodyText2"/>
              <w:spacing w:after="0" w:line="240" w:lineRule="auto"/>
              <w:rPr>
                <w:rFonts w:ascii="Arial" w:hAnsi="Arial" w:cs="Arial"/>
                <w:b/>
                <w:i/>
                <w:lang w:val="pt-BR"/>
              </w:rPr>
            </w:pPr>
            <w:r w:rsidRPr="003F77BD">
              <w:rPr>
                <w:rFonts w:ascii="Arial" w:hAnsi="Arial" w:cs="Arial"/>
                <w:b/>
                <w:i/>
                <w:lang w:val="pt-BR"/>
              </w:rPr>
              <w:t>Ape de  suprafa</w:t>
            </w:r>
            <w:r>
              <w:rPr>
                <w:rFonts w:ascii="Arial" w:hAnsi="Arial" w:cs="Arial"/>
                <w:b/>
                <w:i/>
                <w:lang w:val="pt-BR"/>
              </w:rPr>
              <w:t>ță</w:t>
            </w:r>
            <w:r w:rsidRPr="003F77BD">
              <w:rPr>
                <w:rFonts w:ascii="Arial" w:hAnsi="Arial" w:cs="Arial"/>
                <w:b/>
                <w:i/>
                <w:lang w:val="pt-BR"/>
              </w:rPr>
              <w:t xml:space="preserve"> </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b/>
                <w:lang w:val="pt-BR"/>
              </w:rPr>
            </w:pPr>
            <w:r w:rsidRPr="003F77BD">
              <w:rPr>
                <w:rFonts w:ascii="Arial" w:hAnsi="Arial" w:cs="Arial"/>
                <w:b/>
                <w:lang w:val="pt-BR"/>
              </w:rPr>
              <w:t>3015</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b/>
                <w:lang w:val="pt-BR"/>
              </w:rPr>
            </w:pPr>
            <w:r w:rsidRPr="003F77BD">
              <w:rPr>
                <w:rFonts w:ascii="Arial" w:hAnsi="Arial" w:cs="Arial"/>
                <w:b/>
                <w:lang w:val="pt-BR"/>
              </w:rPr>
              <w:t>76</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b/>
                <w:lang w:val="pt-BR"/>
              </w:rPr>
            </w:pPr>
            <w:r w:rsidRPr="003F77BD">
              <w:rPr>
                <w:rFonts w:ascii="Arial" w:hAnsi="Arial" w:cs="Arial"/>
                <w:b/>
                <w:lang w:val="pt-BR"/>
              </w:rPr>
              <w:t>3</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b/>
                <w:lang w:val="pt-BR"/>
              </w:rPr>
            </w:pPr>
            <w:r w:rsidRPr="003F77BD">
              <w:rPr>
                <w:rFonts w:ascii="Arial" w:hAnsi="Arial" w:cs="Arial"/>
                <w:b/>
                <w:lang w:val="pt-BR"/>
              </w:rPr>
              <w:t>73</w:t>
            </w:r>
          </w:p>
        </w:tc>
      </w:tr>
      <w:tr w:rsidR="00D4086A" w:rsidRPr="003F77BD" w:rsidTr="0033527B">
        <w:trPr>
          <w:trHeight w:val="299"/>
        </w:trPr>
        <w:tc>
          <w:tcPr>
            <w:tcW w:w="2340" w:type="dxa"/>
            <w:shd w:val="clear" w:color="auto" w:fill="B6DDE8"/>
          </w:tcPr>
          <w:p w:rsidR="00D4086A" w:rsidRPr="003F77BD" w:rsidRDefault="00D4086A" w:rsidP="0033527B">
            <w:pPr>
              <w:pStyle w:val="BodyText2"/>
              <w:spacing w:after="0" w:line="240" w:lineRule="auto"/>
              <w:rPr>
                <w:rFonts w:ascii="Arial" w:hAnsi="Arial" w:cs="Arial"/>
                <w:lang w:val="fr-FR"/>
              </w:rPr>
            </w:pPr>
            <w:r w:rsidRPr="003F77BD">
              <w:rPr>
                <w:rFonts w:ascii="Arial" w:hAnsi="Arial" w:cs="Arial"/>
                <w:lang w:val="fr-FR"/>
              </w:rPr>
              <w:t xml:space="preserve">Z.A.P. </w:t>
            </w:r>
            <w:r w:rsidR="00217620">
              <w:rPr>
                <w:rFonts w:ascii="Arial" w:hAnsi="Arial" w:cs="Arial"/>
                <w:lang w:val="fr-FR"/>
              </w:rPr>
              <w:t>Brăila</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1888</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57</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1</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56 clor</w:t>
            </w:r>
          </w:p>
        </w:tc>
      </w:tr>
      <w:tr w:rsidR="00D4086A" w:rsidRPr="003F77BD" w:rsidTr="0033527B">
        <w:trPr>
          <w:trHeight w:val="347"/>
        </w:trPr>
        <w:tc>
          <w:tcPr>
            <w:tcW w:w="2340" w:type="dxa"/>
            <w:shd w:val="clear" w:color="auto" w:fill="B6DDE8"/>
          </w:tcPr>
          <w:p w:rsidR="00D4086A" w:rsidRPr="003F77BD" w:rsidRDefault="00D4086A" w:rsidP="0033527B">
            <w:pPr>
              <w:pStyle w:val="BodyText2"/>
              <w:spacing w:after="0" w:line="240" w:lineRule="auto"/>
              <w:rPr>
                <w:rFonts w:ascii="Arial" w:hAnsi="Arial" w:cs="Arial"/>
                <w:lang w:val="fr-FR"/>
              </w:rPr>
            </w:pPr>
            <w:r w:rsidRPr="003F77BD">
              <w:rPr>
                <w:rFonts w:ascii="Arial" w:hAnsi="Arial" w:cs="Arial"/>
                <w:lang w:val="fr-FR"/>
              </w:rPr>
              <w:t>ZAP Ianca</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392</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3</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0</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3 clor</w:t>
            </w:r>
          </w:p>
        </w:tc>
      </w:tr>
      <w:tr w:rsidR="00D4086A" w:rsidRPr="003F77BD" w:rsidTr="0033527B">
        <w:trPr>
          <w:trHeight w:val="296"/>
        </w:trPr>
        <w:tc>
          <w:tcPr>
            <w:tcW w:w="2340" w:type="dxa"/>
            <w:shd w:val="clear" w:color="auto" w:fill="B6DDE8"/>
          </w:tcPr>
          <w:p w:rsidR="00D4086A" w:rsidRPr="003F77BD" w:rsidRDefault="00D4086A" w:rsidP="0033527B">
            <w:pPr>
              <w:pStyle w:val="BodyText2"/>
              <w:spacing w:after="0" w:line="240" w:lineRule="auto"/>
              <w:rPr>
                <w:rFonts w:ascii="Arial" w:hAnsi="Arial" w:cs="Arial"/>
                <w:lang w:val="fr-FR"/>
              </w:rPr>
            </w:pPr>
            <w:r w:rsidRPr="003F77BD">
              <w:rPr>
                <w:rFonts w:ascii="Arial" w:hAnsi="Arial" w:cs="Arial"/>
                <w:lang w:val="fr-FR"/>
              </w:rPr>
              <w:t>ZAP Gropeni</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228</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0</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 clor</w:t>
            </w:r>
          </w:p>
        </w:tc>
      </w:tr>
      <w:tr w:rsidR="00D4086A" w:rsidRPr="003F77BD" w:rsidTr="0033527B">
        <w:trPr>
          <w:trHeight w:val="244"/>
        </w:trPr>
        <w:tc>
          <w:tcPr>
            <w:tcW w:w="2340" w:type="dxa"/>
            <w:shd w:val="clear" w:color="auto" w:fill="B6DDE8"/>
          </w:tcPr>
          <w:p w:rsidR="00D4086A" w:rsidRPr="003F77BD" w:rsidRDefault="00D4086A" w:rsidP="0033527B">
            <w:pPr>
              <w:pStyle w:val="BodyText2"/>
              <w:spacing w:after="0" w:line="240" w:lineRule="auto"/>
              <w:rPr>
                <w:rFonts w:ascii="Arial" w:hAnsi="Arial" w:cs="Arial"/>
                <w:lang w:val="fr-FR"/>
              </w:rPr>
            </w:pPr>
            <w:r w:rsidRPr="003F77BD">
              <w:rPr>
                <w:rFonts w:ascii="Arial" w:hAnsi="Arial" w:cs="Arial"/>
                <w:lang w:val="fr-FR"/>
              </w:rPr>
              <w:t>ZAP Unirea</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220</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7</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0</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7 clor</w:t>
            </w:r>
          </w:p>
        </w:tc>
      </w:tr>
      <w:tr w:rsidR="00D4086A" w:rsidRPr="003F77BD" w:rsidTr="0033527B">
        <w:trPr>
          <w:trHeight w:val="193"/>
        </w:trPr>
        <w:tc>
          <w:tcPr>
            <w:tcW w:w="2340" w:type="dxa"/>
            <w:shd w:val="clear" w:color="auto" w:fill="B6DDE8"/>
          </w:tcPr>
          <w:p w:rsidR="00D4086A" w:rsidRPr="003F77BD" w:rsidRDefault="00D4086A" w:rsidP="0033527B">
            <w:pPr>
              <w:pStyle w:val="BodyText2"/>
              <w:spacing w:after="0" w:line="240" w:lineRule="auto"/>
              <w:rPr>
                <w:rFonts w:ascii="Arial" w:hAnsi="Arial" w:cs="Arial"/>
                <w:lang w:val="fr-FR"/>
              </w:rPr>
            </w:pPr>
            <w:r w:rsidRPr="003F77BD">
              <w:rPr>
                <w:rFonts w:ascii="Arial" w:hAnsi="Arial" w:cs="Arial"/>
                <w:lang w:val="fr-FR"/>
              </w:rPr>
              <w:t>ZAP M.Miresii</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287</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7</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5 clor</w:t>
            </w:r>
          </w:p>
        </w:tc>
      </w:tr>
      <w:tr w:rsidR="00D4086A" w:rsidRPr="003F77BD" w:rsidTr="0033527B">
        <w:trPr>
          <w:trHeight w:val="215"/>
        </w:trPr>
        <w:tc>
          <w:tcPr>
            <w:tcW w:w="2340" w:type="dxa"/>
            <w:shd w:val="clear" w:color="auto" w:fill="B6DDE8"/>
          </w:tcPr>
          <w:p w:rsidR="00D4086A" w:rsidRPr="003F77BD" w:rsidRDefault="00D4086A" w:rsidP="0033527B">
            <w:pPr>
              <w:pStyle w:val="BodyText2"/>
              <w:spacing w:after="0" w:line="240" w:lineRule="auto"/>
              <w:rPr>
                <w:rFonts w:ascii="Arial" w:hAnsi="Arial" w:cs="Arial"/>
                <w:b/>
                <w:lang w:val="fr-FR"/>
              </w:rPr>
            </w:pPr>
            <w:r w:rsidRPr="003F77BD">
              <w:rPr>
                <w:rFonts w:ascii="Arial" w:hAnsi="Arial" w:cs="Arial"/>
                <w:b/>
                <w:i/>
                <w:lang w:val="fr-FR"/>
              </w:rPr>
              <w:t>Ape de profunzime</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b/>
                <w:lang w:val="fr-FR"/>
              </w:rPr>
            </w:pPr>
            <w:r w:rsidRPr="003F77BD">
              <w:rPr>
                <w:rFonts w:ascii="Arial" w:hAnsi="Arial" w:cs="Arial"/>
                <w:b/>
                <w:lang w:val="fr-FR"/>
              </w:rPr>
              <w:t>698</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b/>
                <w:lang w:val="fr-FR"/>
              </w:rPr>
            </w:pPr>
            <w:r w:rsidRPr="003F77BD">
              <w:rPr>
                <w:rFonts w:ascii="Arial" w:hAnsi="Arial" w:cs="Arial"/>
                <w:b/>
                <w:lang w:val="fr-FR"/>
              </w:rPr>
              <w:t>42</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b/>
                <w:lang w:val="fr-FR"/>
              </w:rPr>
            </w:pPr>
            <w:r w:rsidRPr="003F77BD">
              <w:rPr>
                <w:rFonts w:ascii="Arial" w:hAnsi="Arial" w:cs="Arial"/>
                <w:b/>
                <w:lang w:val="fr-FR"/>
              </w:rPr>
              <w:t>7</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b/>
                <w:lang w:val="fr-FR"/>
              </w:rPr>
            </w:pPr>
            <w:r w:rsidRPr="003F77BD">
              <w:rPr>
                <w:rFonts w:ascii="Arial" w:hAnsi="Arial" w:cs="Arial"/>
                <w:b/>
                <w:lang w:val="fr-FR"/>
              </w:rPr>
              <w:t>35</w:t>
            </w:r>
          </w:p>
        </w:tc>
      </w:tr>
      <w:tr w:rsidR="00D4086A" w:rsidRPr="003F77BD" w:rsidTr="0033527B">
        <w:trPr>
          <w:trHeight w:val="267"/>
        </w:trPr>
        <w:tc>
          <w:tcPr>
            <w:tcW w:w="2340" w:type="dxa"/>
            <w:shd w:val="clear" w:color="auto" w:fill="B6DDE8"/>
          </w:tcPr>
          <w:p w:rsidR="00D4086A" w:rsidRPr="003F77BD" w:rsidRDefault="00D4086A" w:rsidP="0033527B">
            <w:pPr>
              <w:pStyle w:val="BodyText2"/>
              <w:spacing w:after="0" w:line="240" w:lineRule="auto"/>
              <w:rPr>
                <w:rFonts w:ascii="Arial" w:hAnsi="Arial" w:cs="Arial"/>
                <w:lang w:val="fr-FR"/>
              </w:rPr>
            </w:pPr>
            <w:r w:rsidRPr="003F77BD">
              <w:rPr>
                <w:rFonts w:ascii="Arial" w:hAnsi="Arial" w:cs="Arial"/>
                <w:lang w:val="fr-FR"/>
              </w:rPr>
              <w:t>ZAP Insur</w:t>
            </w:r>
            <w:r>
              <w:rPr>
                <w:rFonts w:ascii="Arial" w:hAnsi="Arial" w:cs="Arial"/>
                <w:lang w:val="fr-FR"/>
              </w:rPr>
              <w:t>ăț</w:t>
            </w:r>
            <w:r w:rsidRPr="003F77BD">
              <w:rPr>
                <w:rFonts w:ascii="Arial" w:hAnsi="Arial" w:cs="Arial"/>
                <w:lang w:val="fr-FR"/>
              </w:rPr>
              <w:t>ei</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246</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28</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7</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21 clor</w:t>
            </w:r>
          </w:p>
        </w:tc>
      </w:tr>
      <w:tr w:rsidR="00D4086A" w:rsidRPr="003F77BD" w:rsidTr="0033527B">
        <w:trPr>
          <w:trHeight w:val="231"/>
        </w:trPr>
        <w:tc>
          <w:tcPr>
            <w:tcW w:w="2340" w:type="dxa"/>
            <w:shd w:val="clear" w:color="auto" w:fill="B6DDE8"/>
          </w:tcPr>
          <w:p w:rsidR="00D4086A" w:rsidRPr="003F77BD" w:rsidRDefault="00D4086A" w:rsidP="0033527B">
            <w:pPr>
              <w:pStyle w:val="BodyText2"/>
              <w:spacing w:after="0" w:line="240" w:lineRule="auto"/>
              <w:rPr>
                <w:rFonts w:ascii="Arial" w:hAnsi="Arial" w:cs="Arial"/>
                <w:lang w:val="fr-FR"/>
              </w:rPr>
            </w:pPr>
            <w:r w:rsidRPr="003F77BD">
              <w:rPr>
                <w:rFonts w:ascii="Arial" w:hAnsi="Arial" w:cs="Arial"/>
                <w:lang w:val="fr-FR"/>
              </w:rPr>
              <w:t>ZAP Victoria</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231</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8</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0</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8 clor</w:t>
            </w:r>
          </w:p>
        </w:tc>
      </w:tr>
      <w:tr w:rsidR="00D4086A" w:rsidRPr="003F77BD" w:rsidTr="0033527B">
        <w:trPr>
          <w:trHeight w:val="231"/>
        </w:trPr>
        <w:tc>
          <w:tcPr>
            <w:tcW w:w="2340" w:type="dxa"/>
            <w:shd w:val="clear" w:color="auto" w:fill="B6DDE8"/>
          </w:tcPr>
          <w:p w:rsidR="00D4086A" w:rsidRPr="003F77BD" w:rsidRDefault="00D4086A" w:rsidP="0033527B">
            <w:pPr>
              <w:pStyle w:val="BodyText2"/>
              <w:spacing w:after="0" w:line="240" w:lineRule="auto"/>
              <w:rPr>
                <w:rFonts w:ascii="Arial" w:hAnsi="Arial" w:cs="Arial"/>
                <w:lang w:val="fr-FR"/>
              </w:rPr>
            </w:pPr>
            <w:r w:rsidRPr="003F77BD">
              <w:rPr>
                <w:rFonts w:ascii="Arial" w:hAnsi="Arial" w:cs="Arial"/>
                <w:lang w:val="fr-FR"/>
              </w:rPr>
              <w:t>ZAP Ro</w:t>
            </w:r>
            <w:r>
              <w:rPr>
                <w:rFonts w:ascii="Arial" w:hAnsi="Arial" w:cs="Arial"/>
                <w:lang w:val="fr-FR"/>
              </w:rPr>
              <w:t>ș</w:t>
            </w:r>
            <w:r w:rsidRPr="003F77BD">
              <w:rPr>
                <w:rFonts w:ascii="Arial" w:hAnsi="Arial" w:cs="Arial"/>
                <w:lang w:val="fr-FR"/>
              </w:rPr>
              <w:t>iori</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221</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6</w:t>
            </w:r>
          </w:p>
        </w:tc>
        <w:tc>
          <w:tcPr>
            <w:tcW w:w="1843"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0</w:t>
            </w:r>
          </w:p>
        </w:tc>
        <w:tc>
          <w:tcPr>
            <w:tcW w:w="2245" w:type="dxa"/>
            <w:shd w:val="clear" w:color="auto" w:fill="B6DDE8"/>
          </w:tcPr>
          <w:p w:rsidR="00D4086A" w:rsidRPr="003F77BD" w:rsidRDefault="00D4086A" w:rsidP="0033527B">
            <w:pPr>
              <w:pStyle w:val="BodyText2"/>
              <w:spacing w:after="0" w:line="240" w:lineRule="auto"/>
              <w:jc w:val="center"/>
              <w:rPr>
                <w:rFonts w:ascii="Arial" w:hAnsi="Arial" w:cs="Arial"/>
                <w:lang w:val="fr-FR"/>
              </w:rPr>
            </w:pPr>
            <w:r w:rsidRPr="003F77BD">
              <w:rPr>
                <w:rFonts w:ascii="Arial" w:hAnsi="Arial" w:cs="Arial"/>
                <w:lang w:val="fr-FR"/>
              </w:rPr>
              <w:t>6 clor</w:t>
            </w:r>
          </w:p>
        </w:tc>
      </w:tr>
      <w:tr w:rsidR="00D4086A" w:rsidRPr="003F77BD" w:rsidTr="0033527B">
        <w:trPr>
          <w:trHeight w:val="231"/>
        </w:trPr>
        <w:tc>
          <w:tcPr>
            <w:tcW w:w="2340" w:type="dxa"/>
            <w:shd w:val="clear" w:color="auto" w:fill="B6DDE8"/>
          </w:tcPr>
          <w:p w:rsidR="00D4086A" w:rsidRPr="003F77BD" w:rsidRDefault="00D4086A" w:rsidP="0033527B">
            <w:pPr>
              <w:pStyle w:val="BodyText2"/>
              <w:spacing w:after="0" w:line="240" w:lineRule="auto"/>
              <w:rPr>
                <w:rFonts w:ascii="Arial" w:hAnsi="Arial" w:cs="Arial"/>
                <w:b/>
                <w:i/>
                <w:lang w:val="fr-FR"/>
              </w:rPr>
            </w:pPr>
            <w:r w:rsidRPr="003F77BD">
              <w:rPr>
                <w:rFonts w:ascii="Arial" w:hAnsi="Arial" w:cs="Arial"/>
                <w:b/>
                <w:i/>
                <w:lang w:val="fr-FR"/>
              </w:rPr>
              <w:t>Microinstala</w:t>
            </w:r>
            <w:r>
              <w:rPr>
                <w:rFonts w:ascii="Arial" w:hAnsi="Arial" w:cs="Arial"/>
                <w:b/>
                <w:i/>
                <w:lang w:val="fr-FR"/>
              </w:rPr>
              <w:t>ț</w:t>
            </w:r>
            <w:r w:rsidRPr="003F77BD">
              <w:rPr>
                <w:rFonts w:ascii="Arial" w:hAnsi="Arial" w:cs="Arial"/>
                <w:b/>
                <w:i/>
                <w:lang w:val="fr-FR"/>
              </w:rPr>
              <w:t>ii jude</w:t>
            </w:r>
            <w:r>
              <w:rPr>
                <w:rFonts w:ascii="Arial" w:hAnsi="Arial" w:cs="Arial"/>
                <w:b/>
                <w:i/>
                <w:lang w:val="fr-FR"/>
              </w:rPr>
              <w:t>ț</w:t>
            </w:r>
            <w:r w:rsidRPr="003F77BD">
              <w:rPr>
                <w:rFonts w:ascii="Arial" w:hAnsi="Arial" w:cs="Arial"/>
                <w:b/>
                <w:i/>
                <w:lang w:val="fr-FR"/>
              </w:rPr>
              <w:t xml:space="preserve"> (pu</w:t>
            </w:r>
            <w:r>
              <w:rPr>
                <w:rFonts w:ascii="Arial" w:hAnsi="Arial" w:cs="Arial"/>
                <w:b/>
                <w:i/>
                <w:lang w:val="fr-FR"/>
              </w:rPr>
              <w:t>ț</w:t>
            </w:r>
            <w:r w:rsidRPr="003F77BD">
              <w:rPr>
                <w:rFonts w:ascii="Arial" w:hAnsi="Arial" w:cs="Arial"/>
                <w:b/>
                <w:i/>
                <w:lang w:val="fr-FR"/>
              </w:rPr>
              <w:t>uri forate)</w:t>
            </w:r>
          </w:p>
        </w:tc>
        <w:tc>
          <w:tcPr>
            <w:tcW w:w="1400" w:type="dxa"/>
            <w:shd w:val="clear" w:color="auto" w:fill="B6DDE8"/>
          </w:tcPr>
          <w:p w:rsidR="00D4086A" w:rsidRPr="003F77BD" w:rsidRDefault="00D4086A" w:rsidP="0033527B">
            <w:pPr>
              <w:pStyle w:val="BodyText2"/>
              <w:spacing w:after="0" w:line="240" w:lineRule="auto"/>
              <w:jc w:val="center"/>
              <w:rPr>
                <w:rFonts w:ascii="Arial" w:hAnsi="Arial" w:cs="Arial"/>
                <w:b/>
                <w:lang w:val="fr-FR"/>
              </w:rPr>
            </w:pPr>
            <w:r w:rsidRPr="003F77BD">
              <w:rPr>
                <w:rFonts w:ascii="Arial" w:hAnsi="Arial" w:cs="Arial"/>
                <w:b/>
                <w:lang w:val="fr-FR"/>
              </w:rPr>
              <w:t>123</w:t>
            </w:r>
          </w:p>
        </w:tc>
        <w:tc>
          <w:tcPr>
            <w:tcW w:w="2072" w:type="dxa"/>
            <w:shd w:val="clear" w:color="auto" w:fill="B6DDE8"/>
          </w:tcPr>
          <w:p w:rsidR="00D4086A" w:rsidRPr="003F77BD" w:rsidRDefault="00D4086A" w:rsidP="0033527B">
            <w:pPr>
              <w:pStyle w:val="BodyText2"/>
              <w:spacing w:after="0" w:line="240" w:lineRule="auto"/>
              <w:jc w:val="center"/>
              <w:rPr>
                <w:rFonts w:ascii="Arial" w:hAnsi="Arial" w:cs="Arial"/>
                <w:b/>
                <w:lang w:val="fr-FR"/>
              </w:rPr>
            </w:pPr>
            <w:r w:rsidRPr="003F77BD">
              <w:rPr>
                <w:rFonts w:ascii="Arial" w:hAnsi="Arial" w:cs="Arial"/>
                <w:b/>
                <w:lang w:val="fr-FR"/>
              </w:rPr>
              <w:t>41</w:t>
            </w:r>
          </w:p>
        </w:tc>
        <w:tc>
          <w:tcPr>
            <w:tcW w:w="1843" w:type="dxa"/>
            <w:tcBorders>
              <w:right w:val="single" w:sz="4" w:space="0" w:color="auto"/>
            </w:tcBorders>
            <w:shd w:val="clear" w:color="auto" w:fill="B6DDE8"/>
          </w:tcPr>
          <w:p w:rsidR="00D4086A" w:rsidRPr="003F77BD" w:rsidRDefault="00D4086A" w:rsidP="0033527B">
            <w:pPr>
              <w:pStyle w:val="BodyText2"/>
              <w:spacing w:after="0" w:line="240" w:lineRule="auto"/>
              <w:jc w:val="center"/>
              <w:rPr>
                <w:rFonts w:ascii="Arial" w:hAnsi="Arial" w:cs="Arial"/>
                <w:b/>
                <w:lang w:val="fr-FR"/>
              </w:rPr>
            </w:pPr>
            <w:r w:rsidRPr="003F77BD">
              <w:rPr>
                <w:rFonts w:ascii="Arial" w:hAnsi="Arial" w:cs="Arial"/>
                <w:b/>
                <w:lang w:val="it-IT"/>
              </w:rPr>
              <w:t>0</w:t>
            </w:r>
          </w:p>
        </w:tc>
        <w:tc>
          <w:tcPr>
            <w:tcW w:w="2245" w:type="dxa"/>
            <w:tcBorders>
              <w:right w:val="single" w:sz="4" w:space="0" w:color="auto"/>
            </w:tcBorders>
            <w:shd w:val="clear" w:color="auto" w:fill="B6DDE8"/>
          </w:tcPr>
          <w:p w:rsidR="00D4086A" w:rsidRPr="003F77BD" w:rsidRDefault="00D4086A" w:rsidP="0033527B">
            <w:pPr>
              <w:pStyle w:val="BodyText2"/>
              <w:spacing w:after="0" w:line="240" w:lineRule="auto"/>
              <w:jc w:val="center"/>
              <w:rPr>
                <w:rFonts w:ascii="Arial" w:hAnsi="Arial" w:cs="Arial"/>
                <w:b/>
                <w:lang w:val="it-IT"/>
              </w:rPr>
            </w:pPr>
            <w:r w:rsidRPr="003F77BD">
              <w:rPr>
                <w:rFonts w:ascii="Arial" w:hAnsi="Arial" w:cs="Arial"/>
                <w:b/>
                <w:lang w:val="it-IT"/>
              </w:rPr>
              <w:t xml:space="preserve">41 (amoniu, fier, turbiditate, oxidabilitate) </w:t>
            </w:r>
          </w:p>
        </w:tc>
      </w:tr>
      <w:tr w:rsidR="00D4086A" w:rsidRPr="003F77BD" w:rsidTr="0033527B">
        <w:tc>
          <w:tcPr>
            <w:tcW w:w="2340" w:type="dxa"/>
            <w:tcBorders>
              <w:top w:val="nil"/>
            </w:tcBorders>
            <w:shd w:val="clear" w:color="auto" w:fill="B6DDE8"/>
          </w:tcPr>
          <w:p w:rsidR="00D4086A" w:rsidRPr="003F77BD" w:rsidRDefault="00D4086A" w:rsidP="0033527B">
            <w:pPr>
              <w:pStyle w:val="BodyText2"/>
              <w:spacing w:after="0" w:line="240" w:lineRule="auto"/>
              <w:rPr>
                <w:rFonts w:ascii="Arial" w:hAnsi="Arial" w:cs="Arial"/>
                <w:b/>
                <w:i/>
                <w:lang w:val="it-IT"/>
              </w:rPr>
            </w:pPr>
            <w:r w:rsidRPr="003F77BD">
              <w:rPr>
                <w:rFonts w:ascii="Arial" w:hAnsi="Arial" w:cs="Arial"/>
                <w:b/>
                <w:i/>
                <w:lang w:val="it-IT"/>
              </w:rPr>
              <w:t>Ape soc. com.</w:t>
            </w:r>
          </w:p>
        </w:tc>
        <w:tc>
          <w:tcPr>
            <w:tcW w:w="1400" w:type="dxa"/>
            <w:tcBorders>
              <w:top w:val="nil"/>
            </w:tcBorders>
            <w:shd w:val="clear" w:color="auto" w:fill="B6DDE8"/>
          </w:tcPr>
          <w:p w:rsidR="00D4086A" w:rsidRPr="003F77BD" w:rsidRDefault="00D4086A" w:rsidP="0033527B">
            <w:pPr>
              <w:pStyle w:val="BodyText2"/>
              <w:spacing w:after="0" w:line="240" w:lineRule="auto"/>
              <w:jc w:val="center"/>
              <w:rPr>
                <w:rFonts w:ascii="Arial" w:hAnsi="Arial" w:cs="Arial"/>
                <w:b/>
                <w:lang w:val="it-IT"/>
              </w:rPr>
            </w:pPr>
            <w:r w:rsidRPr="003F77BD">
              <w:rPr>
                <w:rFonts w:ascii="Arial" w:hAnsi="Arial" w:cs="Arial"/>
                <w:b/>
                <w:lang w:val="it-IT"/>
              </w:rPr>
              <w:t>140</w:t>
            </w:r>
          </w:p>
        </w:tc>
        <w:tc>
          <w:tcPr>
            <w:tcW w:w="2072" w:type="dxa"/>
            <w:tcBorders>
              <w:top w:val="nil"/>
            </w:tcBorders>
            <w:shd w:val="clear" w:color="auto" w:fill="B6DDE8"/>
          </w:tcPr>
          <w:p w:rsidR="00D4086A" w:rsidRPr="003F77BD" w:rsidRDefault="00D4086A" w:rsidP="0033527B">
            <w:pPr>
              <w:pStyle w:val="BodyText2"/>
              <w:spacing w:after="0" w:line="240" w:lineRule="auto"/>
              <w:jc w:val="center"/>
              <w:rPr>
                <w:rFonts w:ascii="Arial" w:hAnsi="Arial" w:cs="Arial"/>
                <w:b/>
                <w:lang w:val="it-IT"/>
              </w:rPr>
            </w:pPr>
            <w:r w:rsidRPr="003F77BD">
              <w:rPr>
                <w:rFonts w:ascii="Arial" w:hAnsi="Arial" w:cs="Arial"/>
                <w:b/>
                <w:lang w:val="it-IT"/>
              </w:rPr>
              <w:t>0</w:t>
            </w:r>
          </w:p>
        </w:tc>
        <w:tc>
          <w:tcPr>
            <w:tcW w:w="1843" w:type="dxa"/>
            <w:tcBorders>
              <w:top w:val="nil"/>
              <w:right w:val="nil"/>
            </w:tcBorders>
            <w:shd w:val="clear" w:color="auto" w:fill="B6DDE8"/>
          </w:tcPr>
          <w:p w:rsidR="00D4086A" w:rsidRPr="003F77BD" w:rsidRDefault="00D4086A" w:rsidP="0033527B">
            <w:pPr>
              <w:pStyle w:val="BodyText2"/>
              <w:spacing w:after="0" w:line="240" w:lineRule="auto"/>
              <w:jc w:val="center"/>
              <w:rPr>
                <w:rFonts w:ascii="Arial" w:hAnsi="Arial" w:cs="Arial"/>
                <w:b/>
                <w:lang w:val="it-IT"/>
              </w:rPr>
            </w:pPr>
            <w:r w:rsidRPr="003F77BD">
              <w:rPr>
                <w:rFonts w:ascii="Arial" w:hAnsi="Arial" w:cs="Arial"/>
                <w:b/>
                <w:lang w:val="it-IT"/>
              </w:rPr>
              <w:t>0</w:t>
            </w:r>
          </w:p>
        </w:tc>
        <w:tc>
          <w:tcPr>
            <w:tcW w:w="2245" w:type="dxa"/>
            <w:tcBorders>
              <w:top w:val="nil"/>
              <w:right w:val="nil"/>
            </w:tcBorders>
            <w:shd w:val="clear" w:color="auto" w:fill="B6DDE8"/>
          </w:tcPr>
          <w:p w:rsidR="00D4086A" w:rsidRPr="003F77BD" w:rsidRDefault="00D4086A" w:rsidP="0033527B">
            <w:pPr>
              <w:pStyle w:val="BodyText2"/>
              <w:spacing w:after="0" w:line="240" w:lineRule="auto"/>
              <w:jc w:val="center"/>
              <w:rPr>
                <w:rFonts w:ascii="Arial" w:hAnsi="Arial" w:cs="Arial"/>
                <w:b/>
                <w:lang w:val="it-IT"/>
              </w:rPr>
            </w:pPr>
            <w:r w:rsidRPr="003F77BD">
              <w:rPr>
                <w:rFonts w:ascii="Arial" w:hAnsi="Arial" w:cs="Arial"/>
                <w:b/>
                <w:lang w:val="it-IT"/>
              </w:rPr>
              <w:t>0</w:t>
            </w:r>
          </w:p>
        </w:tc>
      </w:tr>
      <w:tr w:rsidR="00D4086A" w:rsidRPr="003F77BD" w:rsidTr="0033527B">
        <w:tc>
          <w:tcPr>
            <w:tcW w:w="2340" w:type="dxa"/>
            <w:tcBorders>
              <w:top w:val="nil"/>
            </w:tcBorders>
            <w:shd w:val="clear" w:color="auto" w:fill="B6DDE8"/>
          </w:tcPr>
          <w:p w:rsidR="00D4086A" w:rsidRPr="003F77BD" w:rsidRDefault="00D4086A" w:rsidP="0033527B">
            <w:pPr>
              <w:pStyle w:val="BodyText2"/>
              <w:spacing w:after="0" w:line="240" w:lineRule="auto"/>
              <w:rPr>
                <w:rFonts w:ascii="Arial" w:hAnsi="Arial" w:cs="Arial"/>
                <w:b/>
                <w:i/>
                <w:lang w:val="it-IT"/>
              </w:rPr>
            </w:pPr>
            <w:r w:rsidRPr="003F77BD">
              <w:rPr>
                <w:rFonts w:ascii="Arial" w:hAnsi="Arial" w:cs="Arial"/>
                <w:b/>
                <w:i/>
                <w:lang w:val="it-IT"/>
              </w:rPr>
              <w:t>Total general</w:t>
            </w:r>
          </w:p>
        </w:tc>
        <w:tc>
          <w:tcPr>
            <w:tcW w:w="1400" w:type="dxa"/>
            <w:tcBorders>
              <w:top w:val="nil"/>
            </w:tcBorders>
            <w:shd w:val="clear" w:color="auto" w:fill="B6DDE8"/>
          </w:tcPr>
          <w:p w:rsidR="00D4086A" w:rsidRPr="003F77BD" w:rsidRDefault="00D4086A" w:rsidP="0033527B">
            <w:pPr>
              <w:pStyle w:val="BodyText2"/>
              <w:spacing w:after="0" w:line="240" w:lineRule="auto"/>
              <w:jc w:val="center"/>
              <w:rPr>
                <w:rFonts w:ascii="Arial" w:hAnsi="Arial" w:cs="Arial"/>
                <w:b/>
                <w:i/>
                <w:lang w:val="it-IT"/>
              </w:rPr>
            </w:pPr>
            <w:r w:rsidRPr="003F77BD">
              <w:rPr>
                <w:rFonts w:ascii="Arial" w:hAnsi="Arial" w:cs="Arial"/>
                <w:b/>
                <w:i/>
                <w:lang w:val="it-IT"/>
              </w:rPr>
              <w:t>3976</w:t>
            </w:r>
          </w:p>
        </w:tc>
        <w:tc>
          <w:tcPr>
            <w:tcW w:w="2072" w:type="dxa"/>
            <w:tcBorders>
              <w:top w:val="nil"/>
            </w:tcBorders>
            <w:shd w:val="clear" w:color="auto" w:fill="B6DDE8"/>
          </w:tcPr>
          <w:p w:rsidR="00D4086A" w:rsidRPr="003F77BD" w:rsidRDefault="00D4086A" w:rsidP="0033527B">
            <w:pPr>
              <w:pStyle w:val="BodyText2"/>
              <w:spacing w:after="0" w:line="240" w:lineRule="auto"/>
              <w:jc w:val="center"/>
              <w:rPr>
                <w:rFonts w:ascii="Arial" w:hAnsi="Arial" w:cs="Arial"/>
                <w:b/>
                <w:i/>
                <w:lang w:val="it-IT"/>
              </w:rPr>
            </w:pPr>
            <w:r w:rsidRPr="003F77BD">
              <w:rPr>
                <w:rFonts w:ascii="Arial" w:hAnsi="Arial" w:cs="Arial"/>
                <w:b/>
                <w:i/>
                <w:lang w:val="it-IT"/>
              </w:rPr>
              <w:t>159</w:t>
            </w:r>
          </w:p>
        </w:tc>
        <w:tc>
          <w:tcPr>
            <w:tcW w:w="1843" w:type="dxa"/>
            <w:tcBorders>
              <w:top w:val="nil"/>
              <w:right w:val="nil"/>
            </w:tcBorders>
            <w:shd w:val="clear" w:color="auto" w:fill="B6DDE8"/>
          </w:tcPr>
          <w:p w:rsidR="00D4086A" w:rsidRPr="003F77BD" w:rsidRDefault="00D4086A" w:rsidP="0033527B">
            <w:pPr>
              <w:pStyle w:val="BodyText2"/>
              <w:spacing w:after="0" w:line="240" w:lineRule="auto"/>
              <w:jc w:val="center"/>
              <w:rPr>
                <w:rFonts w:ascii="Arial" w:hAnsi="Arial" w:cs="Arial"/>
                <w:b/>
                <w:i/>
                <w:lang w:val="it-IT"/>
              </w:rPr>
            </w:pPr>
            <w:r w:rsidRPr="003F77BD">
              <w:rPr>
                <w:rFonts w:ascii="Arial" w:hAnsi="Arial" w:cs="Arial"/>
                <w:b/>
                <w:i/>
                <w:lang w:val="it-IT"/>
              </w:rPr>
              <w:t>10</w:t>
            </w:r>
          </w:p>
        </w:tc>
        <w:tc>
          <w:tcPr>
            <w:tcW w:w="2245" w:type="dxa"/>
            <w:tcBorders>
              <w:top w:val="nil"/>
              <w:right w:val="nil"/>
            </w:tcBorders>
            <w:shd w:val="clear" w:color="auto" w:fill="B6DDE8"/>
          </w:tcPr>
          <w:p w:rsidR="00D4086A" w:rsidRPr="003F77BD" w:rsidRDefault="00D4086A" w:rsidP="0033527B">
            <w:pPr>
              <w:pStyle w:val="BodyText2"/>
              <w:spacing w:after="0" w:line="240" w:lineRule="auto"/>
              <w:jc w:val="center"/>
              <w:rPr>
                <w:rFonts w:ascii="Arial" w:hAnsi="Arial" w:cs="Arial"/>
                <w:b/>
                <w:i/>
                <w:lang w:val="it-IT"/>
              </w:rPr>
            </w:pPr>
            <w:r w:rsidRPr="003F77BD">
              <w:rPr>
                <w:rFonts w:ascii="Arial" w:hAnsi="Arial" w:cs="Arial"/>
                <w:b/>
                <w:i/>
                <w:lang w:val="it-IT"/>
              </w:rPr>
              <w:t>149</w:t>
            </w:r>
          </w:p>
        </w:tc>
      </w:tr>
    </w:tbl>
    <w:p w:rsidR="00D4086A" w:rsidRPr="003F77BD" w:rsidRDefault="00D4086A" w:rsidP="00D4086A">
      <w:pPr>
        <w:spacing w:after="0" w:line="240" w:lineRule="auto"/>
        <w:rPr>
          <w:rFonts w:ascii="Arial" w:hAnsi="Arial" w:cs="Arial"/>
          <w:sz w:val="24"/>
          <w:szCs w:val="24"/>
        </w:rPr>
      </w:pPr>
      <w:r w:rsidRPr="003F77BD">
        <w:rPr>
          <w:rFonts w:ascii="Arial" w:hAnsi="Arial" w:cs="Arial"/>
          <w:sz w:val="24"/>
          <w:szCs w:val="24"/>
          <w:lang w:val="it-IT"/>
        </w:rPr>
        <w:lastRenderedPageBreak/>
        <w:t xml:space="preserve">- </w:t>
      </w:r>
      <w:r w:rsidRPr="003F77BD">
        <w:rPr>
          <w:rFonts w:ascii="Arial" w:hAnsi="Arial" w:cs="Arial"/>
          <w:sz w:val="24"/>
          <w:szCs w:val="24"/>
        </w:rPr>
        <w:t>epidemii hidrice – nu s-au inregistrat cazuri.</w:t>
      </w:r>
    </w:p>
    <w:p w:rsidR="00D4086A" w:rsidRPr="003F77BD" w:rsidRDefault="00D4086A" w:rsidP="00D4086A">
      <w:pPr>
        <w:spacing w:after="0" w:line="240" w:lineRule="auto"/>
        <w:rPr>
          <w:rFonts w:ascii="Arial" w:hAnsi="Arial" w:cs="Arial"/>
          <w:sz w:val="24"/>
          <w:szCs w:val="24"/>
        </w:rPr>
      </w:pPr>
      <w:r w:rsidRPr="003F77BD">
        <w:rPr>
          <w:rFonts w:ascii="Arial" w:hAnsi="Arial" w:cs="Arial"/>
          <w:sz w:val="24"/>
          <w:szCs w:val="24"/>
        </w:rPr>
        <w:t>- nu s-au semnalat cazuri hepatit</w:t>
      </w:r>
      <w:r>
        <w:rPr>
          <w:rFonts w:ascii="Arial" w:hAnsi="Arial" w:cs="Arial"/>
          <w:sz w:val="24"/>
          <w:szCs w:val="24"/>
        </w:rPr>
        <w:t>ă</w:t>
      </w:r>
      <w:r w:rsidRPr="003F77BD">
        <w:rPr>
          <w:rFonts w:ascii="Arial" w:hAnsi="Arial" w:cs="Arial"/>
          <w:sz w:val="24"/>
          <w:szCs w:val="24"/>
        </w:rPr>
        <w:t xml:space="preserve"> acut</w:t>
      </w:r>
      <w:r>
        <w:rPr>
          <w:rFonts w:ascii="Arial" w:hAnsi="Arial" w:cs="Arial"/>
          <w:sz w:val="24"/>
          <w:szCs w:val="24"/>
        </w:rPr>
        <w:t>ă</w:t>
      </w:r>
      <w:r w:rsidRPr="003F77BD">
        <w:rPr>
          <w:rFonts w:ascii="Arial" w:hAnsi="Arial" w:cs="Arial"/>
          <w:sz w:val="24"/>
          <w:szCs w:val="24"/>
        </w:rPr>
        <w:t xml:space="preserve"> viral</w:t>
      </w:r>
      <w:r>
        <w:rPr>
          <w:rFonts w:ascii="Arial" w:hAnsi="Arial" w:cs="Arial"/>
          <w:sz w:val="24"/>
          <w:szCs w:val="24"/>
        </w:rPr>
        <w:t>ă</w:t>
      </w:r>
      <w:r w:rsidRPr="003F77BD">
        <w:rPr>
          <w:rFonts w:ascii="Arial" w:hAnsi="Arial" w:cs="Arial"/>
          <w:sz w:val="24"/>
          <w:szCs w:val="24"/>
        </w:rPr>
        <w:t xml:space="preserve"> sau  boli diareice care sa fi avut etiologie hidric</w:t>
      </w:r>
      <w:r>
        <w:rPr>
          <w:rFonts w:ascii="Arial" w:hAnsi="Arial" w:cs="Arial"/>
          <w:sz w:val="24"/>
          <w:szCs w:val="24"/>
        </w:rPr>
        <w:t>ă</w:t>
      </w:r>
    </w:p>
    <w:p w:rsidR="00D4086A" w:rsidRPr="003F77BD" w:rsidRDefault="00D4086A" w:rsidP="00D4086A">
      <w:pPr>
        <w:spacing w:after="0" w:line="240" w:lineRule="auto"/>
        <w:rPr>
          <w:rFonts w:ascii="Arial" w:hAnsi="Arial" w:cs="Arial"/>
          <w:sz w:val="24"/>
          <w:szCs w:val="24"/>
        </w:rPr>
      </w:pPr>
      <w:r w:rsidRPr="003F77BD">
        <w:rPr>
          <w:rFonts w:ascii="Arial" w:hAnsi="Arial" w:cs="Arial"/>
          <w:sz w:val="24"/>
          <w:szCs w:val="24"/>
        </w:rPr>
        <w:t>- nu s-au inregistrat cazuri de methemoglobinemii</w:t>
      </w:r>
    </w:p>
    <w:p w:rsidR="00D4086A" w:rsidRPr="00185D25" w:rsidRDefault="00D4086A" w:rsidP="00D4086A">
      <w:pPr>
        <w:spacing w:after="0" w:line="240" w:lineRule="auto"/>
        <w:jc w:val="both"/>
        <w:rPr>
          <w:rFonts w:ascii="Arial" w:hAnsi="Arial" w:cs="Arial"/>
          <w:b/>
          <w:i/>
          <w:sz w:val="24"/>
          <w:szCs w:val="24"/>
          <w:lang w:val="en-US"/>
        </w:rPr>
      </w:pPr>
      <w:r w:rsidRPr="00185D25">
        <w:rPr>
          <w:rFonts w:ascii="Arial" w:hAnsi="Arial" w:cs="Arial"/>
          <w:b/>
          <w:i/>
          <w:sz w:val="20"/>
          <w:szCs w:val="20"/>
          <w:lang w:val="en-US"/>
        </w:rPr>
        <w:t>Not</w:t>
      </w:r>
      <w:r w:rsidRPr="00185D25">
        <w:rPr>
          <w:rFonts w:ascii="Arial" w:hAnsi="Arial" w:cs="Arial"/>
          <w:b/>
          <w:i/>
          <w:sz w:val="20"/>
          <w:szCs w:val="20"/>
        </w:rPr>
        <w:t xml:space="preserve">ă: Informații actualizate la nivelul anului 2016 furnizate de către Direcția de Sănătate Publică a județului </w:t>
      </w:r>
      <w:r w:rsidR="00217620">
        <w:rPr>
          <w:rFonts w:ascii="Arial" w:hAnsi="Arial" w:cs="Arial"/>
          <w:b/>
          <w:i/>
          <w:sz w:val="20"/>
          <w:szCs w:val="20"/>
        </w:rPr>
        <w:t>Brăila</w:t>
      </w:r>
    </w:p>
    <w:p w:rsidR="00D4086A" w:rsidRPr="003F77BD" w:rsidRDefault="00D4086A" w:rsidP="00D4086A">
      <w:pPr>
        <w:jc w:val="both"/>
        <w:rPr>
          <w:rFonts w:ascii="Arial" w:hAnsi="Arial" w:cs="Arial"/>
          <w:bCs/>
          <w:sz w:val="24"/>
          <w:szCs w:val="24"/>
        </w:rPr>
      </w:pPr>
      <w:r w:rsidRPr="004E720D">
        <w:rPr>
          <w:rFonts w:ascii="Arial" w:hAnsi="Arial" w:cs="Arial"/>
          <w:sz w:val="24"/>
          <w:szCs w:val="24"/>
          <w:lang w:val="en-US"/>
        </w:rPr>
        <w:t>Tabel VIII.1.3. -2</w:t>
      </w:r>
      <w:r w:rsidRPr="00594535">
        <w:rPr>
          <w:rFonts w:ascii="Arial" w:hAnsi="Arial" w:cs="Arial"/>
          <w:sz w:val="24"/>
          <w:szCs w:val="24"/>
          <w:lang w:val="en-US"/>
        </w:rPr>
        <w:t>-</w:t>
      </w:r>
      <w:r w:rsidRPr="00594535">
        <w:rPr>
          <w:rFonts w:ascii="Arial" w:hAnsi="Arial" w:cs="Arial"/>
          <w:b/>
          <w:sz w:val="24"/>
          <w:szCs w:val="24"/>
          <w:lang w:val="en-US"/>
        </w:rPr>
        <w:t xml:space="preserve"> </w:t>
      </w:r>
      <w:r w:rsidRPr="003F77BD">
        <w:rPr>
          <w:rFonts w:ascii="Arial" w:hAnsi="Arial" w:cs="Arial"/>
          <w:sz w:val="24"/>
          <w:szCs w:val="24"/>
        </w:rPr>
        <w:t xml:space="preserve">Evoluţia cazurilor de methemoglobinemie </w:t>
      </w:r>
      <w:r w:rsidRPr="003F77BD">
        <w:rPr>
          <w:rFonts w:ascii="Arial" w:hAnsi="Arial" w:cs="Arial"/>
          <w:bCs/>
          <w:sz w:val="24"/>
          <w:szCs w:val="24"/>
        </w:rPr>
        <w:t>în perioada 2012 – 2016</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2"/>
        <w:gridCol w:w="832"/>
        <w:gridCol w:w="850"/>
        <w:gridCol w:w="851"/>
        <w:gridCol w:w="850"/>
        <w:gridCol w:w="851"/>
      </w:tblGrid>
      <w:tr w:rsidR="00D4086A" w:rsidRPr="0090130C" w:rsidTr="00880E32">
        <w:trPr>
          <w:trHeight w:val="612"/>
          <w:jc w:val="center"/>
        </w:trPr>
        <w:tc>
          <w:tcPr>
            <w:tcW w:w="2102" w:type="dxa"/>
            <w:vMerge w:val="restart"/>
            <w:shd w:val="clear" w:color="auto" w:fill="FABF8F"/>
          </w:tcPr>
          <w:p w:rsidR="00D4086A" w:rsidRPr="0090130C" w:rsidRDefault="00D4086A" w:rsidP="0033527B">
            <w:pPr>
              <w:jc w:val="both"/>
              <w:rPr>
                <w:rFonts w:ascii="Arial" w:hAnsi="Arial" w:cs="Arial"/>
                <w:b/>
                <w:sz w:val="24"/>
                <w:szCs w:val="24"/>
              </w:rPr>
            </w:pPr>
          </w:p>
          <w:p w:rsidR="00D4086A" w:rsidRPr="0090130C" w:rsidRDefault="00D4086A" w:rsidP="0033527B">
            <w:pPr>
              <w:jc w:val="both"/>
              <w:rPr>
                <w:rFonts w:ascii="Arial" w:hAnsi="Arial" w:cs="Arial"/>
                <w:b/>
                <w:sz w:val="24"/>
                <w:szCs w:val="24"/>
              </w:rPr>
            </w:pPr>
            <w:r w:rsidRPr="0090130C">
              <w:rPr>
                <w:rFonts w:ascii="Arial" w:hAnsi="Arial" w:cs="Arial"/>
                <w:b/>
                <w:sz w:val="24"/>
                <w:szCs w:val="24"/>
              </w:rPr>
              <w:t xml:space="preserve">Județul </w:t>
            </w:r>
            <w:r w:rsidR="00217620">
              <w:rPr>
                <w:rFonts w:ascii="Arial" w:hAnsi="Arial" w:cs="Arial"/>
                <w:b/>
                <w:sz w:val="24"/>
                <w:szCs w:val="24"/>
              </w:rPr>
              <w:t>Brăila</w:t>
            </w:r>
          </w:p>
        </w:tc>
        <w:tc>
          <w:tcPr>
            <w:tcW w:w="4234" w:type="dxa"/>
            <w:gridSpan w:val="5"/>
            <w:shd w:val="clear" w:color="auto" w:fill="FABF8F"/>
          </w:tcPr>
          <w:p w:rsidR="00D4086A" w:rsidRPr="0090130C" w:rsidRDefault="00D4086A" w:rsidP="00880E32">
            <w:pPr>
              <w:spacing w:after="0" w:line="240" w:lineRule="auto"/>
              <w:rPr>
                <w:rFonts w:ascii="Arial" w:hAnsi="Arial" w:cs="Arial"/>
                <w:b/>
                <w:sz w:val="24"/>
                <w:szCs w:val="24"/>
              </w:rPr>
            </w:pPr>
            <w:r w:rsidRPr="0090130C">
              <w:rPr>
                <w:rFonts w:ascii="Arial" w:hAnsi="Arial" w:cs="Arial"/>
                <w:b/>
                <w:sz w:val="24"/>
                <w:szCs w:val="24"/>
              </w:rPr>
              <w:t>Evoluţia cazurilor de methemoglobinemie (cazuri/an)</w:t>
            </w:r>
          </w:p>
        </w:tc>
      </w:tr>
      <w:tr w:rsidR="00D4086A" w:rsidRPr="0090130C" w:rsidTr="0033527B">
        <w:trPr>
          <w:jc w:val="center"/>
        </w:trPr>
        <w:tc>
          <w:tcPr>
            <w:tcW w:w="2102" w:type="dxa"/>
            <w:vMerge/>
            <w:shd w:val="clear" w:color="auto" w:fill="FABF8F"/>
          </w:tcPr>
          <w:p w:rsidR="00D4086A" w:rsidRPr="0090130C" w:rsidRDefault="00D4086A" w:rsidP="00880E32">
            <w:pPr>
              <w:spacing w:after="0"/>
              <w:jc w:val="both"/>
              <w:rPr>
                <w:rFonts w:ascii="Arial" w:hAnsi="Arial" w:cs="Arial"/>
                <w:b/>
                <w:sz w:val="24"/>
                <w:szCs w:val="24"/>
              </w:rPr>
            </w:pPr>
          </w:p>
        </w:tc>
        <w:tc>
          <w:tcPr>
            <w:tcW w:w="832" w:type="dxa"/>
            <w:shd w:val="clear" w:color="auto" w:fill="FABF8F"/>
          </w:tcPr>
          <w:p w:rsidR="00D4086A" w:rsidRPr="0090130C" w:rsidRDefault="00D4086A" w:rsidP="00880E32">
            <w:pPr>
              <w:spacing w:after="0"/>
              <w:jc w:val="both"/>
              <w:rPr>
                <w:rFonts w:ascii="Arial" w:hAnsi="Arial" w:cs="Arial"/>
                <w:b/>
                <w:sz w:val="24"/>
                <w:szCs w:val="24"/>
              </w:rPr>
            </w:pPr>
            <w:r w:rsidRPr="0090130C">
              <w:rPr>
                <w:rFonts w:ascii="Arial" w:hAnsi="Arial" w:cs="Arial"/>
                <w:b/>
                <w:sz w:val="24"/>
                <w:szCs w:val="24"/>
              </w:rPr>
              <w:t>2012</w:t>
            </w:r>
          </w:p>
        </w:tc>
        <w:tc>
          <w:tcPr>
            <w:tcW w:w="850" w:type="dxa"/>
            <w:shd w:val="clear" w:color="auto" w:fill="FABF8F"/>
          </w:tcPr>
          <w:p w:rsidR="00D4086A" w:rsidRPr="0090130C" w:rsidRDefault="00D4086A" w:rsidP="00880E32">
            <w:pPr>
              <w:spacing w:after="0"/>
              <w:jc w:val="both"/>
              <w:rPr>
                <w:rFonts w:ascii="Arial" w:hAnsi="Arial" w:cs="Arial"/>
                <w:b/>
                <w:sz w:val="24"/>
                <w:szCs w:val="24"/>
              </w:rPr>
            </w:pPr>
            <w:r w:rsidRPr="0090130C">
              <w:rPr>
                <w:rFonts w:ascii="Arial" w:hAnsi="Arial" w:cs="Arial"/>
                <w:b/>
                <w:sz w:val="24"/>
                <w:szCs w:val="24"/>
              </w:rPr>
              <w:t>2013</w:t>
            </w:r>
          </w:p>
        </w:tc>
        <w:tc>
          <w:tcPr>
            <w:tcW w:w="851" w:type="dxa"/>
            <w:shd w:val="clear" w:color="auto" w:fill="FABF8F"/>
          </w:tcPr>
          <w:p w:rsidR="00D4086A" w:rsidRPr="0090130C" w:rsidRDefault="00D4086A" w:rsidP="00880E32">
            <w:pPr>
              <w:spacing w:after="0"/>
              <w:jc w:val="both"/>
              <w:rPr>
                <w:rFonts w:ascii="Arial" w:hAnsi="Arial" w:cs="Arial"/>
                <w:b/>
                <w:sz w:val="24"/>
                <w:szCs w:val="24"/>
              </w:rPr>
            </w:pPr>
            <w:r w:rsidRPr="0090130C">
              <w:rPr>
                <w:rFonts w:ascii="Arial" w:hAnsi="Arial" w:cs="Arial"/>
                <w:b/>
                <w:sz w:val="24"/>
                <w:szCs w:val="24"/>
              </w:rPr>
              <w:t>2014</w:t>
            </w:r>
          </w:p>
        </w:tc>
        <w:tc>
          <w:tcPr>
            <w:tcW w:w="850" w:type="dxa"/>
            <w:shd w:val="clear" w:color="auto" w:fill="FABF8F"/>
          </w:tcPr>
          <w:p w:rsidR="00D4086A" w:rsidRPr="0090130C" w:rsidRDefault="00D4086A" w:rsidP="00880E32">
            <w:pPr>
              <w:spacing w:after="0"/>
              <w:jc w:val="both"/>
              <w:rPr>
                <w:rFonts w:ascii="Arial" w:hAnsi="Arial" w:cs="Arial"/>
                <w:b/>
                <w:sz w:val="24"/>
                <w:szCs w:val="24"/>
              </w:rPr>
            </w:pPr>
            <w:r w:rsidRPr="0090130C">
              <w:rPr>
                <w:rFonts w:ascii="Arial" w:hAnsi="Arial" w:cs="Arial"/>
                <w:b/>
                <w:sz w:val="24"/>
                <w:szCs w:val="24"/>
              </w:rPr>
              <w:t>2015</w:t>
            </w:r>
          </w:p>
        </w:tc>
        <w:tc>
          <w:tcPr>
            <w:tcW w:w="851" w:type="dxa"/>
            <w:shd w:val="clear" w:color="auto" w:fill="FABF8F"/>
          </w:tcPr>
          <w:p w:rsidR="00D4086A" w:rsidRPr="003F77BD" w:rsidRDefault="00D4086A" w:rsidP="00880E32">
            <w:pPr>
              <w:spacing w:after="0"/>
              <w:jc w:val="both"/>
              <w:rPr>
                <w:rFonts w:ascii="Arial" w:hAnsi="Arial" w:cs="Arial"/>
                <w:b/>
                <w:sz w:val="24"/>
                <w:szCs w:val="24"/>
              </w:rPr>
            </w:pPr>
            <w:r w:rsidRPr="003F77BD">
              <w:rPr>
                <w:rFonts w:ascii="Arial" w:hAnsi="Arial" w:cs="Arial"/>
                <w:b/>
                <w:sz w:val="24"/>
                <w:szCs w:val="24"/>
              </w:rPr>
              <w:t>2016*</w:t>
            </w:r>
          </w:p>
        </w:tc>
      </w:tr>
      <w:tr w:rsidR="00D4086A" w:rsidRPr="0090130C" w:rsidTr="0033527B">
        <w:trPr>
          <w:jc w:val="center"/>
        </w:trPr>
        <w:tc>
          <w:tcPr>
            <w:tcW w:w="2102" w:type="dxa"/>
            <w:shd w:val="clear" w:color="auto" w:fill="FDE9D9"/>
          </w:tcPr>
          <w:p w:rsidR="00D4086A" w:rsidRPr="0090130C" w:rsidRDefault="00D4086A" w:rsidP="00880E32">
            <w:pPr>
              <w:spacing w:after="0" w:line="240" w:lineRule="auto"/>
              <w:jc w:val="both"/>
              <w:rPr>
                <w:rFonts w:ascii="Arial" w:hAnsi="Arial" w:cs="Arial"/>
                <w:sz w:val="24"/>
                <w:szCs w:val="24"/>
              </w:rPr>
            </w:pPr>
            <w:r w:rsidRPr="0090130C">
              <w:rPr>
                <w:rFonts w:ascii="Arial" w:hAnsi="Arial" w:cs="Arial"/>
                <w:sz w:val="24"/>
                <w:szCs w:val="24"/>
              </w:rPr>
              <w:t>Număr cazuri/an</w:t>
            </w:r>
          </w:p>
        </w:tc>
        <w:tc>
          <w:tcPr>
            <w:tcW w:w="832" w:type="dxa"/>
            <w:shd w:val="clear" w:color="auto" w:fill="FDE9D9"/>
          </w:tcPr>
          <w:p w:rsidR="00D4086A" w:rsidRPr="0090130C" w:rsidRDefault="00D4086A" w:rsidP="00880E32">
            <w:pPr>
              <w:spacing w:line="240" w:lineRule="auto"/>
              <w:jc w:val="both"/>
              <w:rPr>
                <w:rFonts w:ascii="Arial" w:hAnsi="Arial" w:cs="Arial"/>
                <w:sz w:val="24"/>
                <w:szCs w:val="24"/>
              </w:rPr>
            </w:pPr>
            <w:r w:rsidRPr="0090130C">
              <w:rPr>
                <w:rFonts w:ascii="Arial" w:hAnsi="Arial" w:cs="Arial"/>
                <w:sz w:val="24"/>
                <w:szCs w:val="24"/>
              </w:rPr>
              <w:t>1</w:t>
            </w:r>
          </w:p>
        </w:tc>
        <w:tc>
          <w:tcPr>
            <w:tcW w:w="850" w:type="dxa"/>
            <w:shd w:val="clear" w:color="auto" w:fill="FDE9D9"/>
          </w:tcPr>
          <w:p w:rsidR="00D4086A" w:rsidRPr="0090130C" w:rsidRDefault="00D4086A" w:rsidP="00880E32">
            <w:pPr>
              <w:spacing w:line="240" w:lineRule="auto"/>
              <w:jc w:val="both"/>
              <w:rPr>
                <w:rFonts w:ascii="Arial" w:hAnsi="Arial" w:cs="Arial"/>
                <w:sz w:val="24"/>
                <w:szCs w:val="24"/>
              </w:rPr>
            </w:pPr>
            <w:r w:rsidRPr="0090130C">
              <w:rPr>
                <w:rFonts w:ascii="Arial" w:hAnsi="Arial" w:cs="Arial"/>
                <w:sz w:val="24"/>
                <w:szCs w:val="24"/>
              </w:rPr>
              <w:t>3</w:t>
            </w:r>
          </w:p>
        </w:tc>
        <w:tc>
          <w:tcPr>
            <w:tcW w:w="851" w:type="dxa"/>
            <w:shd w:val="clear" w:color="auto" w:fill="FDE9D9"/>
          </w:tcPr>
          <w:p w:rsidR="00D4086A" w:rsidRPr="0090130C" w:rsidRDefault="00D4086A" w:rsidP="00880E32">
            <w:pPr>
              <w:spacing w:line="240" w:lineRule="auto"/>
              <w:jc w:val="both"/>
              <w:rPr>
                <w:rFonts w:ascii="Arial" w:hAnsi="Arial" w:cs="Arial"/>
                <w:sz w:val="24"/>
                <w:szCs w:val="24"/>
              </w:rPr>
            </w:pPr>
            <w:r w:rsidRPr="0090130C">
              <w:rPr>
                <w:rFonts w:ascii="Arial" w:hAnsi="Arial" w:cs="Arial"/>
                <w:sz w:val="24"/>
                <w:szCs w:val="24"/>
              </w:rPr>
              <w:t>0</w:t>
            </w:r>
          </w:p>
        </w:tc>
        <w:tc>
          <w:tcPr>
            <w:tcW w:w="850" w:type="dxa"/>
            <w:shd w:val="clear" w:color="auto" w:fill="FDE9D9"/>
          </w:tcPr>
          <w:p w:rsidR="00D4086A" w:rsidRPr="0090130C" w:rsidRDefault="00D4086A" w:rsidP="00880E32">
            <w:pPr>
              <w:spacing w:line="240" w:lineRule="auto"/>
              <w:jc w:val="both"/>
              <w:rPr>
                <w:rFonts w:ascii="Arial" w:hAnsi="Arial" w:cs="Arial"/>
                <w:sz w:val="24"/>
                <w:szCs w:val="24"/>
              </w:rPr>
            </w:pPr>
            <w:r w:rsidRPr="0090130C">
              <w:rPr>
                <w:rFonts w:ascii="Arial" w:hAnsi="Arial" w:cs="Arial"/>
                <w:sz w:val="24"/>
                <w:szCs w:val="24"/>
              </w:rPr>
              <w:t>0</w:t>
            </w:r>
          </w:p>
        </w:tc>
        <w:tc>
          <w:tcPr>
            <w:tcW w:w="851" w:type="dxa"/>
            <w:shd w:val="clear" w:color="auto" w:fill="FDE9D9"/>
          </w:tcPr>
          <w:p w:rsidR="00D4086A" w:rsidRPr="003F77BD" w:rsidRDefault="00D4086A" w:rsidP="00880E32">
            <w:pPr>
              <w:spacing w:line="240" w:lineRule="auto"/>
              <w:jc w:val="both"/>
              <w:rPr>
                <w:rFonts w:ascii="Arial" w:hAnsi="Arial" w:cs="Arial"/>
                <w:sz w:val="24"/>
                <w:szCs w:val="24"/>
              </w:rPr>
            </w:pPr>
            <w:r w:rsidRPr="003F77BD">
              <w:rPr>
                <w:rFonts w:ascii="Arial" w:hAnsi="Arial" w:cs="Arial"/>
                <w:sz w:val="24"/>
                <w:szCs w:val="24"/>
              </w:rPr>
              <w:t>0</w:t>
            </w:r>
          </w:p>
        </w:tc>
      </w:tr>
      <w:tr w:rsidR="00D4086A" w:rsidRPr="0090130C" w:rsidTr="0033527B">
        <w:trPr>
          <w:jc w:val="center"/>
        </w:trPr>
        <w:tc>
          <w:tcPr>
            <w:tcW w:w="2102" w:type="dxa"/>
            <w:shd w:val="clear" w:color="auto" w:fill="FDE9D9"/>
          </w:tcPr>
          <w:p w:rsidR="00D4086A" w:rsidRPr="0090130C" w:rsidRDefault="00D4086A" w:rsidP="00880E32">
            <w:pPr>
              <w:spacing w:line="240" w:lineRule="auto"/>
              <w:jc w:val="both"/>
              <w:rPr>
                <w:rFonts w:ascii="Arial" w:hAnsi="Arial" w:cs="Arial"/>
                <w:sz w:val="24"/>
                <w:szCs w:val="24"/>
              </w:rPr>
            </w:pPr>
            <w:r w:rsidRPr="0090130C">
              <w:rPr>
                <w:rFonts w:ascii="Arial" w:hAnsi="Arial" w:cs="Arial"/>
                <w:sz w:val="24"/>
                <w:szCs w:val="24"/>
              </w:rPr>
              <w:t>Număr cazuri de mortalitate infantilă generate de consumul apei de fântână</w:t>
            </w:r>
          </w:p>
        </w:tc>
        <w:tc>
          <w:tcPr>
            <w:tcW w:w="832" w:type="dxa"/>
            <w:shd w:val="clear" w:color="auto" w:fill="FDE9D9"/>
          </w:tcPr>
          <w:p w:rsidR="00D4086A" w:rsidRPr="0090130C" w:rsidRDefault="00D4086A" w:rsidP="00880E32">
            <w:pPr>
              <w:spacing w:line="240" w:lineRule="auto"/>
              <w:jc w:val="both"/>
              <w:rPr>
                <w:rFonts w:ascii="Arial" w:hAnsi="Arial" w:cs="Arial"/>
                <w:sz w:val="24"/>
                <w:szCs w:val="24"/>
              </w:rPr>
            </w:pPr>
            <w:r w:rsidRPr="0090130C">
              <w:rPr>
                <w:rFonts w:ascii="Arial" w:hAnsi="Arial" w:cs="Arial"/>
                <w:sz w:val="24"/>
                <w:szCs w:val="24"/>
              </w:rPr>
              <w:t>0</w:t>
            </w:r>
          </w:p>
        </w:tc>
        <w:tc>
          <w:tcPr>
            <w:tcW w:w="850" w:type="dxa"/>
            <w:shd w:val="clear" w:color="auto" w:fill="FDE9D9"/>
          </w:tcPr>
          <w:p w:rsidR="00D4086A" w:rsidRPr="0090130C" w:rsidRDefault="00D4086A" w:rsidP="00880E32">
            <w:pPr>
              <w:spacing w:line="240" w:lineRule="auto"/>
              <w:jc w:val="both"/>
              <w:rPr>
                <w:rFonts w:ascii="Arial" w:hAnsi="Arial" w:cs="Arial"/>
                <w:sz w:val="24"/>
                <w:szCs w:val="24"/>
              </w:rPr>
            </w:pPr>
            <w:r w:rsidRPr="0090130C">
              <w:rPr>
                <w:rFonts w:ascii="Arial" w:hAnsi="Arial" w:cs="Arial"/>
                <w:sz w:val="24"/>
                <w:szCs w:val="24"/>
              </w:rPr>
              <w:t>1</w:t>
            </w:r>
          </w:p>
        </w:tc>
        <w:tc>
          <w:tcPr>
            <w:tcW w:w="851" w:type="dxa"/>
            <w:shd w:val="clear" w:color="auto" w:fill="FDE9D9"/>
          </w:tcPr>
          <w:p w:rsidR="00D4086A" w:rsidRPr="0090130C" w:rsidRDefault="00D4086A" w:rsidP="00880E32">
            <w:pPr>
              <w:spacing w:line="240" w:lineRule="auto"/>
              <w:jc w:val="both"/>
              <w:rPr>
                <w:rFonts w:ascii="Arial" w:hAnsi="Arial" w:cs="Arial"/>
                <w:sz w:val="24"/>
                <w:szCs w:val="24"/>
              </w:rPr>
            </w:pPr>
            <w:r w:rsidRPr="0090130C">
              <w:rPr>
                <w:rFonts w:ascii="Arial" w:hAnsi="Arial" w:cs="Arial"/>
                <w:sz w:val="24"/>
                <w:szCs w:val="24"/>
              </w:rPr>
              <w:t>0</w:t>
            </w:r>
          </w:p>
        </w:tc>
        <w:tc>
          <w:tcPr>
            <w:tcW w:w="850" w:type="dxa"/>
            <w:shd w:val="clear" w:color="auto" w:fill="FDE9D9"/>
          </w:tcPr>
          <w:p w:rsidR="00D4086A" w:rsidRPr="0090130C" w:rsidRDefault="00D4086A" w:rsidP="00880E32">
            <w:pPr>
              <w:spacing w:line="240" w:lineRule="auto"/>
              <w:jc w:val="both"/>
              <w:rPr>
                <w:rFonts w:ascii="Arial" w:hAnsi="Arial" w:cs="Arial"/>
                <w:sz w:val="24"/>
                <w:szCs w:val="24"/>
              </w:rPr>
            </w:pPr>
            <w:r w:rsidRPr="0090130C">
              <w:rPr>
                <w:rFonts w:ascii="Arial" w:hAnsi="Arial" w:cs="Arial"/>
                <w:sz w:val="24"/>
                <w:szCs w:val="24"/>
              </w:rPr>
              <w:t>0</w:t>
            </w:r>
          </w:p>
        </w:tc>
        <w:tc>
          <w:tcPr>
            <w:tcW w:w="851" w:type="dxa"/>
            <w:shd w:val="clear" w:color="auto" w:fill="FDE9D9"/>
          </w:tcPr>
          <w:p w:rsidR="00D4086A" w:rsidRPr="003F77BD" w:rsidRDefault="00D4086A" w:rsidP="00880E32">
            <w:pPr>
              <w:spacing w:line="240" w:lineRule="auto"/>
              <w:jc w:val="both"/>
              <w:rPr>
                <w:rFonts w:ascii="Arial" w:hAnsi="Arial" w:cs="Arial"/>
                <w:sz w:val="24"/>
                <w:szCs w:val="24"/>
              </w:rPr>
            </w:pPr>
            <w:r w:rsidRPr="003F77BD">
              <w:rPr>
                <w:rFonts w:ascii="Arial" w:hAnsi="Arial" w:cs="Arial"/>
                <w:sz w:val="24"/>
                <w:szCs w:val="24"/>
              </w:rPr>
              <w:t>0</w:t>
            </w:r>
          </w:p>
        </w:tc>
      </w:tr>
    </w:tbl>
    <w:p w:rsidR="00D4086A" w:rsidRPr="003F77BD" w:rsidRDefault="00D4086A" w:rsidP="00D4086A">
      <w:pPr>
        <w:pStyle w:val="Default"/>
        <w:rPr>
          <w:rFonts w:ascii="Arial" w:hAnsi="Arial" w:cs="Arial"/>
          <w:i/>
          <w:color w:val="auto"/>
          <w:sz w:val="20"/>
          <w:szCs w:val="20"/>
        </w:rPr>
      </w:pPr>
      <w:r w:rsidRPr="00594535">
        <w:rPr>
          <w:rFonts w:ascii="Arial" w:hAnsi="Arial" w:cs="Arial"/>
        </w:rPr>
        <w:t xml:space="preserve">    </w:t>
      </w:r>
      <w:r w:rsidRPr="003F77BD">
        <w:rPr>
          <w:rFonts w:ascii="Arial" w:hAnsi="Arial" w:cs="Arial"/>
          <w:i/>
          <w:color w:val="auto"/>
          <w:sz w:val="20"/>
          <w:szCs w:val="20"/>
        </w:rPr>
        <w:t xml:space="preserve">Notă: Informații furnizate de către Direcția de Sănătate Publică a județului </w:t>
      </w:r>
      <w:r w:rsidR="00217620">
        <w:rPr>
          <w:rFonts w:ascii="Arial" w:hAnsi="Arial" w:cs="Arial"/>
          <w:i/>
          <w:color w:val="auto"/>
          <w:sz w:val="20"/>
          <w:szCs w:val="20"/>
        </w:rPr>
        <w:t>Brăila</w:t>
      </w:r>
    </w:p>
    <w:p w:rsidR="00D4086A" w:rsidRPr="003F77BD" w:rsidRDefault="00D4086A" w:rsidP="00D4086A">
      <w:pPr>
        <w:pStyle w:val="Default"/>
        <w:rPr>
          <w:i/>
          <w:color w:val="auto"/>
        </w:rPr>
      </w:pPr>
      <w:r w:rsidRPr="003F77BD">
        <w:rPr>
          <w:rFonts w:ascii="Arial" w:hAnsi="Arial" w:cs="Arial"/>
          <w:i/>
          <w:color w:val="auto"/>
          <w:sz w:val="20"/>
          <w:szCs w:val="20"/>
        </w:rPr>
        <w:t>(</w:t>
      </w:r>
      <w:r w:rsidRPr="003F77BD">
        <w:rPr>
          <w:i/>
          <w:color w:val="auto"/>
        </w:rPr>
        <w:t xml:space="preserve">*Pentru cazurile de methemoglobinemie se vor lua în considerare cazurile de boală cu diagnostic principal la externare de “Intoxicaţie acută cu nitraţi”). </w:t>
      </w:r>
    </w:p>
    <w:p w:rsidR="00880E32" w:rsidRDefault="00880E32" w:rsidP="00D4086A">
      <w:pPr>
        <w:ind w:firstLine="708"/>
        <w:jc w:val="both"/>
        <w:rPr>
          <w:rFonts w:ascii="Times New Roman" w:hAnsi="Times New Roman"/>
        </w:rPr>
      </w:pPr>
    </w:p>
    <w:p w:rsidR="00D4086A" w:rsidRDefault="00D4086A" w:rsidP="004E720D">
      <w:pPr>
        <w:spacing w:after="0" w:line="240" w:lineRule="auto"/>
        <w:ind w:firstLine="708"/>
        <w:rPr>
          <w:rFonts w:ascii="Arial" w:hAnsi="Arial" w:cs="Arial"/>
          <w:color w:val="FF0000"/>
          <w:sz w:val="24"/>
          <w:szCs w:val="24"/>
        </w:rPr>
      </w:pPr>
      <w:r w:rsidRPr="004E720D">
        <w:rPr>
          <w:rFonts w:ascii="Arial" w:hAnsi="Arial" w:cs="Arial"/>
          <w:sz w:val="24"/>
          <w:szCs w:val="24"/>
        </w:rPr>
        <w:t>Tabelul VIII. 1.3. – 3</w:t>
      </w:r>
      <w:r w:rsidRPr="004E720D">
        <w:rPr>
          <w:rFonts w:ascii="Arial" w:hAnsi="Arial" w:cs="Arial"/>
          <w:color w:val="FF0000"/>
          <w:sz w:val="24"/>
          <w:szCs w:val="24"/>
        </w:rPr>
        <w:t xml:space="preserve"> </w:t>
      </w:r>
      <w:r w:rsidRPr="004E720D">
        <w:rPr>
          <w:rFonts w:ascii="Arial" w:hAnsi="Arial" w:cs="Arial"/>
          <w:sz w:val="24"/>
          <w:szCs w:val="24"/>
        </w:rPr>
        <w:t>Îmbolnăviri</w:t>
      </w:r>
      <w:r w:rsidRPr="002854CF">
        <w:rPr>
          <w:rFonts w:ascii="Arial" w:hAnsi="Arial" w:cs="Arial"/>
          <w:sz w:val="24"/>
          <w:szCs w:val="24"/>
        </w:rPr>
        <w:t xml:space="preserve"> asociate factorilor de risc din apa pentru consum la nivelul județului </w:t>
      </w:r>
      <w:r w:rsidR="00217620">
        <w:rPr>
          <w:rFonts w:ascii="Arial" w:hAnsi="Arial" w:cs="Arial"/>
          <w:sz w:val="24"/>
          <w:szCs w:val="24"/>
        </w:rPr>
        <w:t>Brăila</w:t>
      </w:r>
      <w:r w:rsidRPr="002854CF">
        <w:rPr>
          <w:rFonts w:ascii="Arial" w:hAnsi="Arial" w:cs="Arial"/>
          <w:sz w:val="24"/>
          <w:szCs w:val="24"/>
        </w:rPr>
        <w:t xml:space="preserve"> pentru anul 2016</w:t>
      </w:r>
    </w:p>
    <w:tbl>
      <w:tblPr>
        <w:tblW w:w="0" w:type="auto"/>
        <w:jc w:val="center"/>
        <w:tblInd w:w="2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4"/>
        <w:gridCol w:w="3597"/>
      </w:tblGrid>
      <w:tr w:rsidR="00D4086A" w:rsidRPr="0090130C" w:rsidTr="0033527B">
        <w:trPr>
          <w:jc w:val="center"/>
        </w:trPr>
        <w:tc>
          <w:tcPr>
            <w:tcW w:w="3044" w:type="dxa"/>
            <w:vMerge w:val="restart"/>
            <w:shd w:val="clear" w:color="auto" w:fill="FDE9D9"/>
          </w:tcPr>
          <w:p w:rsidR="00D4086A" w:rsidRPr="00FC4974" w:rsidRDefault="00D4086A" w:rsidP="004E720D">
            <w:pPr>
              <w:spacing w:after="0" w:line="240" w:lineRule="auto"/>
              <w:rPr>
                <w:rFonts w:ascii="Arial" w:eastAsia="Calibri" w:hAnsi="Arial" w:cs="Arial"/>
                <w:sz w:val="24"/>
                <w:szCs w:val="24"/>
                <w:lang w:val="en-US"/>
              </w:rPr>
            </w:pPr>
          </w:p>
          <w:p w:rsidR="00D4086A" w:rsidRPr="00FC4974" w:rsidRDefault="00D4086A" w:rsidP="0033527B">
            <w:pPr>
              <w:spacing w:after="0" w:line="240" w:lineRule="auto"/>
              <w:jc w:val="center"/>
              <w:rPr>
                <w:rFonts w:ascii="Arial" w:eastAsia="Calibri" w:hAnsi="Arial" w:cs="Arial"/>
                <w:sz w:val="24"/>
                <w:szCs w:val="24"/>
                <w:lang w:val="en-US"/>
              </w:rPr>
            </w:pPr>
            <w:r w:rsidRPr="00FC4974">
              <w:rPr>
                <w:rFonts w:ascii="Arial" w:eastAsia="Calibri" w:hAnsi="Arial" w:cs="Arial"/>
                <w:sz w:val="24"/>
                <w:szCs w:val="24"/>
                <w:lang w:val="en-US"/>
              </w:rPr>
              <w:t xml:space="preserve">Județul </w:t>
            </w:r>
            <w:r w:rsidR="00217620">
              <w:rPr>
                <w:rFonts w:ascii="Arial" w:eastAsia="Calibri" w:hAnsi="Arial" w:cs="Arial"/>
                <w:sz w:val="24"/>
                <w:szCs w:val="24"/>
                <w:lang w:val="en-US"/>
              </w:rPr>
              <w:t>Brăila</w:t>
            </w:r>
          </w:p>
        </w:tc>
        <w:tc>
          <w:tcPr>
            <w:tcW w:w="3597" w:type="dxa"/>
            <w:shd w:val="clear" w:color="auto" w:fill="FDE9D9"/>
          </w:tcPr>
          <w:p w:rsidR="00D4086A" w:rsidRPr="00FC4974" w:rsidRDefault="00D4086A" w:rsidP="0033527B">
            <w:pPr>
              <w:spacing w:after="0" w:line="240" w:lineRule="auto"/>
              <w:rPr>
                <w:rFonts w:ascii="Arial" w:eastAsia="Calibri" w:hAnsi="Arial" w:cs="Arial"/>
                <w:sz w:val="24"/>
                <w:szCs w:val="24"/>
                <w:lang w:val="en-US"/>
              </w:rPr>
            </w:pPr>
            <w:r w:rsidRPr="00FC4974">
              <w:rPr>
                <w:rFonts w:ascii="Arial" w:eastAsia="Calibri" w:hAnsi="Arial" w:cs="Arial"/>
                <w:sz w:val="24"/>
                <w:szCs w:val="24"/>
                <w:lang w:val="en-US"/>
              </w:rPr>
              <w:t>Îmbolnăviri asociate factorilor de risc din apa pentru consum</w:t>
            </w:r>
          </w:p>
        </w:tc>
      </w:tr>
      <w:tr w:rsidR="00D4086A" w:rsidRPr="0090130C" w:rsidTr="0033527B">
        <w:trPr>
          <w:jc w:val="center"/>
        </w:trPr>
        <w:tc>
          <w:tcPr>
            <w:tcW w:w="3044" w:type="dxa"/>
            <w:vMerge/>
          </w:tcPr>
          <w:p w:rsidR="00D4086A" w:rsidRPr="00FC4974" w:rsidRDefault="00D4086A" w:rsidP="0033527B">
            <w:pPr>
              <w:spacing w:after="0" w:line="240" w:lineRule="auto"/>
              <w:rPr>
                <w:rFonts w:ascii="Arial" w:eastAsia="Calibri" w:hAnsi="Arial" w:cs="Arial"/>
                <w:sz w:val="24"/>
                <w:szCs w:val="24"/>
                <w:lang w:val="en-US"/>
              </w:rPr>
            </w:pPr>
          </w:p>
        </w:tc>
        <w:tc>
          <w:tcPr>
            <w:tcW w:w="3597" w:type="dxa"/>
            <w:shd w:val="clear" w:color="auto" w:fill="FDE9D9"/>
          </w:tcPr>
          <w:p w:rsidR="00D4086A" w:rsidRPr="00FC4974" w:rsidRDefault="00D4086A" w:rsidP="0033527B">
            <w:pPr>
              <w:spacing w:after="0" w:line="240" w:lineRule="auto"/>
              <w:jc w:val="center"/>
              <w:rPr>
                <w:rFonts w:ascii="Arial" w:eastAsia="Calibri" w:hAnsi="Arial" w:cs="Arial"/>
                <w:sz w:val="24"/>
                <w:szCs w:val="24"/>
                <w:lang w:val="en-US"/>
              </w:rPr>
            </w:pPr>
            <w:r w:rsidRPr="00FC4974">
              <w:rPr>
                <w:rFonts w:ascii="Arial" w:eastAsia="Calibri" w:hAnsi="Arial" w:cs="Arial"/>
                <w:sz w:val="24"/>
                <w:szCs w:val="24"/>
                <w:lang w:val="en-US"/>
              </w:rPr>
              <w:t xml:space="preserve">Anul </w:t>
            </w:r>
            <w:r w:rsidRPr="00814E98">
              <w:rPr>
                <w:rFonts w:ascii="Arial" w:eastAsia="Calibri" w:hAnsi="Arial" w:cs="Arial"/>
                <w:b/>
                <w:sz w:val="24"/>
                <w:szCs w:val="24"/>
                <w:lang w:val="en-US"/>
              </w:rPr>
              <w:t>2016*</w:t>
            </w:r>
          </w:p>
        </w:tc>
      </w:tr>
      <w:tr w:rsidR="00D4086A" w:rsidRPr="0090130C" w:rsidTr="0033527B">
        <w:trPr>
          <w:jc w:val="center"/>
        </w:trPr>
        <w:tc>
          <w:tcPr>
            <w:tcW w:w="3044" w:type="dxa"/>
            <w:shd w:val="clear" w:color="auto" w:fill="DAEEF3"/>
          </w:tcPr>
          <w:p w:rsidR="00D4086A" w:rsidRPr="00FC4974" w:rsidRDefault="00D4086A" w:rsidP="0033527B">
            <w:pPr>
              <w:spacing w:after="0" w:line="240" w:lineRule="auto"/>
              <w:rPr>
                <w:rFonts w:ascii="Arial" w:eastAsia="Calibri" w:hAnsi="Arial" w:cs="Arial"/>
                <w:sz w:val="24"/>
                <w:szCs w:val="24"/>
                <w:lang w:val="en-US"/>
              </w:rPr>
            </w:pPr>
            <w:r w:rsidRPr="00FC4974">
              <w:rPr>
                <w:rFonts w:ascii="Arial" w:eastAsia="Calibri" w:hAnsi="Arial" w:cs="Arial"/>
                <w:sz w:val="24"/>
                <w:szCs w:val="24"/>
                <w:lang w:val="en-US"/>
              </w:rPr>
              <w:t>Număr cazuri la 1.000 de locuitori</w:t>
            </w:r>
          </w:p>
        </w:tc>
        <w:tc>
          <w:tcPr>
            <w:tcW w:w="3597" w:type="dxa"/>
            <w:shd w:val="clear" w:color="auto" w:fill="DAEEF3"/>
          </w:tcPr>
          <w:p w:rsidR="00D4086A" w:rsidRPr="00814E98" w:rsidRDefault="00D4086A" w:rsidP="0033527B">
            <w:pPr>
              <w:spacing w:after="0" w:line="240" w:lineRule="auto"/>
              <w:jc w:val="center"/>
              <w:rPr>
                <w:rFonts w:ascii="Arial" w:eastAsia="Calibri" w:hAnsi="Arial" w:cs="Arial"/>
                <w:sz w:val="24"/>
                <w:szCs w:val="24"/>
                <w:lang w:val="en-US"/>
              </w:rPr>
            </w:pPr>
            <w:r w:rsidRPr="00814E98">
              <w:rPr>
                <w:rFonts w:ascii="Arial" w:eastAsia="Calibri" w:hAnsi="Arial" w:cs="Arial"/>
                <w:sz w:val="24"/>
                <w:szCs w:val="24"/>
                <w:lang w:val="en-US"/>
              </w:rPr>
              <w:t>0</w:t>
            </w:r>
          </w:p>
        </w:tc>
      </w:tr>
    </w:tbl>
    <w:p w:rsidR="00D4086A" w:rsidRPr="00B74FBD" w:rsidRDefault="00D4086A" w:rsidP="00D4086A">
      <w:pPr>
        <w:ind w:firstLine="708"/>
        <w:rPr>
          <w:rFonts w:ascii="Arial" w:hAnsi="Arial" w:cs="Arial"/>
          <w:b/>
          <w:i/>
          <w:sz w:val="20"/>
          <w:szCs w:val="20"/>
        </w:rPr>
      </w:pPr>
      <w:r w:rsidRPr="00814E98">
        <w:rPr>
          <w:rFonts w:ascii="Arial" w:hAnsi="Arial" w:cs="Arial"/>
          <w:sz w:val="24"/>
          <w:szCs w:val="24"/>
          <w:lang w:val="en-US"/>
        </w:rPr>
        <w:t xml:space="preserve">* </w:t>
      </w:r>
      <w:r w:rsidRPr="00B74FBD">
        <w:rPr>
          <w:rFonts w:ascii="Arial" w:hAnsi="Arial" w:cs="Arial"/>
          <w:b/>
          <w:i/>
          <w:sz w:val="20"/>
          <w:szCs w:val="20"/>
        </w:rPr>
        <w:t xml:space="preserve">Datele colectate se referă la cazuri spitalizate prin </w:t>
      </w:r>
      <w:r w:rsidRPr="00B74FBD">
        <w:rPr>
          <w:rFonts w:ascii="Arial" w:hAnsi="Arial" w:cs="Arial"/>
          <w:b/>
          <w:i/>
          <w:iCs/>
          <w:sz w:val="20"/>
          <w:szCs w:val="20"/>
        </w:rPr>
        <w:t>boli hidrice infecţioase şi  neinfecţioase</w:t>
      </w:r>
      <w:r w:rsidRPr="00B74FBD">
        <w:rPr>
          <w:rFonts w:ascii="Arial" w:hAnsi="Arial" w:cs="Arial"/>
          <w:b/>
          <w:i/>
          <w:sz w:val="20"/>
          <w:szCs w:val="20"/>
        </w:rPr>
        <w:t xml:space="preserve"> în toate unit ăţile spitaliceşti din judeţul </w:t>
      </w:r>
      <w:r w:rsidR="00217620">
        <w:rPr>
          <w:rFonts w:ascii="Arial" w:hAnsi="Arial" w:cs="Arial"/>
          <w:b/>
          <w:i/>
          <w:sz w:val="20"/>
          <w:szCs w:val="20"/>
        </w:rPr>
        <w:t>Brăila</w:t>
      </w:r>
      <w:r w:rsidRPr="00B74FBD">
        <w:rPr>
          <w:rFonts w:ascii="Times New Roman" w:hAnsi="Times New Roman"/>
          <w:b/>
        </w:rPr>
        <w:t>.</w:t>
      </w:r>
      <w:r w:rsidRPr="00B74FBD">
        <w:rPr>
          <w:rFonts w:ascii="Arial" w:hAnsi="Arial" w:cs="Arial"/>
          <w:b/>
          <w:i/>
          <w:sz w:val="20"/>
          <w:szCs w:val="20"/>
        </w:rPr>
        <w:t xml:space="preserve">Notă: Informații furnizate de către Direcția de Sănătate Publică a județului </w:t>
      </w:r>
      <w:r w:rsidR="00217620">
        <w:rPr>
          <w:rFonts w:ascii="Arial" w:hAnsi="Arial" w:cs="Arial"/>
          <w:b/>
          <w:i/>
          <w:sz w:val="20"/>
          <w:szCs w:val="20"/>
        </w:rPr>
        <w:t>Brăila</w:t>
      </w:r>
    </w:p>
    <w:p w:rsidR="00D4086A" w:rsidRDefault="008A7F47" w:rsidP="008A7F47">
      <w:pPr>
        <w:pStyle w:val="Default"/>
        <w:rPr>
          <w:rFonts w:ascii="Arial" w:hAnsi="Arial" w:cs="Arial"/>
          <w:b/>
          <w:color w:val="auto"/>
        </w:rPr>
      </w:pPr>
      <w:r w:rsidRPr="008A7F47">
        <w:rPr>
          <w:rFonts w:ascii="Arial" w:hAnsi="Arial" w:cs="Arial"/>
          <w:b/>
          <w:color w:val="auto"/>
        </w:rPr>
        <w:t xml:space="preserve">VIII.1.4. Spațiile verzi și efectele asupra sănătății și calității vieții </w:t>
      </w:r>
    </w:p>
    <w:p w:rsidR="008A7F47" w:rsidRPr="008A7F47" w:rsidRDefault="008A7F47" w:rsidP="008A7F47">
      <w:pPr>
        <w:pStyle w:val="Default"/>
        <w:rPr>
          <w:color w:val="auto"/>
        </w:rPr>
      </w:pPr>
    </w:p>
    <w:p w:rsidR="008A7F47" w:rsidRPr="008A7F47" w:rsidRDefault="00D4086A" w:rsidP="008A7F47">
      <w:pPr>
        <w:pStyle w:val="Heading4"/>
        <w:tabs>
          <w:tab w:val="num" w:pos="709"/>
          <w:tab w:val="left" w:pos="851"/>
        </w:tabs>
        <w:spacing w:before="0" w:after="0" w:line="276" w:lineRule="auto"/>
        <w:jc w:val="both"/>
        <w:rPr>
          <w:rStyle w:val="tli1"/>
          <w:rFonts w:ascii="Arial" w:hAnsi="Arial" w:cs="Arial"/>
          <w:b w:val="0"/>
          <w:sz w:val="24"/>
          <w:szCs w:val="24"/>
        </w:rPr>
      </w:pPr>
      <w:r w:rsidRPr="008A7F47">
        <w:rPr>
          <w:sz w:val="24"/>
          <w:szCs w:val="24"/>
        </w:rPr>
        <w:tab/>
      </w:r>
      <w:r w:rsidR="008A7F47" w:rsidRPr="008A7F47">
        <w:rPr>
          <w:rStyle w:val="tli1"/>
          <w:rFonts w:ascii="Arial" w:hAnsi="Arial" w:cs="Arial"/>
          <w:b w:val="0"/>
          <w:sz w:val="24"/>
          <w:szCs w:val="24"/>
        </w:rPr>
        <w:t>Pe lângă rolul estetic, spaţiile verzi contribuie la îmbunătăţirea calităţii mediului prin reducerea poluării atmosferice şi reglarea climatului zonal (ameliorând temperaturile extreme şi îmbunătăţind regimul precipitaţiilor).</w:t>
      </w:r>
    </w:p>
    <w:p w:rsidR="008A7F47" w:rsidRPr="008A7F47" w:rsidRDefault="003D04DD" w:rsidP="008A7F47">
      <w:pPr>
        <w:spacing w:after="0" w:line="240" w:lineRule="auto"/>
        <w:jc w:val="both"/>
        <w:rPr>
          <w:rFonts w:ascii="Arial" w:hAnsi="Arial" w:cs="Arial"/>
          <w:sz w:val="24"/>
          <w:szCs w:val="24"/>
        </w:rPr>
      </w:pPr>
      <w:hyperlink w:anchor="#" w:history="1"/>
      <w:r w:rsidR="008A7F47" w:rsidRPr="008A7F47">
        <w:rPr>
          <w:rFonts w:ascii="Arial" w:hAnsi="Arial" w:cs="Arial"/>
          <w:sz w:val="24"/>
          <w:szCs w:val="24"/>
        </w:rPr>
        <w:t>A</w:t>
      </w:r>
      <w:r w:rsidR="008A7F47" w:rsidRPr="008A7F47">
        <w:rPr>
          <w:rStyle w:val="tpa1"/>
          <w:rFonts w:ascii="Arial" w:hAnsi="Arial" w:cs="Arial"/>
          <w:sz w:val="24"/>
          <w:szCs w:val="24"/>
        </w:rPr>
        <w:t>dministrarea spaţiilor verzi urmăreşte:</w:t>
      </w:r>
    </w:p>
    <w:p w:rsidR="008A7F47" w:rsidRPr="008A7F47" w:rsidRDefault="003D04DD" w:rsidP="00252ED3">
      <w:pPr>
        <w:numPr>
          <w:ilvl w:val="0"/>
          <w:numId w:val="35"/>
        </w:numPr>
        <w:spacing w:after="0" w:line="240" w:lineRule="auto"/>
        <w:jc w:val="both"/>
        <w:rPr>
          <w:rFonts w:ascii="Arial" w:hAnsi="Arial" w:cs="Arial"/>
          <w:sz w:val="24"/>
          <w:szCs w:val="24"/>
        </w:rPr>
      </w:pPr>
      <w:hyperlink w:anchor="#" w:history="1"/>
      <w:r w:rsidR="008A7F47" w:rsidRPr="008A7F47">
        <w:rPr>
          <w:rStyle w:val="tli1"/>
          <w:rFonts w:ascii="Arial" w:hAnsi="Arial" w:cs="Arial"/>
          <w:sz w:val="24"/>
          <w:szCs w:val="24"/>
        </w:rPr>
        <w:t xml:space="preserve">protecţia şi conservarea spaţiilor verzi pentru menţinerea biodiversităţii lor; </w:t>
      </w:r>
      <w:hyperlink w:anchor="#" w:history="1"/>
      <w:r w:rsidR="008A7F47" w:rsidRPr="008A7F47">
        <w:rPr>
          <w:rStyle w:val="tli1"/>
          <w:rFonts w:ascii="Arial" w:hAnsi="Arial" w:cs="Arial"/>
          <w:sz w:val="24"/>
          <w:szCs w:val="24"/>
        </w:rPr>
        <w:t>menţinerea şi dezvoltarea funcţiilor de protecţie a spaţiilor verzi privind apele, solul, schimbările climatice, menţinerea peisajelor în scopul ocrotirii sănătăţii populaţiei, protecţiei mediului şi asigurării calităţii vieţii;</w:t>
      </w:r>
    </w:p>
    <w:p w:rsidR="008A7F47" w:rsidRPr="008A7F47" w:rsidRDefault="003D04DD" w:rsidP="00252ED3">
      <w:pPr>
        <w:numPr>
          <w:ilvl w:val="0"/>
          <w:numId w:val="35"/>
        </w:numPr>
        <w:spacing w:after="0" w:line="240" w:lineRule="auto"/>
        <w:jc w:val="both"/>
        <w:rPr>
          <w:rFonts w:ascii="Arial" w:hAnsi="Arial" w:cs="Arial"/>
          <w:sz w:val="24"/>
          <w:szCs w:val="24"/>
        </w:rPr>
      </w:pPr>
      <w:hyperlink w:anchor="#" w:history="1"/>
      <w:r w:rsidR="008A7F47" w:rsidRPr="008A7F47">
        <w:rPr>
          <w:rStyle w:val="tli1"/>
          <w:rFonts w:ascii="Arial" w:hAnsi="Arial" w:cs="Arial"/>
          <w:sz w:val="24"/>
          <w:szCs w:val="24"/>
        </w:rPr>
        <w:t>regenerarea, extinderea, ameliorarea compoziţiei şi a calităţii spaţiilor verzi;</w:t>
      </w:r>
    </w:p>
    <w:p w:rsidR="008A7F47" w:rsidRPr="008A7F47" w:rsidRDefault="003D04DD" w:rsidP="00252ED3">
      <w:pPr>
        <w:numPr>
          <w:ilvl w:val="0"/>
          <w:numId w:val="35"/>
        </w:numPr>
        <w:spacing w:after="0" w:line="240" w:lineRule="auto"/>
        <w:jc w:val="both"/>
        <w:rPr>
          <w:rFonts w:ascii="Arial" w:hAnsi="Arial" w:cs="Arial"/>
          <w:sz w:val="24"/>
          <w:szCs w:val="24"/>
        </w:rPr>
      </w:pPr>
      <w:hyperlink w:anchor="#" w:history="1"/>
      <w:r w:rsidR="008A7F47" w:rsidRPr="008A7F47">
        <w:rPr>
          <w:rStyle w:val="tli1"/>
          <w:rFonts w:ascii="Arial" w:hAnsi="Arial" w:cs="Arial"/>
          <w:sz w:val="24"/>
          <w:szCs w:val="24"/>
        </w:rPr>
        <w:t>elaborarea şi aplicarea unui complex de măsuri privind aducerea şi menţinerea spaţiilor verzi în starea corespunzătoare funcţiilor lor;</w:t>
      </w:r>
    </w:p>
    <w:p w:rsidR="008A7F47" w:rsidRPr="008A7F47" w:rsidRDefault="003D04DD" w:rsidP="00252ED3">
      <w:pPr>
        <w:numPr>
          <w:ilvl w:val="0"/>
          <w:numId w:val="35"/>
        </w:numPr>
        <w:spacing w:after="0" w:line="240" w:lineRule="auto"/>
        <w:jc w:val="both"/>
        <w:rPr>
          <w:rFonts w:ascii="Arial" w:hAnsi="Arial" w:cs="Arial"/>
          <w:sz w:val="24"/>
          <w:szCs w:val="24"/>
        </w:rPr>
      </w:pPr>
      <w:hyperlink w:anchor="#" w:history="1"/>
      <w:r w:rsidR="008A7F47" w:rsidRPr="008A7F47">
        <w:rPr>
          <w:rStyle w:val="tli1"/>
          <w:rFonts w:ascii="Arial" w:hAnsi="Arial" w:cs="Arial"/>
          <w:sz w:val="24"/>
          <w:szCs w:val="24"/>
        </w:rPr>
        <w:t>identificarea zonelor deficitare şi realizarea de lucrări pentru extinderea suprafeţelor acoperite cu vegetaţie;</w:t>
      </w:r>
    </w:p>
    <w:p w:rsidR="008A7F47" w:rsidRPr="008A7F47" w:rsidRDefault="003D04DD" w:rsidP="00252ED3">
      <w:pPr>
        <w:pStyle w:val="Default"/>
        <w:widowControl w:val="0"/>
        <w:numPr>
          <w:ilvl w:val="0"/>
          <w:numId w:val="36"/>
        </w:numPr>
        <w:jc w:val="both"/>
        <w:rPr>
          <w:rFonts w:ascii="Arial" w:hAnsi="Arial" w:cs="Arial"/>
          <w:color w:val="auto"/>
        </w:rPr>
      </w:pPr>
      <w:hyperlink w:anchor="#" w:history="1"/>
      <w:r w:rsidR="008A7F47" w:rsidRPr="008A7F47">
        <w:rPr>
          <w:rStyle w:val="tli1"/>
          <w:rFonts w:ascii="Arial" w:hAnsi="Arial" w:cs="Arial"/>
          <w:color w:val="auto"/>
        </w:rPr>
        <w:t>extinderea suprafeţelor ocupate de spaţii verzi, prin includerea în categoria spaţiilor verzi publice a terenurilor cu potenţial ecologic</w:t>
      </w:r>
    </w:p>
    <w:p w:rsidR="008A7F47" w:rsidRPr="008A7F47" w:rsidRDefault="008A7F47" w:rsidP="008A7F47">
      <w:pPr>
        <w:pStyle w:val="Heading4"/>
        <w:tabs>
          <w:tab w:val="num" w:pos="709"/>
          <w:tab w:val="left" w:pos="851"/>
        </w:tabs>
        <w:spacing w:before="0" w:after="0"/>
        <w:ind w:left="709" w:hanging="709"/>
        <w:jc w:val="both"/>
        <w:rPr>
          <w:rFonts w:ascii="Arial" w:hAnsi="Arial" w:cs="Arial"/>
          <w:bCs w:val="0"/>
          <w:iCs/>
          <w:sz w:val="24"/>
          <w:szCs w:val="24"/>
        </w:rPr>
      </w:pPr>
      <w:r w:rsidRPr="008A7F47">
        <w:rPr>
          <w:rFonts w:ascii="Arial" w:hAnsi="Arial" w:cs="Arial"/>
          <w:bCs w:val="0"/>
          <w:iCs/>
          <w:sz w:val="24"/>
          <w:szCs w:val="24"/>
        </w:rPr>
        <w:lastRenderedPageBreak/>
        <w:t xml:space="preserve">    </w:t>
      </w:r>
    </w:p>
    <w:p w:rsidR="008A7F47" w:rsidRPr="008A7F47" w:rsidRDefault="008A7F47" w:rsidP="008A7F47">
      <w:pPr>
        <w:pStyle w:val="Heading4"/>
        <w:tabs>
          <w:tab w:val="num" w:pos="709"/>
          <w:tab w:val="left" w:pos="851"/>
        </w:tabs>
        <w:spacing w:before="0" w:after="0"/>
        <w:jc w:val="both"/>
        <w:rPr>
          <w:rFonts w:ascii="Arial" w:hAnsi="Arial" w:cs="Arial"/>
          <w:bCs w:val="0"/>
          <w:iCs/>
          <w:sz w:val="24"/>
          <w:szCs w:val="24"/>
        </w:rPr>
      </w:pPr>
      <w:r w:rsidRPr="008A7F47">
        <w:rPr>
          <w:rFonts w:ascii="Arial" w:hAnsi="Arial" w:cs="Arial"/>
          <w:bCs w:val="0"/>
          <w:iCs/>
          <w:sz w:val="24"/>
          <w:szCs w:val="24"/>
        </w:rPr>
        <w:t>VIII.1.4.1.Suprafaţa ocupată de spaţiile verzi în aglomerările urbane</w:t>
      </w:r>
    </w:p>
    <w:p w:rsidR="008A7F47" w:rsidRPr="008A7F47" w:rsidRDefault="008A7F47" w:rsidP="008A7F47">
      <w:pPr>
        <w:spacing w:after="0" w:line="240" w:lineRule="auto"/>
        <w:jc w:val="both"/>
        <w:rPr>
          <w:rFonts w:ascii="Arial" w:hAnsi="Arial" w:cs="Arial"/>
          <w:sz w:val="24"/>
          <w:szCs w:val="24"/>
          <w:lang w:val="it-IT"/>
        </w:rPr>
      </w:pPr>
      <w:r w:rsidRPr="008A7F47">
        <w:rPr>
          <w:rFonts w:ascii="Arial" w:hAnsi="Arial" w:cs="Arial"/>
          <w:bCs/>
          <w:iCs/>
          <w:sz w:val="24"/>
          <w:szCs w:val="24"/>
        </w:rPr>
        <w:t xml:space="preserve">Suprafaţa totală ocupată de spaţiile verzi în aglomerările urbane </w:t>
      </w:r>
      <w:r w:rsidRPr="008A7F47">
        <w:rPr>
          <w:rFonts w:ascii="Arial" w:hAnsi="Arial" w:cs="Arial"/>
          <w:sz w:val="24"/>
          <w:szCs w:val="24"/>
        </w:rPr>
        <w:t xml:space="preserve">, ale județului </w:t>
      </w:r>
      <w:r w:rsidR="00217620">
        <w:rPr>
          <w:rFonts w:ascii="Arial" w:hAnsi="Arial" w:cs="Arial"/>
          <w:sz w:val="24"/>
          <w:szCs w:val="24"/>
        </w:rPr>
        <w:t>Brăila</w:t>
      </w:r>
      <w:r w:rsidRPr="008A7F47">
        <w:rPr>
          <w:rFonts w:ascii="Arial" w:hAnsi="Arial" w:cs="Arial"/>
          <w:sz w:val="24"/>
          <w:szCs w:val="24"/>
        </w:rPr>
        <w:t xml:space="preserve"> este de 533,44 ha, reprezentând spațiile verzi </w:t>
      </w:r>
      <w:r w:rsidRPr="008A7F47">
        <w:rPr>
          <w:rFonts w:ascii="Arial" w:hAnsi="Arial" w:cs="Arial"/>
          <w:sz w:val="24"/>
          <w:szCs w:val="24"/>
          <w:lang w:val="it-IT"/>
        </w:rPr>
        <w:t xml:space="preserve">aferente orașului reședință de județ </w:t>
      </w:r>
      <w:r w:rsidR="00217620">
        <w:rPr>
          <w:rFonts w:ascii="Arial" w:hAnsi="Arial" w:cs="Arial"/>
          <w:sz w:val="24"/>
          <w:szCs w:val="24"/>
          <w:lang w:val="it-IT"/>
        </w:rPr>
        <w:t>Brăila</w:t>
      </w:r>
      <w:r w:rsidRPr="008A7F47">
        <w:rPr>
          <w:rFonts w:ascii="Arial" w:hAnsi="Arial" w:cs="Arial"/>
          <w:sz w:val="24"/>
          <w:szCs w:val="24"/>
          <w:lang w:val="it-IT"/>
        </w:rPr>
        <w:t>, respectiv cele ale orașelor Ianca, Însurăței și Făurei.</w:t>
      </w:r>
    </w:p>
    <w:p w:rsidR="008A7F47" w:rsidRPr="008A7F47" w:rsidRDefault="008A7F47" w:rsidP="008A7F47">
      <w:pPr>
        <w:spacing w:after="0" w:line="240" w:lineRule="auto"/>
        <w:jc w:val="both"/>
        <w:rPr>
          <w:rFonts w:ascii="Arial" w:hAnsi="Arial" w:cs="Arial"/>
          <w:b/>
          <w:sz w:val="24"/>
          <w:szCs w:val="24"/>
        </w:rPr>
      </w:pPr>
      <w:r w:rsidRPr="008A7F47">
        <w:rPr>
          <w:rFonts w:ascii="Arial" w:hAnsi="Arial" w:cs="Arial"/>
          <w:sz w:val="24"/>
          <w:szCs w:val="24"/>
        </w:rPr>
        <w:t>Evoluţia suprafeţei spaţiilor verzi din totalul intravilan, pentru o perioadă de cinci ani (2012-2016) respectiv evoluţia suprafeţei spaţiilor verzi pe cap de locuitor din mediul urban, tendinţă în ultimii cinci ani (2012-2016), sunt sintetizate pentru fiecare oraș în parte, în  următoarelel tabele respectiv grafice:</w:t>
      </w:r>
    </w:p>
    <w:p w:rsidR="008A7F47" w:rsidRPr="008A7F47" w:rsidRDefault="008A7F47" w:rsidP="008A7F47">
      <w:pPr>
        <w:spacing w:after="0" w:line="240" w:lineRule="auto"/>
        <w:jc w:val="both"/>
        <w:rPr>
          <w:rFonts w:ascii="Arial" w:hAnsi="Arial" w:cs="Arial"/>
          <w:b/>
          <w:sz w:val="24"/>
          <w:szCs w:val="24"/>
          <w:lang w:val="en-US"/>
        </w:rPr>
      </w:pPr>
    </w:p>
    <w:p w:rsidR="008A7F47" w:rsidRPr="008A7F47" w:rsidRDefault="008A7F47" w:rsidP="008A7F47">
      <w:pPr>
        <w:spacing w:after="0" w:line="240" w:lineRule="auto"/>
        <w:jc w:val="both"/>
        <w:rPr>
          <w:rFonts w:ascii="Arial" w:hAnsi="Arial" w:cs="Arial"/>
          <w:sz w:val="24"/>
          <w:szCs w:val="24"/>
          <w:lang w:val="it-IT"/>
        </w:rPr>
      </w:pPr>
      <w:r w:rsidRPr="004E720D">
        <w:rPr>
          <w:rFonts w:ascii="Arial" w:hAnsi="Arial" w:cs="Arial"/>
          <w:sz w:val="24"/>
          <w:szCs w:val="24"/>
          <w:lang w:val="en-US"/>
        </w:rPr>
        <w:t xml:space="preserve">Tabel nr. VIII.1.4.1. - 1 </w:t>
      </w:r>
      <w:r w:rsidRPr="004E720D">
        <w:rPr>
          <w:rFonts w:ascii="Arial" w:hAnsi="Arial" w:cs="Arial"/>
          <w:sz w:val="24"/>
          <w:szCs w:val="24"/>
        </w:rPr>
        <w:t>Situația</w:t>
      </w:r>
      <w:r w:rsidRPr="008A7F47">
        <w:rPr>
          <w:rFonts w:ascii="Arial" w:hAnsi="Arial" w:cs="Arial"/>
          <w:sz w:val="24"/>
          <w:szCs w:val="24"/>
        </w:rPr>
        <w:t xml:space="preserve"> spațiilor verzi</w:t>
      </w:r>
      <w:r w:rsidRPr="008A7F47">
        <w:rPr>
          <w:rFonts w:ascii="Arial" w:hAnsi="Arial" w:cs="Arial"/>
          <w:sz w:val="24"/>
          <w:szCs w:val="24"/>
          <w:lang w:val="it-IT"/>
        </w:rPr>
        <w:t xml:space="preserve"> aferente orașului reședință de județ </w:t>
      </w:r>
      <w:r w:rsidR="00217620">
        <w:rPr>
          <w:rFonts w:ascii="Arial" w:hAnsi="Arial" w:cs="Arial"/>
          <w:sz w:val="24"/>
          <w:szCs w:val="24"/>
          <w:lang w:val="it-IT"/>
        </w:rPr>
        <w:t>BRĂILA</w:t>
      </w:r>
    </w:p>
    <w:p w:rsidR="008A7F47" w:rsidRPr="008A7F47" w:rsidRDefault="008A7F47" w:rsidP="008A7F47">
      <w:pPr>
        <w:spacing w:after="0" w:line="240" w:lineRule="auto"/>
        <w:jc w:val="both"/>
        <w:rPr>
          <w:rFonts w:ascii="Arial" w:hAnsi="Arial" w:cs="Arial"/>
          <w:sz w:val="24"/>
          <w:szCs w:val="24"/>
          <w:lang w:val="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7"/>
        <w:gridCol w:w="1273"/>
        <w:gridCol w:w="1134"/>
        <w:gridCol w:w="1274"/>
        <w:gridCol w:w="1134"/>
        <w:gridCol w:w="1126"/>
      </w:tblGrid>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8A7F47" w:rsidRPr="008A7F47" w:rsidRDefault="008A7F47" w:rsidP="0033527B">
            <w:pPr>
              <w:tabs>
                <w:tab w:val="center" w:pos="4680"/>
                <w:tab w:val="right" w:pos="9360"/>
              </w:tabs>
              <w:spacing w:after="0" w:line="240" w:lineRule="auto"/>
              <w:rPr>
                <w:rFonts w:ascii="Arial" w:hAnsi="Arial" w:cs="Arial"/>
                <w:b/>
                <w:sz w:val="24"/>
                <w:szCs w:val="24"/>
                <w:lang w:val="en-US"/>
              </w:rPr>
            </w:pPr>
            <w:r w:rsidRPr="008A7F47">
              <w:rPr>
                <w:rFonts w:ascii="Arial" w:hAnsi="Arial" w:cs="Arial"/>
                <w:b/>
                <w:sz w:val="24"/>
                <w:szCs w:val="24"/>
              </w:rPr>
              <w:t xml:space="preserve"> Mun. </w:t>
            </w:r>
            <w:r w:rsidR="00217620">
              <w:rPr>
                <w:rFonts w:ascii="Arial" w:hAnsi="Arial" w:cs="Arial"/>
                <w:b/>
                <w:sz w:val="24"/>
                <w:szCs w:val="24"/>
              </w:rPr>
              <w:t>Brăila</w:t>
            </w:r>
          </w:p>
        </w:tc>
        <w:tc>
          <w:tcPr>
            <w:tcW w:w="12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2012</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2013</w:t>
            </w:r>
          </w:p>
        </w:tc>
        <w:tc>
          <w:tcPr>
            <w:tcW w:w="127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2015</w:t>
            </w:r>
          </w:p>
        </w:tc>
        <w:tc>
          <w:tcPr>
            <w:tcW w:w="1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2016</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Suprafaţa</w:t>
            </w:r>
            <w:r w:rsidRPr="008A7F47">
              <w:rPr>
                <w:rFonts w:ascii="Arial" w:hAnsi="Arial" w:cs="Arial"/>
                <w:sz w:val="24"/>
                <w:szCs w:val="24"/>
              </w:rPr>
              <w:t xml:space="preserve"> totală</w:t>
            </w:r>
            <w:r w:rsidRPr="008A7F47">
              <w:rPr>
                <w:rFonts w:ascii="Arial" w:hAnsi="Arial" w:cs="Arial"/>
                <w:sz w:val="24"/>
                <w:szCs w:val="24"/>
                <w:lang w:val="en-US"/>
              </w:rPr>
              <w:t xml:space="preserve"> spaţii verzi</w:t>
            </w:r>
            <w:r w:rsidRPr="008A7F47">
              <w:rPr>
                <w:rFonts w:ascii="Arial" w:hAnsi="Arial" w:cs="Arial"/>
                <w:b/>
                <w:sz w:val="24"/>
                <w:szCs w:val="24"/>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471,46</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471,46</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471,46</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471,46</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471,46</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Suprafață intravilan/</w:t>
            </w:r>
            <w:r w:rsidRPr="008A7F47">
              <w:rPr>
                <w:rFonts w:ascii="Arial" w:hAnsi="Arial" w:cs="Arial"/>
                <w:b/>
                <w:sz w:val="24"/>
                <w:szCs w:val="24"/>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4201,41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4201,41</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4201,41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4201,41</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4201,41</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sz w:val="24"/>
                <w:szCs w:val="24"/>
              </w:rPr>
              <w:t xml:space="preserve">Procentul </w:t>
            </w:r>
            <w:r w:rsidRPr="008A7F47">
              <w:rPr>
                <w:rFonts w:ascii="Arial" w:hAnsi="Arial" w:cs="Arial"/>
                <w:b/>
                <w:sz w:val="24"/>
                <w:szCs w:val="24"/>
              </w:rPr>
              <w:t xml:space="preserve">(%) </w:t>
            </w:r>
            <w:r w:rsidRPr="008A7F47">
              <w:rPr>
                <w:rFonts w:ascii="Arial" w:hAnsi="Arial" w:cs="Arial"/>
                <w:sz w:val="24"/>
                <w:szCs w:val="24"/>
              </w:rPr>
              <w:t xml:space="preserve">din suprafaţă intravilan reprezentat de </w:t>
            </w:r>
            <w:r w:rsidRPr="008A7F47">
              <w:rPr>
                <w:rFonts w:ascii="Arial" w:hAnsi="Arial" w:cs="Arial"/>
                <w:b/>
                <w:sz w:val="24"/>
                <w:szCs w:val="24"/>
              </w:rPr>
              <w:t xml:space="preserve">suprafaţa totală de spaţii verzi  </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11,22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11,22</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11,22</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b/>
                <w:sz w:val="24"/>
                <w:szCs w:val="24"/>
              </w:rPr>
              <w:t xml:space="preserve">Indicatorul </w:t>
            </w:r>
            <w:r w:rsidRPr="008A7F47">
              <w:rPr>
                <w:rFonts w:ascii="Arial" w:hAnsi="Arial" w:cs="Arial"/>
                <w:sz w:val="24"/>
                <w:szCs w:val="24"/>
              </w:rPr>
              <w:t xml:space="preserve">– suprafaţă de spaţiu verde </w:t>
            </w:r>
            <w:r w:rsidRPr="008A7F47">
              <w:rPr>
                <w:rFonts w:ascii="Arial" w:hAnsi="Arial" w:cs="Arial"/>
                <w:b/>
                <w:sz w:val="24"/>
                <w:szCs w:val="24"/>
              </w:rPr>
              <w:t xml:space="preserve"> m.p./locuitor</w:t>
            </w:r>
            <w:r w:rsidRPr="008A7F47">
              <w:rPr>
                <w:rFonts w:ascii="Arial" w:hAnsi="Arial" w:cs="Arial"/>
                <w:sz w:val="24"/>
                <w:szCs w:val="24"/>
              </w:rPr>
              <w:t>;</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26,14</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26,14</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26,14</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26,14</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26,14</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8A7F47" w:rsidRPr="008A7F47" w:rsidRDefault="008A7F47" w:rsidP="0033527B">
            <w:pPr>
              <w:spacing w:after="0" w:line="240" w:lineRule="auto"/>
              <w:rPr>
                <w:rFonts w:ascii="Arial" w:hAnsi="Arial" w:cs="Arial"/>
                <w:sz w:val="24"/>
                <w:szCs w:val="24"/>
              </w:rPr>
            </w:pPr>
            <w:r w:rsidRPr="008A7F47">
              <w:rPr>
                <w:rFonts w:ascii="Arial" w:hAnsi="Arial" w:cs="Arial"/>
                <w:sz w:val="24"/>
                <w:szCs w:val="24"/>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180302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180302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180302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180302</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180302</w:t>
            </w:r>
          </w:p>
        </w:tc>
      </w:tr>
    </w:tbl>
    <w:p w:rsidR="00880E32" w:rsidRDefault="00880E32" w:rsidP="008A7F47">
      <w:pPr>
        <w:spacing w:after="0" w:line="240" w:lineRule="auto"/>
        <w:jc w:val="center"/>
        <w:rPr>
          <w:rFonts w:ascii="Arial" w:hAnsi="Arial" w:cs="Arial"/>
          <w:b/>
          <w:sz w:val="24"/>
          <w:szCs w:val="24"/>
        </w:rPr>
      </w:pPr>
    </w:p>
    <w:p w:rsidR="008A7F47" w:rsidRDefault="008A7F47" w:rsidP="008A7F47">
      <w:pPr>
        <w:spacing w:after="0" w:line="240" w:lineRule="auto"/>
        <w:jc w:val="center"/>
        <w:rPr>
          <w:rFonts w:ascii="Arial" w:hAnsi="Arial" w:cs="Arial"/>
          <w:b/>
          <w:sz w:val="24"/>
          <w:szCs w:val="24"/>
        </w:rPr>
      </w:pPr>
      <w:r w:rsidRPr="008A7F47">
        <w:rPr>
          <w:rFonts w:ascii="Arial" w:hAnsi="Arial" w:cs="Arial"/>
          <w:b/>
          <w:noProof/>
          <w:sz w:val="24"/>
          <w:szCs w:val="24"/>
          <w:lang w:eastAsia="ro-RO"/>
        </w:rPr>
        <w:drawing>
          <wp:inline distT="0" distB="0" distL="0" distR="0">
            <wp:extent cx="4610100" cy="2000250"/>
            <wp:effectExtent l="19050" t="0" r="19050" b="0"/>
            <wp:docPr id="2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880E32" w:rsidRPr="008A7F47" w:rsidRDefault="00880E32" w:rsidP="008A7F47">
      <w:pPr>
        <w:spacing w:after="0" w:line="240" w:lineRule="auto"/>
        <w:jc w:val="center"/>
        <w:rPr>
          <w:rFonts w:ascii="Arial" w:hAnsi="Arial" w:cs="Arial"/>
          <w:b/>
          <w:sz w:val="24"/>
          <w:szCs w:val="24"/>
        </w:rPr>
      </w:pPr>
    </w:p>
    <w:p w:rsidR="008A7F47" w:rsidRPr="004E720D" w:rsidRDefault="008A7F47" w:rsidP="008A7F47">
      <w:pPr>
        <w:spacing w:after="0" w:line="240" w:lineRule="auto"/>
        <w:jc w:val="center"/>
        <w:rPr>
          <w:rFonts w:ascii="Arial" w:hAnsi="Arial" w:cs="Arial"/>
          <w:sz w:val="24"/>
          <w:szCs w:val="24"/>
        </w:rPr>
      </w:pPr>
      <w:r w:rsidRPr="004E720D">
        <w:rPr>
          <w:rFonts w:ascii="Arial" w:hAnsi="Arial" w:cs="Arial"/>
          <w:sz w:val="24"/>
          <w:szCs w:val="24"/>
          <w:lang w:val="en-US"/>
        </w:rPr>
        <w:t xml:space="preserve">Figura nr. VIII.1.4.1.-1 </w:t>
      </w:r>
      <w:r w:rsidRPr="004E720D">
        <w:rPr>
          <w:rFonts w:ascii="Arial" w:hAnsi="Arial" w:cs="Arial"/>
          <w:sz w:val="24"/>
          <w:szCs w:val="24"/>
        </w:rPr>
        <w:t xml:space="preserve">Suprafaţa spaţii verzi din total intravilan (2012-2016) – mun. </w:t>
      </w:r>
      <w:r w:rsidR="00217620" w:rsidRPr="004E720D">
        <w:rPr>
          <w:rFonts w:ascii="Arial" w:hAnsi="Arial" w:cs="Arial"/>
          <w:sz w:val="24"/>
          <w:szCs w:val="24"/>
        </w:rPr>
        <w:t>Brăila</w:t>
      </w:r>
    </w:p>
    <w:p w:rsidR="008A7F47" w:rsidRPr="008A7F47" w:rsidRDefault="008A7F47" w:rsidP="008A7F47">
      <w:pPr>
        <w:spacing w:after="0" w:line="240" w:lineRule="auto"/>
        <w:jc w:val="center"/>
        <w:rPr>
          <w:rFonts w:ascii="Arial" w:hAnsi="Arial" w:cs="Arial"/>
          <w:b/>
          <w:sz w:val="24"/>
          <w:szCs w:val="24"/>
        </w:rPr>
      </w:pPr>
    </w:p>
    <w:p w:rsidR="008A7F47" w:rsidRPr="008A7F47" w:rsidRDefault="008A7F47" w:rsidP="008A7F47">
      <w:pPr>
        <w:spacing w:after="0" w:line="240" w:lineRule="auto"/>
        <w:jc w:val="center"/>
        <w:rPr>
          <w:rFonts w:ascii="Arial" w:hAnsi="Arial" w:cs="Arial"/>
          <w:b/>
          <w:sz w:val="24"/>
          <w:szCs w:val="24"/>
        </w:rPr>
      </w:pPr>
      <w:r w:rsidRPr="008A7F47">
        <w:rPr>
          <w:rFonts w:ascii="Arial" w:hAnsi="Arial" w:cs="Arial"/>
          <w:b/>
          <w:noProof/>
          <w:sz w:val="24"/>
          <w:szCs w:val="24"/>
          <w:lang w:eastAsia="ro-RO"/>
        </w:rPr>
        <w:drawing>
          <wp:inline distT="0" distB="0" distL="0" distR="0">
            <wp:extent cx="4467225" cy="1962150"/>
            <wp:effectExtent l="19050" t="0" r="9525" b="0"/>
            <wp:docPr id="22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8A7F47" w:rsidRPr="008A7F47" w:rsidRDefault="008A7F47" w:rsidP="008A7F47">
      <w:pPr>
        <w:spacing w:after="0" w:line="240" w:lineRule="auto"/>
        <w:jc w:val="center"/>
        <w:rPr>
          <w:rFonts w:ascii="Arial" w:hAnsi="Arial" w:cs="Arial"/>
          <w:b/>
          <w:sz w:val="24"/>
          <w:szCs w:val="24"/>
        </w:rPr>
      </w:pPr>
    </w:p>
    <w:p w:rsidR="008A7F47" w:rsidRPr="004E720D" w:rsidRDefault="008A7F47" w:rsidP="008A7F47">
      <w:pPr>
        <w:spacing w:after="0" w:line="240" w:lineRule="auto"/>
        <w:jc w:val="center"/>
        <w:rPr>
          <w:rFonts w:ascii="Arial" w:hAnsi="Arial" w:cs="Arial"/>
          <w:sz w:val="24"/>
          <w:szCs w:val="24"/>
        </w:rPr>
      </w:pPr>
      <w:r w:rsidRPr="004E720D">
        <w:rPr>
          <w:rFonts w:ascii="Arial" w:hAnsi="Arial" w:cs="Arial"/>
          <w:sz w:val="24"/>
          <w:szCs w:val="24"/>
          <w:lang w:val="en-US"/>
        </w:rPr>
        <w:t xml:space="preserve">Figura nr. VIII.1.4.1. - 2 </w:t>
      </w:r>
      <w:r w:rsidRPr="004E720D">
        <w:rPr>
          <w:rFonts w:ascii="Arial" w:hAnsi="Arial" w:cs="Arial"/>
          <w:sz w:val="24"/>
          <w:szCs w:val="24"/>
        </w:rPr>
        <w:t xml:space="preserve">Suprafața spațiu verde m.p./ cap de locuitor din mediul urban, tendința (2012-2016) – mun. </w:t>
      </w:r>
      <w:r w:rsidR="00217620" w:rsidRPr="004E720D">
        <w:rPr>
          <w:rFonts w:ascii="Arial" w:hAnsi="Arial" w:cs="Arial"/>
          <w:sz w:val="24"/>
          <w:szCs w:val="24"/>
        </w:rPr>
        <w:t>Brăila</w:t>
      </w:r>
    </w:p>
    <w:p w:rsidR="008A7F47" w:rsidRPr="004E720D" w:rsidRDefault="008A7F47" w:rsidP="008A7F47">
      <w:pPr>
        <w:spacing w:after="0" w:line="240" w:lineRule="auto"/>
        <w:jc w:val="center"/>
        <w:rPr>
          <w:rFonts w:ascii="Arial" w:hAnsi="Arial" w:cs="Arial"/>
          <w:sz w:val="24"/>
          <w:szCs w:val="24"/>
        </w:rPr>
      </w:pPr>
    </w:p>
    <w:p w:rsidR="008A7F47" w:rsidRPr="008A7F47" w:rsidRDefault="008A7F47" w:rsidP="008A7F47">
      <w:pPr>
        <w:spacing w:after="0" w:line="240" w:lineRule="auto"/>
        <w:jc w:val="both"/>
        <w:rPr>
          <w:rFonts w:ascii="Arial" w:hAnsi="Arial" w:cs="Arial"/>
          <w:sz w:val="24"/>
          <w:szCs w:val="24"/>
          <w:lang w:val="it-IT"/>
        </w:rPr>
      </w:pPr>
      <w:r w:rsidRPr="004E720D">
        <w:rPr>
          <w:rFonts w:ascii="Arial" w:hAnsi="Arial" w:cs="Arial"/>
          <w:sz w:val="24"/>
          <w:szCs w:val="24"/>
          <w:lang w:val="en-US"/>
        </w:rPr>
        <w:t xml:space="preserve">  Tabel nr. VIII.1.4.1. - 2 </w:t>
      </w:r>
      <w:r w:rsidRPr="004E720D">
        <w:rPr>
          <w:rFonts w:ascii="Arial" w:hAnsi="Arial" w:cs="Arial"/>
          <w:sz w:val="24"/>
          <w:szCs w:val="24"/>
        </w:rPr>
        <w:t>Situația</w:t>
      </w:r>
      <w:r w:rsidRPr="008A7F47">
        <w:rPr>
          <w:rFonts w:ascii="Arial" w:hAnsi="Arial" w:cs="Arial"/>
          <w:sz w:val="24"/>
          <w:szCs w:val="24"/>
        </w:rPr>
        <w:t xml:space="preserve"> spațiilor verzi</w:t>
      </w:r>
      <w:r w:rsidRPr="008A7F47">
        <w:rPr>
          <w:rFonts w:ascii="Arial" w:hAnsi="Arial" w:cs="Arial"/>
          <w:sz w:val="24"/>
          <w:szCs w:val="24"/>
          <w:lang w:val="it-IT"/>
        </w:rPr>
        <w:t xml:space="preserve"> aferente orașului Ianca</w:t>
      </w:r>
    </w:p>
    <w:p w:rsidR="008A7F47" w:rsidRPr="008A7F47" w:rsidRDefault="008A7F47" w:rsidP="008A7F47">
      <w:pPr>
        <w:spacing w:after="0" w:line="240" w:lineRule="auto"/>
        <w:jc w:val="both"/>
        <w:rPr>
          <w:rFonts w:ascii="Arial" w:hAnsi="Arial" w:cs="Arial"/>
          <w:sz w:val="24"/>
          <w:szCs w:val="24"/>
          <w:lang w:val="it-IT"/>
        </w:rPr>
      </w:pPr>
    </w:p>
    <w:tbl>
      <w:tblPr>
        <w:tblW w:w="0" w:type="auto"/>
        <w:jc w:val="center"/>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2"/>
        <w:gridCol w:w="1084"/>
        <w:gridCol w:w="1084"/>
        <w:gridCol w:w="1224"/>
        <w:gridCol w:w="1285"/>
        <w:gridCol w:w="1084"/>
      </w:tblGrid>
      <w:tr w:rsidR="008A7F47" w:rsidRPr="008A7F47" w:rsidTr="0033527B">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2012</w:t>
            </w: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2013</w:t>
            </w:r>
          </w:p>
        </w:tc>
        <w:tc>
          <w:tcPr>
            <w:tcW w:w="12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2014</w:t>
            </w:r>
          </w:p>
        </w:tc>
        <w:tc>
          <w:tcPr>
            <w:tcW w:w="128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2015</w:t>
            </w: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2016</w:t>
            </w:r>
          </w:p>
        </w:tc>
      </w:tr>
      <w:tr w:rsidR="008A7F47" w:rsidRPr="008A7F47" w:rsidTr="0033527B">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Suprafaţa</w:t>
            </w:r>
            <w:r w:rsidRPr="008A7F47">
              <w:rPr>
                <w:rFonts w:ascii="Arial" w:hAnsi="Arial" w:cs="Arial"/>
                <w:sz w:val="24"/>
                <w:szCs w:val="24"/>
              </w:rPr>
              <w:t xml:space="preserve"> totală</w:t>
            </w:r>
            <w:r w:rsidRPr="008A7F47">
              <w:rPr>
                <w:rFonts w:ascii="Arial" w:hAnsi="Arial" w:cs="Arial"/>
                <w:sz w:val="24"/>
                <w:szCs w:val="24"/>
                <w:lang w:val="en-US"/>
              </w:rPr>
              <w:t xml:space="preserve"> spaţii verzi/ha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37,15</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37,15</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38,28</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38,28</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38,28</w:t>
            </w:r>
          </w:p>
        </w:tc>
      </w:tr>
      <w:tr w:rsidR="008A7F47" w:rsidRPr="008A7F47" w:rsidTr="0033527B">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Suprafață intravilan/ha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1092,00</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1092,00</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1092,00</w:t>
            </w:r>
          </w:p>
        </w:tc>
      </w:tr>
      <w:tr w:rsidR="008A7F47" w:rsidRPr="008A7F47" w:rsidTr="0033527B">
        <w:trPr>
          <w:trHeight w:val="894"/>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sz w:val="24"/>
                <w:szCs w:val="24"/>
              </w:rPr>
              <w:t xml:space="preserve">Procentul </w:t>
            </w:r>
            <w:r w:rsidRPr="008A7F47">
              <w:rPr>
                <w:rFonts w:ascii="Arial" w:hAnsi="Arial" w:cs="Arial"/>
                <w:i/>
                <w:sz w:val="24"/>
                <w:szCs w:val="24"/>
              </w:rPr>
              <w:t>(%)</w:t>
            </w:r>
            <w:r w:rsidRPr="008A7F47">
              <w:rPr>
                <w:rFonts w:ascii="Arial" w:hAnsi="Arial" w:cs="Arial"/>
                <w:sz w:val="24"/>
                <w:szCs w:val="24"/>
              </w:rPr>
              <w:t xml:space="preserve"> din suprafaţă intravilan reprezentat de </w:t>
            </w:r>
            <w:r w:rsidRPr="008A7F47">
              <w:rPr>
                <w:rFonts w:ascii="Arial" w:hAnsi="Arial" w:cs="Arial"/>
                <w:i/>
                <w:sz w:val="24"/>
                <w:szCs w:val="24"/>
              </w:rPr>
              <w:t>suprafaţa totală de spaţii verzi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34,03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34,03</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35,06</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35,06</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35,06</w:t>
            </w:r>
          </w:p>
        </w:tc>
      </w:tr>
      <w:tr w:rsidR="008A7F47" w:rsidRPr="008A7F47" w:rsidTr="0033527B">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i/>
                <w:sz w:val="24"/>
                <w:szCs w:val="24"/>
              </w:rPr>
              <w:t xml:space="preserve">Indicatorul </w:t>
            </w:r>
            <w:r w:rsidRPr="008A7F47">
              <w:rPr>
                <w:rFonts w:ascii="Arial" w:hAnsi="Arial" w:cs="Arial"/>
                <w:sz w:val="24"/>
                <w:szCs w:val="24"/>
              </w:rPr>
              <w:t xml:space="preserve">– suprafaţă de spaţiu verde  </w:t>
            </w:r>
            <w:r w:rsidRPr="008A7F47">
              <w:rPr>
                <w:rFonts w:ascii="Arial" w:hAnsi="Arial" w:cs="Arial"/>
                <w:i/>
                <w:sz w:val="24"/>
                <w:szCs w:val="24"/>
              </w:rPr>
              <w:t>m.p./locuitor</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35,92</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35,92</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37,01</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37,01</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37,01</w:t>
            </w:r>
          </w:p>
        </w:tc>
      </w:tr>
      <w:tr w:rsidR="008A7F47" w:rsidRPr="008A7F47" w:rsidTr="0033527B">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spacing w:after="0" w:line="240" w:lineRule="auto"/>
              <w:rPr>
                <w:rFonts w:ascii="Arial" w:hAnsi="Arial" w:cs="Arial"/>
                <w:sz w:val="24"/>
                <w:szCs w:val="24"/>
              </w:rPr>
            </w:pPr>
            <w:r w:rsidRPr="008A7F47">
              <w:rPr>
                <w:rFonts w:ascii="Arial" w:hAnsi="Arial" w:cs="Arial"/>
                <w:sz w:val="24"/>
                <w:szCs w:val="24"/>
              </w:rPr>
              <w:t>Număr locuitori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10343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10343</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10343</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10343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10343</w:t>
            </w:r>
          </w:p>
        </w:tc>
      </w:tr>
    </w:tbl>
    <w:p w:rsidR="008A7F47" w:rsidRPr="008A7F47" w:rsidRDefault="008A7F47" w:rsidP="008A7F47">
      <w:pPr>
        <w:spacing w:after="0" w:line="240" w:lineRule="auto"/>
        <w:jc w:val="center"/>
        <w:rPr>
          <w:rFonts w:ascii="Arial" w:hAnsi="Arial" w:cs="Arial"/>
          <w:b/>
          <w:sz w:val="24"/>
          <w:szCs w:val="24"/>
        </w:rPr>
      </w:pPr>
      <w:r w:rsidRPr="008A7F47">
        <w:rPr>
          <w:rFonts w:ascii="Arial" w:hAnsi="Arial" w:cs="Arial"/>
          <w:b/>
          <w:noProof/>
          <w:sz w:val="24"/>
          <w:szCs w:val="24"/>
          <w:lang w:eastAsia="ro-RO"/>
        </w:rPr>
        <w:drawing>
          <wp:inline distT="0" distB="0" distL="0" distR="0">
            <wp:extent cx="4524375" cy="2228850"/>
            <wp:effectExtent l="19050" t="0" r="9525" b="0"/>
            <wp:docPr id="22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8A7F47" w:rsidRPr="008A7F47" w:rsidRDefault="008A7F47" w:rsidP="008A7F47">
      <w:pPr>
        <w:spacing w:after="0" w:line="240" w:lineRule="auto"/>
        <w:jc w:val="center"/>
        <w:rPr>
          <w:rFonts w:ascii="Arial" w:hAnsi="Arial" w:cs="Arial"/>
          <w:b/>
          <w:sz w:val="24"/>
          <w:szCs w:val="24"/>
        </w:rPr>
      </w:pPr>
    </w:p>
    <w:p w:rsidR="008A7F47" w:rsidRPr="008A7F47" w:rsidRDefault="008A7F47" w:rsidP="008A7F47">
      <w:pPr>
        <w:spacing w:after="0" w:line="240" w:lineRule="auto"/>
        <w:jc w:val="both"/>
        <w:rPr>
          <w:rFonts w:ascii="Arial" w:hAnsi="Arial" w:cs="Arial"/>
          <w:b/>
          <w:sz w:val="24"/>
          <w:szCs w:val="24"/>
        </w:rPr>
      </w:pPr>
      <w:r w:rsidRPr="004E720D">
        <w:rPr>
          <w:rFonts w:ascii="Arial" w:hAnsi="Arial" w:cs="Arial"/>
          <w:sz w:val="24"/>
          <w:szCs w:val="24"/>
          <w:lang w:val="en-US"/>
        </w:rPr>
        <w:t xml:space="preserve">Figura nr. VIII.1.4.1. - 3 </w:t>
      </w:r>
      <w:r w:rsidRPr="004E720D">
        <w:rPr>
          <w:rFonts w:ascii="Arial" w:hAnsi="Arial" w:cs="Arial"/>
          <w:sz w:val="24"/>
          <w:szCs w:val="24"/>
        </w:rPr>
        <w:t>Suprafaţa</w:t>
      </w:r>
      <w:r w:rsidRPr="008A7F47">
        <w:rPr>
          <w:rFonts w:ascii="Arial" w:hAnsi="Arial" w:cs="Arial"/>
          <w:sz w:val="24"/>
          <w:szCs w:val="24"/>
        </w:rPr>
        <w:t xml:space="preserve"> spaţii verzi din total intravilan, 2012-2016 – </w:t>
      </w:r>
      <w:r w:rsidRPr="004E720D">
        <w:rPr>
          <w:rFonts w:ascii="Arial" w:hAnsi="Arial" w:cs="Arial"/>
          <w:sz w:val="24"/>
          <w:szCs w:val="24"/>
        </w:rPr>
        <w:t>orașul Ianca</w:t>
      </w:r>
    </w:p>
    <w:p w:rsidR="008A7F47" w:rsidRPr="008A7F47" w:rsidRDefault="008A7F47" w:rsidP="008A7F47">
      <w:pPr>
        <w:spacing w:after="0" w:line="240" w:lineRule="auto"/>
        <w:jc w:val="both"/>
        <w:rPr>
          <w:rFonts w:ascii="Arial" w:hAnsi="Arial" w:cs="Arial"/>
          <w:b/>
          <w:sz w:val="24"/>
          <w:szCs w:val="24"/>
        </w:rPr>
      </w:pPr>
    </w:p>
    <w:p w:rsidR="008A7F47" w:rsidRPr="008A7F47" w:rsidRDefault="008A7F47" w:rsidP="008A7F47">
      <w:pPr>
        <w:spacing w:after="0" w:line="240" w:lineRule="auto"/>
        <w:jc w:val="center"/>
        <w:rPr>
          <w:rFonts w:ascii="Arial" w:hAnsi="Arial" w:cs="Arial"/>
          <w:sz w:val="24"/>
          <w:szCs w:val="24"/>
        </w:rPr>
      </w:pPr>
      <w:r w:rsidRPr="008A7F47">
        <w:rPr>
          <w:rFonts w:ascii="Arial" w:hAnsi="Arial" w:cs="Arial"/>
          <w:noProof/>
          <w:sz w:val="24"/>
          <w:szCs w:val="24"/>
          <w:lang w:eastAsia="ro-RO"/>
        </w:rPr>
        <w:drawing>
          <wp:inline distT="0" distB="0" distL="0" distR="0">
            <wp:extent cx="4838700" cy="2028825"/>
            <wp:effectExtent l="19050" t="0" r="19050" b="0"/>
            <wp:docPr id="23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8A7F47" w:rsidRPr="008A7F47" w:rsidRDefault="008A7F47" w:rsidP="008A7F47">
      <w:pPr>
        <w:spacing w:after="0" w:line="240" w:lineRule="auto"/>
        <w:jc w:val="center"/>
        <w:rPr>
          <w:rFonts w:ascii="Arial" w:hAnsi="Arial" w:cs="Arial"/>
          <w:sz w:val="24"/>
          <w:szCs w:val="24"/>
        </w:rPr>
      </w:pPr>
    </w:p>
    <w:p w:rsidR="008A7F47" w:rsidRPr="004E720D" w:rsidRDefault="008A7F47" w:rsidP="008A7F47">
      <w:pPr>
        <w:spacing w:after="0" w:line="240" w:lineRule="auto"/>
        <w:jc w:val="center"/>
        <w:rPr>
          <w:rFonts w:ascii="Arial" w:hAnsi="Arial" w:cs="Arial"/>
          <w:sz w:val="24"/>
          <w:szCs w:val="24"/>
        </w:rPr>
      </w:pPr>
      <w:r w:rsidRPr="004E720D">
        <w:rPr>
          <w:rFonts w:ascii="Arial" w:hAnsi="Arial" w:cs="Arial"/>
          <w:sz w:val="24"/>
          <w:szCs w:val="24"/>
          <w:lang w:val="en-US"/>
        </w:rPr>
        <w:t xml:space="preserve">Figura nr. VIII.1.4.1. - 4 </w:t>
      </w:r>
      <w:r w:rsidRPr="004E720D">
        <w:rPr>
          <w:rFonts w:ascii="Arial" w:hAnsi="Arial" w:cs="Arial"/>
          <w:sz w:val="24"/>
          <w:szCs w:val="24"/>
        </w:rPr>
        <w:t>Suprafața spațiu verde m.p./pe cap de locuitor din mediul urban, tendința 2012- 2016 – orașul Ianca</w:t>
      </w:r>
    </w:p>
    <w:p w:rsidR="008A7F47" w:rsidRPr="004E720D" w:rsidRDefault="008A7F47" w:rsidP="008A7F47">
      <w:pPr>
        <w:spacing w:after="0" w:line="240" w:lineRule="auto"/>
        <w:jc w:val="center"/>
        <w:rPr>
          <w:rFonts w:ascii="Arial" w:hAnsi="Arial" w:cs="Arial"/>
          <w:sz w:val="24"/>
          <w:szCs w:val="24"/>
        </w:rPr>
      </w:pPr>
    </w:p>
    <w:p w:rsidR="008A7F47" w:rsidRPr="008A7F47" w:rsidRDefault="008A7F47" w:rsidP="008A7F47">
      <w:pPr>
        <w:spacing w:after="0" w:line="240" w:lineRule="auto"/>
        <w:jc w:val="both"/>
        <w:rPr>
          <w:rFonts w:ascii="Arial" w:hAnsi="Arial" w:cs="Arial"/>
          <w:b/>
          <w:sz w:val="24"/>
          <w:szCs w:val="24"/>
          <w:lang w:val="it-IT"/>
        </w:rPr>
      </w:pPr>
      <w:r w:rsidRPr="004E720D">
        <w:rPr>
          <w:rFonts w:ascii="Arial" w:hAnsi="Arial" w:cs="Arial"/>
          <w:sz w:val="24"/>
          <w:szCs w:val="24"/>
          <w:lang w:val="en-US"/>
        </w:rPr>
        <w:t xml:space="preserve">Tabel nr. VIII.1.4.1. - 3 </w:t>
      </w:r>
      <w:r w:rsidRPr="004E720D">
        <w:rPr>
          <w:rFonts w:ascii="Arial" w:hAnsi="Arial" w:cs="Arial"/>
          <w:sz w:val="24"/>
          <w:szCs w:val="24"/>
        </w:rPr>
        <w:t>Situația</w:t>
      </w:r>
      <w:r w:rsidRPr="008A7F47">
        <w:rPr>
          <w:rFonts w:ascii="Arial" w:hAnsi="Arial" w:cs="Arial"/>
          <w:sz w:val="24"/>
          <w:szCs w:val="24"/>
        </w:rPr>
        <w:t xml:space="preserve"> spațiilor verzi</w:t>
      </w:r>
      <w:r w:rsidRPr="008A7F47">
        <w:rPr>
          <w:rFonts w:ascii="Arial" w:hAnsi="Arial" w:cs="Arial"/>
          <w:sz w:val="24"/>
          <w:szCs w:val="24"/>
          <w:lang w:val="it-IT"/>
        </w:rPr>
        <w:t xml:space="preserve"> aferente </w:t>
      </w:r>
      <w:r w:rsidRPr="004E720D">
        <w:rPr>
          <w:rFonts w:ascii="Arial" w:hAnsi="Arial" w:cs="Arial"/>
          <w:sz w:val="24"/>
          <w:szCs w:val="24"/>
          <w:lang w:val="it-IT"/>
        </w:rPr>
        <w:t>orașului Însurăței</w:t>
      </w:r>
    </w:p>
    <w:p w:rsidR="008A7F47" w:rsidRPr="008A7F47" w:rsidRDefault="008A7F47" w:rsidP="008A7F47">
      <w:pPr>
        <w:spacing w:after="0" w:line="240" w:lineRule="auto"/>
        <w:jc w:val="both"/>
        <w:rPr>
          <w:rFonts w:ascii="Arial" w:hAnsi="Arial" w:cs="Arial"/>
          <w:b/>
          <w:sz w:val="24"/>
          <w:szCs w:val="24"/>
          <w:lang w:val="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3"/>
        <w:gridCol w:w="1272"/>
        <w:gridCol w:w="1133"/>
        <w:gridCol w:w="1273"/>
        <w:gridCol w:w="1133"/>
        <w:gridCol w:w="1124"/>
      </w:tblGrid>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2012</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2013</w:t>
            </w:r>
          </w:p>
        </w:tc>
        <w:tc>
          <w:tcPr>
            <w:tcW w:w="12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2014</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2015</w:t>
            </w:r>
          </w:p>
        </w:tc>
        <w:tc>
          <w:tcPr>
            <w:tcW w:w="11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2016</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Suprafaţa</w:t>
            </w:r>
            <w:r w:rsidRPr="008A7F47">
              <w:rPr>
                <w:rFonts w:ascii="Arial" w:hAnsi="Arial" w:cs="Arial"/>
                <w:sz w:val="24"/>
                <w:szCs w:val="24"/>
              </w:rPr>
              <w:t xml:space="preserve"> totală</w:t>
            </w:r>
            <w:r w:rsidRPr="008A7F47">
              <w:rPr>
                <w:rFonts w:ascii="Arial" w:hAnsi="Arial" w:cs="Arial"/>
                <w:sz w:val="24"/>
                <w:szCs w:val="24"/>
                <w:lang w:val="en-US"/>
              </w:rPr>
              <w:t xml:space="preserve"> spaţii verzi/ha</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18,07</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18,07</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18,07</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Suprafață intravilan/ha</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860,24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860,24</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860,24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860,24</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860,24</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sz w:val="24"/>
                <w:szCs w:val="24"/>
              </w:rPr>
              <w:t xml:space="preserve">Procentul </w:t>
            </w:r>
            <w:r w:rsidRPr="008A7F47">
              <w:rPr>
                <w:rFonts w:ascii="Arial" w:hAnsi="Arial" w:cs="Arial"/>
                <w:i/>
                <w:sz w:val="24"/>
                <w:szCs w:val="24"/>
              </w:rPr>
              <w:t>(%)</w:t>
            </w:r>
            <w:r w:rsidRPr="008A7F47">
              <w:rPr>
                <w:rFonts w:ascii="Arial" w:hAnsi="Arial" w:cs="Arial"/>
                <w:sz w:val="24"/>
                <w:szCs w:val="24"/>
              </w:rPr>
              <w:t xml:space="preserve"> din suprafaţă intravilan reprezentat de </w:t>
            </w:r>
            <w:r w:rsidRPr="008A7F47">
              <w:rPr>
                <w:rFonts w:ascii="Arial" w:hAnsi="Arial" w:cs="Arial"/>
                <w:i/>
                <w:sz w:val="24"/>
                <w:szCs w:val="24"/>
              </w:rPr>
              <w:t xml:space="preserve">suprafaţa totală de spaţii </w:t>
            </w:r>
            <w:r w:rsidRPr="008A7F47">
              <w:rPr>
                <w:rFonts w:ascii="Arial" w:hAnsi="Arial" w:cs="Arial"/>
                <w:i/>
                <w:sz w:val="24"/>
                <w:szCs w:val="24"/>
              </w:rPr>
              <w:lastRenderedPageBreak/>
              <w:t>verzi</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lastRenderedPageBreak/>
              <w:t>2,1</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2,1</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2,1</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2,1</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i/>
                <w:sz w:val="24"/>
                <w:szCs w:val="24"/>
              </w:rPr>
              <w:lastRenderedPageBreak/>
              <w:t xml:space="preserve">Indicatorul </w:t>
            </w:r>
            <w:r w:rsidRPr="008A7F47">
              <w:rPr>
                <w:rFonts w:ascii="Arial" w:hAnsi="Arial" w:cs="Arial"/>
                <w:sz w:val="24"/>
                <w:szCs w:val="24"/>
              </w:rPr>
              <w:t xml:space="preserve">– suprafaţă de spaţiu verde  </w:t>
            </w:r>
            <w:r w:rsidRPr="008A7F47">
              <w:rPr>
                <w:rFonts w:ascii="Arial" w:hAnsi="Arial" w:cs="Arial"/>
                <w:i/>
                <w:sz w:val="24"/>
                <w:szCs w:val="24"/>
              </w:rPr>
              <w:t>m.p./locuitor</w:t>
            </w:r>
            <w:r w:rsidRPr="008A7F47">
              <w:rPr>
                <w:rFonts w:ascii="Arial" w:hAnsi="Arial" w:cs="Arial"/>
                <w:sz w:val="24"/>
                <w:szCs w:val="24"/>
              </w:rPr>
              <w:t>;</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25,54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27,67</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27,67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27,67</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27,67</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8A7F47" w:rsidRPr="008A7F47" w:rsidRDefault="008A7F47" w:rsidP="0033527B">
            <w:pPr>
              <w:spacing w:after="0" w:line="240" w:lineRule="auto"/>
              <w:rPr>
                <w:rFonts w:ascii="Arial" w:hAnsi="Arial" w:cs="Arial"/>
                <w:sz w:val="24"/>
                <w:szCs w:val="24"/>
              </w:rPr>
            </w:pPr>
            <w:r w:rsidRPr="008A7F47">
              <w:rPr>
                <w:rFonts w:ascii="Arial" w:hAnsi="Arial" w:cs="Arial"/>
                <w:sz w:val="24"/>
                <w:szCs w:val="24"/>
              </w:rPr>
              <w:t>Număr locuitori</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6258</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6258</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6258</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6528</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6528</w:t>
            </w:r>
          </w:p>
        </w:tc>
      </w:tr>
    </w:tbl>
    <w:p w:rsidR="008A7F47" w:rsidRPr="008A7F47" w:rsidRDefault="008A7F47" w:rsidP="008A7F47">
      <w:pPr>
        <w:spacing w:after="0" w:line="240" w:lineRule="auto"/>
        <w:jc w:val="both"/>
        <w:rPr>
          <w:rFonts w:ascii="Arial" w:hAnsi="Arial" w:cs="Arial"/>
          <w:sz w:val="24"/>
          <w:szCs w:val="24"/>
        </w:rPr>
      </w:pPr>
    </w:p>
    <w:p w:rsidR="008A7F47" w:rsidRPr="008A7F47" w:rsidRDefault="008A7F47" w:rsidP="008A7F47">
      <w:pPr>
        <w:spacing w:after="0" w:line="240" w:lineRule="auto"/>
        <w:jc w:val="center"/>
        <w:rPr>
          <w:rFonts w:ascii="Arial" w:hAnsi="Arial" w:cs="Arial"/>
          <w:sz w:val="24"/>
          <w:szCs w:val="24"/>
          <w:lang w:val="en-US"/>
        </w:rPr>
      </w:pPr>
      <w:r w:rsidRPr="008A7F47">
        <w:rPr>
          <w:rFonts w:ascii="Arial" w:hAnsi="Arial" w:cs="Arial"/>
          <w:noProof/>
          <w:sz w:val="24"/>
          <w:szCs w:val="24"/>
          <w:lang w:eastAsia="ro-RO"/>
        </w:rPr>
        <w:drawing>
          <wp:inline distT="0" distB="0" distL="0" distR="0">
            <wp:extent cx="4676775" cy="1781175"/>
            <wp:effectExtent l="19050" t="0" r="9525" b="0"/>
            <wp:docPr id="231"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8A7F47" w:rsidRPr="008A7F47" w:rsidRDefault="008A7F47" w:rsidP="008A7F47">
      <w:pPr>
        <w:spacing w:after="0" w:line="240" w:lineRule="auto"/>
        <w:jc w:val="center"/>
        <w:rPr>
          <w:rFonts w:ascii="Arial" w:hAnsi="Arial" w:cs="Arial"/>
          <w:sz w:val="24"/>
          <w:szCs w:val="24"/>
          <w:lang w:val="en-US"/>
        </w:rPr>
      </w:pPr>
    </w:p>
    <w:p w:rsidR="008A7F47" w:rsidRPr="004E720D" w:rsidRDefault="008A7F47" w:rsidP="008A7F47">
      <w:pPr>
        <w:spacing w:after="0" w:line="240" w:lineRule="auto"/>
        <w:jc w:val="center"/>
        <w:rPr>
          <w:rFonts w:ascii="Arial" w:hAnsi="Arial" w:cs="Arial"/>
          <w:sz w:val="24"/>
          <w:szCs w:val="24"/>
        </w:rPr>
      </w:pPr>
      <w:r w:rsidRPr="004E720D">
        <w:rPr>
          <w:rFonts w:ascii="Arial" w:hAnsi="Arial" w:cs="Arial"/>
          <w:sz w:val="24"/>
          <w:szCs w:val="24"/>
          <w:lang w:val="en-US"/>
        </w:rPr>
        <w:t xml:space="preserve">Figura nr. VIII.1.4.1. - 5 </w:t>
      </w:r>
      <w:r w:rsidRPr="004E720D">
        <w:rPr>
          <w:rFonts w:ascii="Arial" w:hAnsi="Arial" w:cs="Arial"/>
          <w:sz w:val="24"/>
          <w:szCs w:val="24"/>
        </w:rPr>
        <w:t>Suprafaţa spaţii verzi din total intravilan, 2012-2016 – orașul Însurăței</w:t>
      </w:r>
    </w:p>
    <w:p w:rsidR="008A7F47" w:rsidRPr="008A7F47" w:rsidRDefault="008A7F47" w:rsidP="008A7F47">
      <w:pPr>
        <w:spacing w:after="0" w:line="240" w:lineRule="auto"/>
        <w:jc w:val="center"/>
        <w:rPr>
          <w:rFonts w:ascii="Arial" w:hAnsi="Arial" w:cs="Arial"/>
          <w:b/>
          <w:sz w:val="24"/>
          <w:szCs w:val="24"/>
        </w:rPr>
      </w:pPr>
    </w:p>
    <w:p w:rsidR="008A7F47" w:rsidRPr="008A7F47" w:rsidRDefault="008A7F47" w:rsidP="008A7F47">
      <w:pPr>
        <w:spacing w:after="0" w:line="240" w:lineRule="auto"/>
        <w:jc w:val="center"/>
        <w:rPr>
          <w:rFonts w:ascii="Arial" w:hAnsi="Arial" w:cs="Arial"/>
          <w:b/>
          <w:sz w:val="24"/>
          <w:szCs w:val="24"/>
          <w:lang w:val="it-IT"/>
        </w:rPr>
      </w:pPr>
      <w:r w:rsidRPr="008A7F47">
        <w:rPr>
          <w:rFonts w:ascii="Arial" w:hAnsi="Arial" w:cs="Arial"/>
          <w:b/>
          <w:noProof/>
          <w:sz w:val="24"/>
          <w:szCs w:val="24"/>
          <w:lang w:eastAsia="ro-RO"/>
        </w:rPr>
        <w:drawing>
          <wp:inline distT="0" distB="0" distL="0" distR="0">
            <wp:extent cx="4895850" cy="2047875"/>
            <wp:effectExtent l="19050" t="0" r="19050" b="0"/>
            <wp:docPr id="232"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8A7F47" w:rsidRPr="008A7F47" w:rsidRDefault="008A7F47" w:rsidP="008A7F47">
      <w:pPr>
        <w:spacing w:after="0" w:line="240" w:lineRule="auto"/>
        <w:jc w:val="center"/>
        <w:rPr>
          <w:rFonts w:ascii="Arial" w:hAnsi="Arial" w:cs="Arial"/>
          <w:b/>
          <w:sz w:val="24"/>
          <w:szCs w:val="24"/>
          <w:lang w:val="it-IT"/>
        </w:rPr>
      </w:pPr>
    </w:p>
    <w:p w:rsidR="008A7F47" w:rsidRPr="004E720D" w:rsidRDefault="008A7F47" w:rsidP="008A7F47">
      <w:pPr>
        <w:spacing w:after="0" w:line="240" w:lineRule="auto"/>
        <w:jc w:val="center"/>
        <w:rPr>
          <w:rFonts w:ascii="Arial" w:hAnsi="Arial" w:cs="Arial"/>
          <w:sz w:val="24"/>
          <w:szCs w:val="24"/>
        </w:rPr>
      </w:pPr>
      <w:r w:rsidRPr="004E720D">
        <w:rPr>
          <w:rFonts w:ascii="Arial" w:hAnsi="Arial" w:cs="Arial"/>
          <w:sz w:val="24"/>
          <w:szCs w:val="24"/>
          <w:lang w:val="en-US"/>
        </w:rPr>
        <w:t xml:space="preserve">Figura nr. VIII.1.4.1. - 6 </w:t>
      </w:r>
      <w:r w:rsidRPr="004E720D">
        <w:rPr>
          <w:rFonts w:ascii="Arial" w:hAnsi="Arial" w:cs="Arial"/>
          <w:sz w:val="24"/>
          <w:szCs w:val="24"/>
        </w:rPr>
        <w:t>Suprafața spațiu verde m.p./pe cap de locuitor din mediul urban, tendința 2012-2016 – orașul Însurăței</w:t>
      </w:r>
    </w:p>
    <w:p w:rsidR="008A7F47" w:rsidRPr="004E720D" w:rsidRDefault="008A7F47" w:rsidP="008A7F47">
      <w:pPr>
        <w:spacing w:after="0" w:line="240" w:lineRule="auto"/>
        <w:jc w:val="center"/>
        <w:rPr>
          <w:rFonts w:ascii="Arial" w:hAnsi="Arial" w:cs="Arial"/>
          <w:sz w:val="24"/>
          <w:szCs w:val="24"/>
          <w:lang w:val="it-IT"/>
        </w:rPr>
      </w:pPr>
    </w:p>
    <w:p w:rsidR="008A7F47" w:rsidRPr="004E720D" w:rsidRDefault="008A7F47" w:rsidP="008A7F47">
      <w:pPr>
        <w:spacing w:after="0" w:line="240" w:lineRule="auto"/>
        <w:jc w:val="both"/>
        <w:rPr>
          <w:rFonts w:ascii="Arial" w:hAnsi="Arial" w:cs="Arial"/>
          <w:sz w:val="24"/>
          <w:szCs w:val="24"/>
          <w:lang w:val="it-IT"/>
        </w:rPr>
      </w:pPr>
      <w:r w:rsidRPr="004E720D">
        <w:rPr>
          <w:rFonts w:ascii="Arial" w:hAnsi="Arial" w:cs="Arial"/>
          <w:sz w:val="24"/>
          <w:szCs w:val="24"/>
          <w:lang w:val="en-US"/>
        </w:rPr>
        <w:t xml:space="preserve">Tabel nr.VIII.1.4.1. – 4 </w:t>
      </w:r>
      <w:r w:rsidRPr="004E720D">
        <w:rPr>
          <w:rFonts w:ascii="Arial" w:hAnsi="Arial" w:cs="Arial"/>
          <w:sz w:val="24"/>
          <w:szCs w:val="24"/>
        </w:rPr>
        <w:t>Situația spațiilor verzi</w:t>
      </w:r>
      <w:r w:rsidRPr="004E720D">
        <w:rPr>
          <w:rFonts w:ascii="Arial" w:hAnsi="Arial" w:cs="Arial"/>
          <w:sz w:val="24"/>
          <w:szCs w:val="24"/>
          <w:lang w:val="it-IT"/>
        </w:rPr>
        <w:t xml:space="preserve"> aferente orașului Făurei </w:t>
      </w:r>
    </w:p>
    <w:p w:rsidR="008A7F47" w:rsidRPr="004E720D" w:rsidRDefault="008A7F47" w:rsidP="008A7F47">
      <w:pPr>
        <w:spacing w:after="0" w:line="240" w:lineRule="auto"/>
        <w:jc w:val="both"/>
        <w:rPr>
          <w:rFonts w:ascii="Arial" w:hAnsi="Arial" w:cs="Arial"/>
          <w:sz w:val="24"/>
          <w:szCs w:val="24"/>
          <w:lang w:val="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3"/>
        <w:gridCol w:w="1272"/>
        <w:gridCol w:w="1133"/>
        <w:gridCol w:w="1273"/>
        <w:gridCol w:w="1133"/>
        <w:gridCol w:w="1124"/>
      </w:tblGrid>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2012</w:t>
            </w:r>
          </w:p>
        </w:tc>
        <w:tc>
          <w:tcPr>
            <w:tcW w:w="113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2013</w:t>
            </w:r>
          </w:p>
        </w:tc>
        <w:tc>
          <w:tcPr>
            <w:tcW w:w="127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2014</w:t>
            </w:r>
          </w:p>
        </w:tc>
        <w:tc>
          <w:tcPr>
            <w:tcW w:w="113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2015</w:t>
            </w:r>
          </w:p>
        </w:tc>
        <w:tc>
          <w:tcPr>
            <w:tcW w:w="112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2016</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Suprafaţa</w:t>
            </w:r>
            <w:r w:rsidRPr="008A7F47">
              <w:rPr>
                <w:rFonts w:ascii="Arial" w:hAnsi="Arial" w:cs="Arial"/>
                <w:sz w:val="24"/>
                <w:szCs w:val="24"/>
              </w:rPr>
              <w:t xml:space="preserve"> totală</w:t>
            </w:r>
            <w:r w:rsidRPr="008A7F47">
              <w:rPr>
                <w:rFonts w:ascii="Arial" w:hAnsi="Arial" w:cs="Arial"/>
                <w:sz w:val="24"/>
                <w:szCs w:val="24"/>
                <w:lang w:val="en-US"/>
              </w:rPr>
              <w:t xml:space="preserve"> spaţii verzi/ha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5,63</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5,63</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5,63</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Suprafață intravilan/ha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296,47</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296,47</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296,47</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sz w:val="24"/>
                <w:szCs w:val="24"/>
              </w:rPr>
              <w:t>Procentul (%) din suprafaţă intravilan reprezentat de suprafaţa totală de spaţii verzi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1,9</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1,9</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p>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1,9</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sz w:val="24"/>
                <w:szCs w:val="24"/>
              </w:rPr>
              <w:t>Indicatorul – suprafaţă de spaţiu verde  m.p./locuitor;</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15,68</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15,68</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15,68</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15,68</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15,68</w:t>
            </w:r>
          </w:p>
        </w:tc>
      </w:tr>
      <w:tr w:rsidR="008A7F47" w:rsidRPr="008A7F47" w:rsidTr="0033527B">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spacing w:after="0" w:line="240" w:lineRule="auto"/>
              <w:rPr>
                <w:rFonts w:ascii="Arial" w:hAnsi="Arial" w:cs="Arial"/>
                <w:sz w:val="24"/>
                <w:szCs w:val="24"/>
              </w:rPr>
            </w:pPr>
            <w:r w:rsidRPr="008A7F47">
              <w:rPr>
                <w:rFonts w:ascii="Arial" w:hAnsi="Arial" w:cs="Arial"/>
                <w:sz w:val="24"/>
                <w:szCs w:val="24"/>
              </w:rPr>
              <w:t>Număr locuitori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3592</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3592</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3592</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3592</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3592</w:t>
            </w:r>
          </w:p>
        </w:tc>
      </w:tr>
    </w:tbl>
    <w:p w:rsidR="008A7F47" w:rsidRPr="008A7F47" w:rsidRDefault="008A7F47" w:rsidP="008A7F47">
      <w:pPr>
        <w:spacing w:after="0" w:line="240" w:lineRule="auto"/>
        <w:jc w:val="center"/>
        <w:rPr>
          <w:rFonts w:ascii="Arial" w:hAnsi="Arial" w:cs="Arial"/>
          <w:sz w:val="24"/>
          <w:szCs w:val="24"/>
          <w:lang w:val="en-US"/>
        </w:rPr>
      </w:pPr>
      <w:r w:rsidRPr="008A7F47">
        <w:rPr>
          <w:rFonts w:ascii="Arial" w:hAnsi="Arial" w:cs="Arial"/>
          <w:noProof/>
          <w:sz w:val="24"/>
          <w:szCs w:val="24"/>
          <w:shd w:val="clear" w:color="auto" w:fill="DAEEF3" w:themeFill="accent5" w:themeFillTint="33"/>
          <w:lang w:eastAsia="ro-RO"/>
        </w:rPr>
        <w:lastRenderedPageBreak/>
        <w:drawing>
          <wp:inline distT="0" distB="0" distL="0" distR="0">
            <wp:extent cx="4991100" cy="1714500"/>
            <wp:effectExtent l="19050" t="0" r="19050" b="0"/>
            <wp:docPr id="233"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8A7F47" w:rsidRPr="008A7F47" w:rsidRDefault="008A7F47" w:rsidP="008A7F47">
      <w:pPr>
        <w:spacing w:after="0" w:line="240" w:lineRule="auto"/>
        <w:jc w:val="center"/>
        <w:rPr>
          <w:rFonts w:ascii="Arial" w:hAnsi="Arial" w:cs="Arial"/>
          <w:sz w:val="24"/>
          <w:szCs w:val="24"/>
          <w:lang w:val="en-US"/>
        </w:rPr>
      </w:pPr>
    </w:p>
    <w:p w:rsidR="008A7F47" w:rsidRPr="004E720D" w:rsidRDefault="008A7F47" w:rsidP="008A7F47">
      <w:pPr>
        <w:spacing w:after="0" w:line="240" w:lineRule="auto"/>
        <w:rPr>
          <w:rFonts w:ascii="Arial" w:hAnsi="Arial" w:cs="Arial"/>
          <w:sz w:val="24"/>
          <w:szCs w:val="24"/>
        </w:rPr>
      </w:pPr>
      <w:r w:rsidRPr="004E720D">
        <w:rPr>
          <w:rFonts w:ascii="Arial" w:hAnsi="Arial" w:cs="Arial"/>
          <w:sz w:val="24"/>
          <w:szCs w:val="24"/>
          <w:lang w:val="en-US"/>
        </w:rPr>
        <w:t xml:space="preserve">Figura nr. VIII.1.4.1.- 7 </w:t>
      </w:r>
      <w:r w:rsidRPr="004E720D">
        <w:rPr>
          <w:rFonts w:ascii="Arial" w:hAnsi="Arial" w:cs="Arial"/>
          <w:sz w:val="24"/>
          <w:szCs w:val="24"/>
        </w:rPr>
        <w:t>Suprafaţa spaţii verzi din total intravilan ( 2012-2016) – orașul Făurei</w:t>
      </w:r>
    </w:p>
    <w:p w:rsidR="008A7F47" w:rsidRPr="004E720D" w:rsidRDefault="008A7F47" w:rsidP="008A7F47">
      <w:pPr>
        <w:spacing w:after="0" w:line="240" w:lineRule="auto"/>
        <w:rPr>
          <w:rFonts w:ascii="Arial" w:hAnsi="Arial" w:cs="Arial"/>
          <w:sz w:val="24"/>
          <w:szCs w:val="24"/>
        </w:rPr>
      </w:pPr>
    </w:p>
    <w:p w:rsidR="008A7F47" w:rsidRPr="008A7F47" w:rsidRDefault="008A7F47" w:rsidP="004E720D">
      <w:pPr>
        <w:spacing w:after="0" w:line="240" w:lineRule="auto"/>
        <w:jc w:val="center"/>
        <w:rPr>
          <w:rFonts w:ascii="Arial" w:hAnsi="Arial" w:cs="Arial"/>
          <w:sz w:val="24"/>
          <w:szCs w:val="24"/>
        </w:rPr>
      </w:pPr>
      <w:r w:rsidRPr="008A7F47">
        <w:rPr>
          <w:rFonts w:ascii="Arial" w:hAnsi="Arial" w:cs="Arial"/>
          <w:noProof/>
          <w:sz w:val="24"/>
          <w:szCs w:val="24"/>
          <w:lang w:eastAsia="ro-RO"/>
        </w:rPr>
        <w:drawing>
          <wp:inline distT="0" distB="0" distL="0" distR="0">
            <wp:extent cx="5114925" cy="1866900"/>
            <wp:effectExtent l="19050" t="0" r="9525" b="0"/>
            <wp:docPr id="234"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8A7F47" w:rsidRPr="008A7F47" w:rsidRDefault="008A7F47" w:rsidP="008A7F47">
      <w:pPr>
        <w:spacing w:after="0" w:line="240" w:lineRule="auto"/>
        <w:rPr>
          <w:rFonts w:ascii="Arial" w:hAnsi="Arial" w:cs="Arial"/>
          <w:sz w:val="24"/>
          <w:szCs w:val="24"/>
        </w:rPr>
      </w:pPr>
    </w:p>
    <w:p w:rsidR="008A7F47" w:rsidRPr="004E720D" w:rsidRDefault="008A7F47" w:rsidP="008A7F47">
      <w:pPr>
        <w:spacing w:after="0" w:line="240" w:lineRule="auto"/>
        <w:rPr>
          <w:rFonts w:ascii="Arial" w:hAnsi="Arial" w:cs="Arial"/>
          <w:sz w:val="24"/>
          <w:szCs w:val="24"/>
          <w:lang w:val="it-IT"/>
        </w:rPr>
      </w:pPr>
      <w:r w:rsidRPr="004E720D">
        <w:rPr>
          <w:rFonts w:ascii="Arial" w:hAnsi="Arial" w:cs="Arial"/>
          <w:sz w:val="24"/>
          <w:szCs w:val="24"/>
          <w:lang w:val="en-US"/>
        </w:rPr>
        <w:t xml:space="preserve">Figura nr. VIII.1.4.1. - 8 </w:t>
      </w:r>
      <w:r w:rsidRPr="004E720D">
        <w:rPr>
          <w:rFonts w:ascii="Arial" w:hAnsi="Arial" w:cs="Arial"/>
          <w:sz w:val="24"/>
          <w:szCs w:val="24"/>
        </w:rPr>
        <w:t>Suprafața spațiu verde m.p./pe cap de locuitor din mediul urban, tendința (2012-2016) – orașul Făurei</w:t>
      </w:r>
      <w:r w:rsidRPr="004E720D">
        <w:rPr>
          <w:rFonts w:ascii="Arial" w:hAnsi="Arial" w:cs="Arial"/>
          <w:sz w:val="24"/>
          <w:szCs w:val="24"/>
          <w:lang w:val="it-IT"/>
        </w:rPr>
        <w:t xml:space="preserve"> </w:t>
      </w:r>
    </w:p>
    <w:p w:rsidR="008A7F47" w:rsidRPr="004E720D" w:rsidRDefault="008A7F47" w:rsidP="008A7F47">
      <w:pPr>
        <w:spacing w:after="0" w:line="240" w:lineRule="auto"/>
        <w:rPr>
          <w:rFonts w:ascii="Arial" w:hAnsi="Arial" w:cs="Arial"/>
          <w:sz w:val="24"/>
          <w:szCs w:val="24"/>
          <w:lang w:val="it-IT"/>
        </w:rPr>
      </w:pPr>
    </w:p>
    <w:p w:rsidR="008A7F47" w:rsidRPr="008A7F47" w:rsidRDefault="008A7F47" w:rsidP="008A7F47">
      <w:pPr>
        <w:spacing w:after="0" w:line="240" w:lineRule="auto"/>
        <w:jc w:val="both"/>
        <w:rPr>
          <w:rFonts w:ascii="Arial" w:hAnsi="Arial" w:cs="Arial"/>
          <w:sz w:val="24"/>
          <w:szCs w:val="24"/>
        </w:rPr>
      </w:pPr>
      <w:r w:rsidRPr="004E720D">
        <w:rPr>
          <w:rFonts w:ascii="Arial" w:hAnsi="Arial" w:cs="Arial"/>
          <w:sz w:val="24"/>
          <w:szCs w:val="24"/>
          <w:lang w:val="en-US"/>
        </w:rPr>
        <w:t xml:space="preserve">Tabel nr. VIII.1.4.1. – 5  </w:t>
      </w:r>
      <w:r w:rsidRPr="004E720D">
        <w:rPr>
          <w:rFonts w:ascii="Arial" w:hAnsi="Arial" w:cs="Arial"/>
          <w:sz w:val="24"/>
          <w:szCs w:val="24"/>
        </w:rPr>
        <w:t>Evoluţia suprafeţei totale a spaţiilor verzi din aglomerările urbane, pentru o perioadă de cinci ani (2012</w:t>
      </w:r>
      <w:r w:rsidRPr="008A7F47">
        <w:rPr>
          <w:rFonts w:ascii="Arial" w:hAnsi="Arial" w:cs="Arial"/>
          <w:sz w:val="24"/>
          <w:szCs w:val="24"/>
        </w:rPr>
        <w:t xml:space="preserve">-2016) respectiv evoluţia suprafeţei spaţiilor verzi pe cap de locuitor din mediul urban, tendinţă în ultimii cinci ani (2012-2016),la nivelul județului </w:t>
      </w:r>
      <w:r w:rsidR="00217620">
        <w:rPr>
          <w:rFonts w:ascii="Arial" w:hAnsi="Arial" w:cs="Arial"/>
          <w:sz w:val="24"/>
          <w:szCs w:val="24"/>
        </w:rPr>
        <w:t>Brăila</w:t>
      </w:r>
      <w:r w:rsidRPr="008A7F47">
        <w:rPr>
          <w:rFonts w:ascii="Arial" w:hAnsi="Arial" w:cs="Arial"/>
          <w:sz w:val="24"/>
          <w:szCs w:val="24"/>
        </w:rPr>
        <w:t>:</w:t>
      </w:r>
    </w:p>
    <w:p w:rsidR="008A7F47" w:rsidRPr="008A7F47" w:rsidRDefault="008A7F47" w:rsidP="008A7F47">
      <w:pPr>
        <w:spacing w:after="0" w:line="240" w:lineRule="auto"/>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7"/>
        <w:gridCol w:w="1273"/>
        <w:gridCol w:w="1134"/>
        <w:gridCol w:w="1274"/>
        <w:gridCol w:w="1134"/>
        <w:gridCol w:w="1126"/>
      </w:tblGrid>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8A7F47" w:rsidRPr="008A7F47" w:rsidRDefault="008A7F47" w:rsidP="0033527B">
            <w:pPr>
              <w:spacing w:after="0" w:line="240" w:lineRule="auto"/>
              <w:rPr>
                <w:rFonts w:ascii="Arial" w:hAnsi="Arial" w:cs="Arial"/>
                <w:b/>
                <w:sz w:val="24"/>
                <w:szCs w:val="24"/>
                <w:lang w:val="it-IT"/>
              </w:rPr>
            </w:pPr>
            <w:r w:rsidRPr="008A7F47">
              <w:rPr>
                <w:rFonts w:ascii="Arial" w:hAnsi="Arial" w:cs="Arial"/>
                <w:b/>
                <w:sz w:val="24"/>
                <w:szCs w:val="24"/>
              </w:rPr>
              <w:t xml:space="preserve">Nivel județ </w:t>
            </w:r>
            <w:r w:rsidR="00217620">
              <w:rPr>
                <w:rFonts w:ascii="Arial" w:hAnsi="Arial" w:cs="Arial"/>
                <w:b/>
                <w:sz w:val="24"/>
                <w:szCs w:val="24"/>
              </w:rPr>
              <w:t>Brăila</w:t>
            </w:r>
          </w:p>
        </w:tc>
        <w:tc>
          <w:tcPr>
            <w:tcW w:w="127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2012</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2013</w:t>
            </w:r>
          </w:p>
        </w:tc>
        <w:tc>
          <w:tcPr>
            <w:tcW w:w="12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2015</w:t>
            </w:r>
          </w:p>
        </w:tc>
        <w:tc>
          <w:tcPr>
            <w:tcW w:w="112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8A7F47" w:rsidRPr="008A7F47" w:rsidRDefault="008A7F47" w:rsidP="0033527B">
            <w:pPr>
              <w:tabs>
                <w:tab w:val="center" w:pos="4680"/>
                <w:tab w:val="right" w:pos="9360"/>
              </w:tabs>
              <w:spacing w:after="0" w:line="240" w:lineRule="auto"/>
              <w:jc w:val="center"/>
              <w:rPr>
                <w:rFonts w:ascii="Arial" w:hAnsi="Arial" w:cs="Arial"/>
                <w:b/>
                <w:sz w:val="24"/>
                <w:szCs w:val="24"/>
                <w:lang w:val="en-US"/>
              </w:rPr>
            </w:pPr>
            <w:r w:rsidRPr="008A7F47">
              <w:rPr>
                <w:rFonts w:ascii="Arial" w:hAnsi="Arial" w:cs="Arial"/>
                <w:b/>
                <w:sz w:val="24"/>
                <w:szCs w:val="24"/>
                <w:lang w:val="en-US"/>
              </w:rPr>
              <w:t>2016</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Suprafaţa</w:t>
            </w:r>
            <w:r w:rsidRPr="008A7F47">
              <w:rPr>
                <w:rFonts w:ascii="Arial" w:hAnsi="Arial" w:cs="Arial"/>
                <w:sz w:val="24"/>
                <w:szCs w:val="24"/>
              </w:rPr>
              <w:t xml:space="preserve"> totală</w:t>
            </w:r>
            <w:r w:rsidRPr="008A7F47">
              <w:rPr>
                <w:rFonts w:ascii="Arial" w:hAnsi="Arial" w:cs="Arial"/>
                <w:sz w:val="24"/>
                <w:szCs w:val="24"/>
                <w:lang w:val="en-US"/>
              </w:rPr>
              <w:t xml:space="preserve"> spaţii verzi/ha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524,22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532,31</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532,44</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532,44</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533,44</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tabs>
                <w:tab w:val="center" w:pos="4680"/>
                <w:tab w:val="right" w:pos="9360"/>
              </w:tabs>
              <w:spacing w:after="0" w:line="240" w:lineRule="auto"/>
              <w:rPr>
                <w:rFonts w:ascii="Arial" w:hAnsi="Arial" w:cs="Arial"/>
                <w:sz w:val="24"/>
                <w:szCs w:val="24"/>
                <w:lang w:val="en-US"/>
              </w:rPr>
            </w:pPr>
            <w:r w:rsidRPr="008A7F47">
              <w:rPr>
                <w:rFonts w:ascii="Arial" w:hAnsi="Arial" w:cs="Arial"/>
                <w:sz w:val="24"/>
                <w:szCs w:val="24"/>
                <w:lang w:val="en-US"/>
              </w:rPr>
              <w:t>Suprafață intravilan/ha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6450,12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6450,12</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6450,12</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sz w:val="24"/>
                <w:szCs w:val="24"/>
              </w:rPr>
              <w:t>Procentul (%) din suprafaţă intravilan reprezentat de suprafaţa totală de spaţii verzi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8,02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8,14</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8,16</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8,16</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8,16</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spacing w:after="0" w:line="240" w:lineRule="auto"/>
              <w:rPr>
                <w:rFonts w:ascii="Arial" w:hAnsi="Arial" w:cs="Arial"/>
                <w:sz w:val="24"/>
                <w:szCs w:val="24"/>
                <w:lang w:val="en-US"/>
              </w:rPr>
            </w:pPr>
            <w:r w:rsidRPr="008A7F47">
              <w:rPr>
                <w:rFonts w:ascii="Arial" w:hAnsi="Arial" w:cs="Arial"/>
                <w:sz w:val="24"/>
                <w:szCs w:val="24"/>
              </w:rPr>
              <w:t>Indicatorul – suprafaţă de spaţiu verde  m.p./locuitor</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26,11</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26,51</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26,57</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26,57</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26,57</w:t>
            </w:r>
          </w:p>
        </w:tc>
      </w:tr>
      <w:tr w:rsidR="008A7F47" w:rsidRPr="008A7F47" w:rsidTr="0033527B">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8A7F47" w:rsidRPr="008A7F47" w:rsidRDefault="008A7F47" w:rsidP="0033527B">
            <w:pPr>
              <w:spacing w:after="0" w:line="240" w:lineRule="auto"/>
              <w:rPr>
                <w:rFonts w:ascii="Arial" w:hAnsi="Arial" w:cs="Arial"/>
                <w:sz w:val="24"/>
                <w:szCs w:val="24"/>
              </w:rPr>
            </w:pPr>
            <w:r w:rsidRPr="008A7F47">
              <w:rPr>
                <w:rFonts w:ascii="Arial" w:hAnsi="Arial" w:cs="Arial"/>
                <w:sz w:val="24"/>
                <w:szCs w:val="24"/>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200765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200765</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200765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200765</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8A7F47" w:rsidRPr="008A7F47" w:rsidRDefault="008A7F47" w:rsidP="0033527B">
            <w:pPr>
              <w:tabs>
                <w:tab w:val="center" w:pos="4680"/>
                <w:tab w:val="right" w:pos="9360"/>
              </w:tabs>
              <w:spacing w:after="0" w:line="240" w:lineRule="auto"/>
              <w:jc w:val="center"/>
              <w:rPr>
                <w:rFonts w:ascii="Arial" w:hAnsi="Arial" w:cs="Arial"/>
                <w:sz w:val="24"/>
                <w:szCs w:val="24"/>
                <w:lang w:val="en-US"/>
              </w:rPr>
            </w:pPr>
            <w:r w:rsidRPr="008A7F47">
              <w:rPr>
                <w:rFonts w:ascii="Arial" w:hAnsi="Arial" w:cs="Arial"/>
                <w:sz w:val="24"/>
                <w:szCs w:val="24"/>
                <w:lang w:val="en-US"/>
              </w:rPr>
              <w:t>200765</w:t>
            </w:r>
          </w:p>
        </w:tc>
      </w:tr>
    </w:tbl>
    <w:p w:rsidR="008A7F47" w:rsidRPr="008A7F47" w:rsidRDefault="008A7F47" w:rsidP="008A7F47">
      <w:pPr>
        <w:pStyle w:val="Heading4"/>
        <w:tabs>
          <w:tab w:val="num" w:pos="709"/>
          <w:tab w:val="left" w:pos="851"/>
        </w:tabs>
        <w:spacing w:before="0" w:after="0"/>
        <w:ind w:left="709" w:hanging="709"/>
        <w:jc w:val="both"/>
        <w:rPr>
          <w:rFonts w:ascii="Arial" w:hAnsi="Arial" w:cs="Arial"/>
          <w:sz w:val="24"/>
          <w:szCs w:val="24"/>
          <w:lang w:val="ro-RO"/>
        </w:rPr>
      </w:pPr>
    </w:p>
    <w:p w:rsidR="008A7F47" w:rsidRPr="008A7F47" w:rsidRDefault="008A7F47" w:rsidP="008A7F47">
      <w:pPr>
        <w:spacing w:after="0" w:line="240" w:lineRule="auto"/>
        <w:ind w:right="-567"/>
        <w:jc w:val="center"/>
        <w:rPr>
          <w:rFonts w:ascii="Arial" w:hAnsi="Arial" w:cs="Arial"/>
          <w:sz w:val="24"/>
          <w:szCs w:val="24"/>
        </w:rPr>
      </w:pPr>
      <w:r w:rsidRPr="008A7F47">
        <w:rPr>
          <w:rFonts w:ascii="Arial" w:hAnsi="Arial" w:cs="Arial"/>
          <w:noProof/>
          <w:sz w:val="24"/>
          <w:szCs w:val="24"/>
          <w:shd w:val="clear" w:color="auto" w:fill="F2DBDB" w:themeFill="accent2" w:themeFillTint="33"/>
          <w:lang w:eastAsia="ro-RO"/>
        </w:rPr>
        <w:drawing>
          <wp:inline distT="0" distB="0" distL="0" distR="0">
            <wp:extent cx="4495800" cy="2352675"/>
            <wp:effectExtent l="19050" t="0" r="19050" b="0"/>
            <wp:docPr id="235"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8A7F47" w:rsidRPr="008A7F47" w:rsidRDefault="008A7F47" w:rsidP="008A7F47">
      <w:pPr>
        <w:spacing w:after="0" w:line="240" w:lineRule="auto"/>
        <w:ind w:right="-567"/>
        <w:jc w:val="center"/>
        <w:rPr>
          <w:rFonts w:ascii="Arial" w:hAnsi="Arial" w:cs="Arial"/>
          <w:sz w:val="24"/>
          <w:szCs w:val="24"/>
        </w:rPr>
      </w:pPr>
    </w:p>
    <w:p w:rsidR="008A7F47" w:rsidRPr="008A7F47" w:rsidRDefault="008A7F47" w:rsidP="008A7F47">
      <w:pPr>
        <w:spacing w:after="0" w:line="240" w:lineRule="auto"/>
        <w:rPr>
          <w:rFonts w:ascii="Arial" w:hAnsi="Arial" w:cs="Arial"/>
          <w:sz w:val="24"/>
          <w:szCs w:val="24"/>
        </w:rPr>
      </w:pPr>
      <w:r w:rsidRPr="004E720D">
        <w:rPr>
          <w:rFonts w:ascii="Arial" w:hAnsi="Arial" w:cs="Arial"/>
          <w:sz w:val="24"/>
          <w:szCs w:val="24"/>
          <w:lang w:val="en-US"/>
        </w:rPr>
        <w:t xml:space="preserve">Figura nr. VIII.1.4.1. - 9 </w:t>
      </w:r>
      <w:r w:rsidRPr="004E720D">
        <w:rPr>
          <w:rFonts w:ascii="Arial" w:hAnsi="Arial" w:cs="Arial"/>
          <w:sz w:val="24"/>
          <w:szCs w:val="24"/>
        </w:rPr>
        <w:t>Suprafaţa spaţii ve</w:t>
      </w:r>
      <w:r w:rsidRPr="008A7F47">
        <w:rPr>
          <w:rFonts w:ascii="Arial" w:hAnsi="Arial" w:cs="Arial"/>
          <w:sz w:val="24"/>
          <w:szCs w:val="24"/>
        </w:rPr>
        <w:t xml:space="preserve">rzi din total intravilan ( 2012-2016) - județul </w:t>
      </w:r>
      <w:r w:rsidR="00217620">
        <w:rPr>
          <w:rFonts w:ascii="Arial" w:hAnsi="Arial" w:cs="Arial"/>
          <w:sz w:val="24"/>
          <w:szCs w:val="24"/>
        </w:rPr>
        <w:t>Brăila</w:t>
      </w:r>
    </w:p>
    <w:p w:rsidR="008A7F47" w:rsidRPr="008A7F47" w:rsidRDefault="008A7F47" w:rsidP="008A7F47">
      <w:pPr>
        <w:spacing w:after="0" w:line="240" w:lineRule="auto"/>
        <w:rPr>
          <w:rFonts w:ascii="Arial" w:hAnsi="Arial" w:cs="Arial"/>
          <w:sz w:val="24"/>
          <w:szCs w:val="24"/>
        </w:rPr>
      </w:pPr>
    </w:p>
    <w:p w:rsidR="008A7F47" w:rsidRPr="008A7F47" w:rsidRDefault="008A7F47" w:rsidP="008A7F47">
      <w:pPr>
        <w:spacing w:after="0" w:line="240" w:lineRule="auto"/>
        <w:jc w:val="center"/>
        <w:rPr>
          <w:rFonts w:ascii="Arial" w:hAnsi="Arial" w:cs="Arial"/>
          <w:sz w:val="24"/>
          <w:szCs w:val="24"/>
        </w:rPr>
      </w:pPr>
      <w:r w:rsidRPr="008A7F47">
        <w:rPr>
          <w:rFonts w:ascii="Arial" w:hAnsi="Arial" w:cs="Arial"/>
          <w:noProof/>
          <w:sz w:val="24"/>
          <w:szCs w:val="24"/>
          <w:lang w:eastAsia="ro-RO"/>
        </w:rPr>
        <w:drawing>
          <wp:inline distT="0" distB="0" distL="0" distR="0">
            <wp:extent cx="4400550" cy="2019300"/>
            <wp:effectExtent l="19050" t="0" r="19050" b="0"/>
            <wp:docPr id="236"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8A7F47" w:rsidRPr="008A7F47" w:rsidRDefault="008A7F47" w:rsidP="008A7F47">
      <w:pPr>
        <w:spacing w:after="0" w:line="240" w:lineRule="auto"/>
        <w:jc w:val="center"/>
        <w:rPr>
          <w:rFonts w:ascii="Arial" w:hAnsi="Arial" w:cs="Arial"/>
          <w:sz w:val="24"/>
          <w:szCs w:val="24"/>
        </w:rPr>
      </w:pPr>
    </w:p>
    <w:p w:rsidR="008A7F47" w:rsidRPr="008A7F47" w:rsidRDefault="008A7F47" w:rsidP="008A7F47">
      <w:pPr>
        <w:spacing w:after="0" w:line="240" w:lineRule="auto"/>
        <w:jc w:val="center"/>
        <w:rPr>
          <w:rFonts w:ascii="Arial" w:hAnsi="Arial" w:cs="Arial"/>
          <w:sz w:val="24"/>
          <w:szCs w:val="24"/>
        </w:rPr>
      </w:pPr>
      <w:r w:rsidRPr="004E720D">
        <w:rPr>
          <w:rFonts w:ascii="Arial" w:hAnsi="Arial" w:cs="Arial"/>
          <w:sz w:val="24"/>
          <w:szCs w:val="24"/>
          <w:lang w:val="en-US"/>
        </w:rPr>
        <w:t xml:space="preserve">Figura nr. VIII.1.4.1. - 10 </w:t>
      </w:r>
      <w:r w:rsidRPr="004E720D">
        <w:rPr>
          <w:rFonts w:ascii="Arial" w:hAnsi="Arial" w:cs="Arial"/>
          <w:sz w:val="24"/>
          <w:szCs w:val="24"/>
        </w:rPr>
        <w:t>Suprafața</w:t>
      </w:r>
      <w:r w:rsidRPr="008A7F47">
        <w:rPr>
          <w:rFonts w:ascii="Arial" w:hAnsi="Arial" w:cs="Arial"/>
          <w:sz w:val="24"/>
          <w:szCs w:val="24"/>
        </w:rPr>
        <w:t xml:space="preserve"> spațiu verde m.p./pe cap de locuitor din mediul urban, tendința (2012-2016) </w:t>
      </w:r>
      <w:r w:rsidRPr="008A7F47">
        <w:rPr>
          <w:rFonts w:ascii="Arial" w:hAnsi="Arial" w:cs="Arial"/>
          <w:b/>
          <w:sz w:val="24"/>
          <w:szCs w:val="24"/>
        </w:rPr>
        <w:t xml:space="preserve">– </w:t>
      </w:r>
      <w:r w:rsidRPr="008A7F47">
        <w:rPr>
          <w:rFonts w:ascii="Arial" w:hAnsi="Arial" w:cs="Arial"/>
          <w:sz w:val="24"/>
          <w:szCs w:val="24"/>
        </w:rPr>
        <w:t xml:space="preserve">județul </w:t>
      </w:r>
      <w:r w:rsidR="00217620">
        <w:rPr>
          <w:rFonts w:ascii="Arial" w:hAnsi="Arial" w:cs="Arial"/>
          <w:sz w:val="24"/>
          <w:szCs w:val="24"/>
        </w:rPr>
        <w:t>Brăila</w:t>
      </w:r>
    </w:p>
    <w:p w:rsidR="008A7F47" w:rsidRPr="008A7F47" w:rsidRDefault="008A7F47" w:rsidP="008A7F47">
      <w:pPr>
        <w:spacing w:after="0" w:line="240" w:lineRule="auto"/>
        <w:jc w:val="both"/>
        <w:rPr>
          <w:rFonts w:ascii="Arial" w:hAnsi="Arial" w:cs="Arial"/>
          <w:sz w:val="24"/>
          <w:szCs w:val="24"/>
        </w:rPr>
      </w:pP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 xml:space="preserve">Suprafaţa totală de spaţii verzi a municipiului </w:t>
      </w:r>
      <w:r w:rsidR="00217620">
        <w:rPr>
          <w:rFonts w:ascii="Arial" w:hAnsi="Arial" w:cs="Arial"/>
          <w:sz w:val="24"/>
          <w:szCs w:val="24"/>
        </w:rPr>
        <w:t>Brăila</w:t>
      </w:r>
      <w:r w:rsidRPr="008A7F47">
        <w:rPr>
          <w:rFonts w:ascii="Arial" w:hAnsi="Arial" w:cs="Arial"/>
          <w:sz w:val="24"/>
          <w:szCs w:val="24"/>
        </w:rPr>
        <w:t xml:space="preserve"> este de </w:t>
      </w:r>
      <w:r w:rsidRPr="008A7F47">
        <w:rPr>
          <w:rFonts w:ascii="Arial" w:hAnsi="Arial" w:cs="Arial"/>
          <w:bCs/>
          <w:sz w:val="24"/>
          <w:szCs w:val="24"/>
        </w:rPr>
        <w:t xml:space="preserve">4.714.634,16 mp (471,76 ha) </w:t>
      </w:r>
      <w:r w:rsidRPr="008A7F47">
        <w:rPr>
          <w:rFonts w:ascii="Arial" w:hAnsi="Arial" w:cs="Arial"/>
          <w:sz w:val="24"/>
          <w:szCs w:val="24"/>
        </w:rPr>
        <w:t xml:space="preserve">.Suprafaţa de spaţiu verde este de </w:t>
      </w:r>
      <w:r w:rsidRPr="008A7F47">
        <w:rPr>
          <w:rFonts w:ascii="Arial" w:hAnsi="Arial" w:cs="Arial"/>
          <w:b/>
          <w:bCs/>
          <w:iCs/>
          <w:sz w:val="24"/>
          <w:szCs w:val="24"/>
        </w:rPr>
        <w:t>26,14 m.p./</w:t>
      </w:r>
      <w:r w:rsidRPr="008A7F47">
        <w:rPr>
          <w:rFonts w:ascii="Arial" w:hAnsi="Arial" w:cs="Arial"/>
          <w:bCs/>
          <w:iCs/>
          <w:sz w:val="24"/>
          <w:szCs w:val="24"/>
        </w:rPr>
        <w:t>cap de locuitor</w:t>
      </w:r>
      <w:r w:rsidRPr="008A7F47">
        <w:rPr>
          <w:rFonts w:ascii="Arial" w:hAnsi="Arial" w:cs="Arial"/>
          <w:sz w:val="24"/>
          <w:szCs w:val="24"/>
        </w:rPr>
        <w:t xml:space="preserve"> reprezentând </w:t>
      </w:r>
      <w:r w:rsidRPr="008A7F47">
        <w:rPr>
          <w:rFonts w:ascii="Arial" w:hAnsi="Arial" w:cs="Arial"/>
          <w:b/>
          <w:sz w:val="24"/>
          <w:szCs w:val="24"/>
        </w:rPr>
        <w:t>11,22 %</w:t>
      </w:r>
      <w:r w:rsidRPr="008A7F47">
        <w:rPr>
          <w:rFonts w:ascii="Arial" w:hAnsi="Arial" w:cs="Arial"/>
          <w:sz w:val="24"/>
          <w:szCs w:val="24"/>
        </w:rPr>
        <w:t xml:space="preserve"> din suprafaţa terenului intravilan al municipiului.</w:t>
      </w:r>
    </w:p>
    <w:p w:rsidR="008A7F47" w:rsidRPr="008A7F47" w:rsidRDefault="008A7F47" w:rsidP="008A7F47">
      <w:pPr>
        <w:spacing w:after="0" w:line="240" w:lineRule="auto"/>
        <w:jc w:val="both"/>
        <w:rPr>
          <w:rFonts w:ascii="Arial" w:hAnsi="Arial" w:cs="Arial"/>
          <w:sz w:val="24"/>
          <w:szCs w:val="24"/>
          <w:lang w:val="it-IT"/>
        </w:rPr>
      </w:pPr>
      <w:r w:rsidRPr="008A7F47">
        <w:rPr>
          <w:rFonts w:ascii="Arial" w:hAnsi="Arial" w:cs="Arial"/>
          <w:sz w:val="24"/>
          <w:szCs w:val="24"/>
        </w:rPr>
        <w:t>Spațiile verzi</w:t>
      </w:r>
      <w:r w:rsidRPr="008A7F47">
        <w:rPr>
          <w:rFonts w:ascii="Arial" w:hAnsi="Arial" w:cs="Arial"/>
          <w:sz w:val="24"/>
          <w:szCs w:val="24"/>
          <w:lang w:val="it-IT"/>
        </w:rPr>
        <w:t xml:space="preserve"> din mediul urban ordonate pe categorii conform Legii nr.24/2007 modificată și completată:</w:t>
      </w:r>
    </w:p>
    <w:p w:rsidR="008A7F47" w:rsidRPr="008A7F47" w:rsidRDefault="008A7F47" w:rsidP="008A7F47">
      <w:pPr>
        <w:spacing w:after="0" w:line="240" w:lineRule="auto"/>
        <w:jc w:val="both"/>
        <w:rPr>
          <w:rFonts w:ascii="Arial" w:hAnsi="Arial" w:cs="Arial"/>
          <w:bCs/>
          <w:sz w:val="24"/>
          <w:szCs w:val="24"/>
        </w:rPr>
      </w:pPr>
      <w:r w:rsidRPr="008A7F47">
        <w:rPr>
          <w:rFonts w:ascii="Arial" w:hAnsi="Arial" w:cs="Arial"/>
          <w:bCs/>
          <w:sz w:val="24"/>
          <w:szCs w:val="24"/>
        </w:rPr>
        <w:t>a) Spații verzi publice cu acces nelimitat :  2.686.208,42 mp</w:t>
      </w:r>
    </w:p>
    <w:p w:rsidR="008A7F47" w:rsidRPr="008A7F47" w:rsidRDefault="008A7F47" w:rsidP="008A7F47">
      <w:pPr>
        <w:spacing w:after="0" w:line="240" w:lineRule="auto"/>
        <w:ind w:firstLine="708"/>
        <w:jc w:val="both"/>
        <w:rPr>
          <w:rFonts w:ascii="Arial" w:hAnsi="Arial" w:cs="Arial"/>
          <w:bCs/>
          <w:sz w:val="24"/>
          <w:szCs w:val="24"/>
        </w:rPr>
      </w:pPr>
      <w:r w:rsidRPr="008A7F47">
        <w:rPr>
          <w:rFonts w:ascii="Arial" w:hAnsi="Arial" w:cs="Arial"/>
          <w:bCs/>
          <w:sz w:val="24"/>
          <w:szCs w:val="24"/>
        </w:rPr>
        <w:t>1. Parcuri: 775.351,5 mp</w:t>
      </w:r>
    </w:p>
    <w:p w:rsidR="008A7F47" w:rsidRPr="008A7F47" w:rsidRDefault="008A7F47" w:rsidP="008A7F47">
      <w:pPr>
        <w:spacing w:after="0" w:line="240" w:lineRule="auto"/>
        <w:ind w:firstLine="708"/>
        <w:rPr>
          <w:rFonts w:ascii="Arial" w:hAnsi="Arial" w:cs="Arial"/>
          <w:sz w:val="24"/>
          <w:szCs w:val="24"/>
        </w:rPr>
      </w:pPr>
      <w:r w:rsidRPr="008A7F47">
        <w:rPr>
          <w:rFonts w:ascii="Arial" w:hAnsi="Arial" w:cs="Arial"/>
          <w:bCs/>
          <w:sz w:val="24"/>
          <w:szCs w:val="24"/>
        </w:rPr>
        <w:t>2. Grădini (Spaţii verzi aferente locuintelor de tip condominiu)</w:t>
      </w:r>
      <w:r w:rsidRPr="008A7F47">
        <w:rPr>
          <w:rFonts w:ascii="Arial" w:hAnsi="Arial" w:cs="Arial"/>
          <w:sz w:val="24"/>
          <w:szCs w:val="24"/>
        </w:rPr>
        <w:t xml:space="preserve"> – 1.397.517,92 mp</w:t>
      </w:r>
    </w:p>
    <w:p w:rsidR="008A7F47" w:rsidRPr="008A7F47" w:rsidRDefault="008A7F47" w:rsidP="008A7F47">
      <w:pPr>
        <w:spacing w:after="0" w:line="240" w:lineRule="auto"/>
        <w:ind w:left="-426" w:firstLine="1134"/>
        <w:rPr>
          <w:rFonts w:ascii="Arial" w:hAnsi="Arial" w:cs="Arial"/>
          <w:bCs/>
          <w:sz w:val="24"/>
          <w:szCs w:val="24"/>
        </w:rPr>
      </w:pPr>
      <w:r w:rsidRPr="008A7F47">
        <w:rPr>
          <w:rFonts w:ascii="Arial" w:hAnsi="Arial" w:cs="Arial"/>
          <w:bCs/>
          <w:sz w:val="24"/>
          <w:szCs w:val="24"/>
        </w:rPr>
        <w:t>3. Scuaruri : 95.806,00 mp</w:t>
      </w:r>
    </w:p>
    <w:p w:rsidR="008A7F47" w:rsidRPr="008A7F47" w:rsidRDefault="008A7F47" w:rsidP="008A7F47">
      <w:pPr>
        <w:spacing w:after="0" w:line="240" w:lineRule="auto"/>
        <w:ind w:firstLine="708"/>
        <w:jc w:val="both"/>
        <w:rPr>
          <w:rFonts w:ascii="Arial" w:hAnsi="Arial" w:cs="Arial"/>
          <w:sz w:val="24"/>
          <w:szCs w:val="24"/>
        </w:rPr>
      </w:pPr>
      <w:r w:rsidRPr="008A7F47">
        <w:rPr>
          <w:rFonts w:ascii="Arial" w:hAnsi="Arial" w:cs="Arial"/>
          <w:bCs/>
          <w:sz w:val="24"/>
          <w:szCs w:val="24"/>
        </w:rPr>
        <w:t>4. Fâsii plantate (Aliniamente stradale)</w:t>
      </w:r>
      <w:r w:rsidRPr="008A7F47">
        <w:rPr>
          <w:rFonts w:ascii="Arial" w:hAnsi="Arial" w:cs="Arial"/>
          <w:sz w:val="24"/>
          <w:szCs w:val="24"/>
        </w:rPr>
        <w:t xml:space="preserve"> – 417.533,00 mp</w:t>
      </w: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b) Spații verzi publice de folosință specializată: 1.210.891,79 mp</w:t>
      </w:r>
    </w:p>
    <w:p w:rsidR="008A7F47" w:rsidRPr="008A7F47" w:rsidRDefault="008A7F47" w:rsidP="008A7F47">
      <w:pPr>
        <w:spacing w:after="0" w:line="240" w:lineRule="auto"/>
        <w:ind w:left="708"/>
        <w:jc w:val="both"/>
        <w:rPr>
          <w:rFonts w:ascii="Arial" w:hAnsi="Arial" w:cs="Arial"/>
          <w:sz w:val="24"/>
          <w:szCs w:val="24"/>
        </w:rPr>
      </w:pPr>
      <w:r w:rsidRPr="008A7F47">
        <w:rPr>
          <w:rFonts w:ascii="Arial" w:hAnsi="Arial" w:cs="Arial"/>
          <w:sz w:val="24"/>
          <w:szCs w:val="24"/>
        </w:rPr>
        <w:t>1. Grădini botanice si zoologice (Parc Zoologic):45.559 mp</w:t>
      </w:r>
    </w:p>
    <w:p w:rsidR="008A7F47" w:rsidRPr="008A7F47" w:rsidRDefault="008A7F47" w:rsidP="008A7F47">
      <w:pPr>
        <w:spacing w:after="0" w:line="240" w:lineRule="auto"/>
        <w:ind w:left="708"/>
        <w:jc w:val="both"/>
        <w:rPr>
          <w:rFonts w:ascii="Arial" w:hAnsi="Arial" w:cs="Arial"/>
          <w:sz w:val="24"/>
          <w:szCs w:val="24"/>
        </w:rPr>
      </w:pPr>
      <w:r w:rsidRPr="008A7F47">
        <w:rPr>
          <w:rFonts w:ascii="Arial" w:hAnsi="Arial" w:cs="Arial"/>
          <w:bCs/>
          <w:sz w:val="24"/>
          <w:szCs w:val="24"/>
        </w:rPr>
        <w:t xml:space="preserve">2. Spații verzi </w:t>
      </w:r>
      <w:r w:rsidRPr="008A7F47">
        <w:rPr>
          <w:rFonts w:ascii="Arial" w:hAnsi="Arial" w:cs="Arial"/>
          <w:sz w:val="24"/>
          <w:szCs w:val="24"/>
        </w:rPr>
        <w:t>aferente dotărilor publice(creşe, grădiniţe, şcoli, unităţi sanitare sau de protecţie socială, instituţii culturale, edificii de cult, cimitire, etc.) – 1.129.267,33 mp</w:t>
      </w:r>
    </w:p>
    <w:p w:rsidR="008A7F47" w:rsidRPr="008A7F47" w:rsidRDefault="008A7F47" w:rsidP="008A7F47">
      <w:pPr>
        <w:spacing w:after="0" w:line="240" w:lineRule="auto"/>
        <w:ind w:left="708"/>
        <w:rPr>
          <w:rFonts w:ascii="Arial" w:hAnsi="Arial" w:cs="Arial"/>
          <w:sz w:val="24"/>
          <w:szCs w:val="24"/>
        </w:rPr>
      </w:pPr>
      <w:r w:rsidRPr="008A7F47">
        <w:rPr>
          <w:rFonts w:ascii="Arial" w:hAnsi="Arial" w:cs="Arial"/>
          <w:sz w:val="24"/>
          <w:szCs w:val="24"/>
        </w:rPr>
        <w:t>3. Baze sau parcuri sportive pentru practicarea sportului de performanta: 36.065 mp</w:t>
      </w: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c) Spații verzi pentru agrement (Staţiunea Lacul Sărat)</w:t>
      </w:r>
      <w:r w:rsidRPr="008A7F47">
        <w:rPr>
          <w:rFonts w:ascii="Arial" w:hAnsi="Arial" w:cs="Arial"/>
          <w:bCs/>
          <w:sz w:val="24"/>
          <w:szCs w:val="24"/>
        </w:rPr>
        <w:t xml:space="preserve">: </w:t>
      </w:r>
      <w:r w:rsidRPr="008A7F47">
        <w:rPr>
          <w:rFonts w:ascii="Arial" w:hAnsi="Arial" w:cs="Arial"/>
          <w:sz w:val="24"/>
          <w:szCs w:val="24"/>
        </w:rPr>
        <w:t>337.533,95 mp.</w:t>
      </w: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d) Spații verzi pentru protecția lacurilor și a cursurilor de apă: 480.000 mp</w:t>
      </w:r>
    </w:p>
    <w:p w:rsidR="008A7F47" w:rsidRPr="008A7F47" w:rsidRDefault="008A7F47" w:rsidP="008A7F47">
      <w:pPr>
        <w:pStyle w:val="BodyText"/>
        <w:spacing w:after="0" w:line="240" w:lineRule="auto"/>
        <w:jc w:val="both"/>
        <w:rPr>
          <w:rFonts w:ascii="Arial" w:hAnsi="Arial" w:cs="Arial"/>
          <w:sz w:val="24"/>
          <w:szCs w:val="24"/>
        </w:rPr>
      </w:pPr>
      <w:r w:rsidRPr="008A7F47">
        <w:rPr>
          <w:rFonts w:ascii="Arial" w:hAnsi="Arial" w:cs="Arial"/>
          <w:sz w:val="24"/>
          <w:szCs w:val="24"/>
        </w:rPr>
        <w:t xml:space="preserve">Speciile de arbori, arbuşti şi plante ornamentale care compun vegetaţia parcurilor şi scuarurilor  sunt atât indigene, cât şi exotice. Dintre speciile rare sau exotice se remarcă magnolia-Magnolya yulan, ginco-Ginkgo biloba, tisa-Taxus baccata, laricele (zada)-Larix decidua var. </w:t>
      </w:r>
      <w:r w:rsidRPr="008A7F47">
        <w:rPr>
          <w:rFonts w:ascii="Arial" w:hAnsi="Arial" w:cs="Arial"/>
          <w:sz w:val="24"/>
          <w:szCs w:val="24"/>
        </w:rPr>
        <w:lastRenderedPageBreak/>
        <w:t>polonica, platanul-Platanus acerifolia, salcâmul japonez-Sophora japonica. Tocmai pentru raritatea unor specii sau pentru vârsta lor, 116 arbori au fost declaraţi monumente ale naturii .</w:t>
      </w:r>
    </w:p>
    <w:p w:rsidR="008A7F47" w:rsidRPr="008A7F47" w:rsidRDefault="008A7F47" w:rsidP="008A7F47">
      <w:pPr>
        <w:spacing w:after="0" w:line="240" w:lineRule="auto"/>
        <w:jc w:val="both"/>
        <w:rPr>
          <w:rFonts w:ascii="Arial" w:hAnsi="Arial" w:cs="Arial"/>
          <w:sz w:val="24"/>
          <w:szCs w:val="24"/>
          <w:lang w:val="es-ES"/>
        </w:rPr>
      </w:pPr>
      <w:r w:rsidRPr="008A7F47">
        <w:rPr>
          <w:rFonts w:ascii="Arial" w:hAnsi="Arial" w:cs="Arial"/>
          <w:sz w:val="24"/>
          <w:szCs w:val="24"/>
          <w:lang w:val="es-ES"/>
        </w:rPr>
        <w:t>Obiectivele şi măsurile propuse vizeaza conservarea respectiv extinderea spaţiilor verzi in vederea  îndeplinirii  programului privind asigurarea necesarului de suprafeţe de spaţiu verde, conform prevederilor O.U.G. nr. 114/2007.</w:t>
      </w:r>
    </w:p>
    <w:p w:rsidR="008A7F47" w:rsidRPr="008A7F47" w:rsidRDefault="008A7F47" w:rsidP="008A7F47">
      <w:pPr>
        <w:spacing w:after="0" w:line="240" w:lineRule="auto"/>
        <w:jc w:val="both"/>
        <w:outlineLvl w:val="0"/>
        <w:rPr>
          <w:rFonts w:ascii="Arial" w:hAnsi="Arial" w:cs="Arial"/>
          <w:b/>
          <w:sz w:val="24"/>
          <w:szCs w:val="24"/>
          <w:lang w:val="es-ES"/>
        </w:rPr>
      </w:pPr>
      <w:r w:rsidRPr="008A7F47">
        <w:rPr>
          <w:rFonts w:ascii="Arial" w:hAnsi="Arial" w:cs="Arial"/>
          <w:sz w:val="24"/>
          <w:szCs w:val="24"/>
          <w:lang w:val="es-ES"/>
        </w:rPr>
        <w:t xml:space="preserve">În acest sens pe parcursul anului 2011 a fost  derulat proiectul </w:t>
      </w:r>
      <w:r w:rsidRPr="008A7F47">
        <w:rPr>
          <w:rFonts w:ascii="Arial" w:hAnsi="Arial" w:cs="Arial"/>
          <w:b/>
          <w:sz w:val="24"/>
          <w:szCs w:val="24"/>
          <w:lang w:val="es-ES"/>
        </w:rPr>
        <w:t xml:space="preserve">“Extindere spaţii verzi prin realizarea unui Parc în Cartierul Lacu Dulce – Municipiul </w:t>
      </w:r>
      <w:r w:rsidR="00217620">
        <w:rPr>
          <w:rFonts w:ascii="Arial" w:hAnsi="Arial" w:cs="Arial"/>
          <w:b/>
          <w:sz w:val="24"/>
          <w:szCs w:val="24"/>
          <w:lang w:val="es-ES"/>
        </w:rPr>
        <w:t>Brăila</w:t>
      </w:r>
      <w:r w:rsidRPr="008A7F47">
        <w:rPr>
          <w:rFonts w:ascii="Arial" w:hAnsi="Arial" w:cs="Arial"/>
          <w:b/>
          <w:sz w:val="24"/>
          <w:szCs w:val="24"/>
          <w:lang w:val="es-ES"/>
        </w:rPr>
        <w:t>”:</w:t>
      </w:r>
    </w:p>
    <w:p w:rsidR="008A7F47" w:rsidRPr="008A7F47" w:rsidRDefault="008A7F47" w:rsidP="00252ED3">
      <w:pPr>
        <w:pStyle w:val="ListParagraph"/>
        <w:numPr>
          <w:ilvl w:val="0"/>
          <w:numId w:val="73"/>
        </w:numPr>
        <w:jc w:val="both"/>
        <w:rPr>
          <w:rFonts w:ascii="Arial" w:hAnsi="Arial" w:cs="Arial"/>
          <w:lang w:val="fr-FR"/>
        </w:rPr>
      </w:pPr>
      <w:r w:rsidRPr="008A7F47">
        <w:rPr>
          <w:rFonts w:ascii="Arial" w:hAnsi="Arial" w:cs="Arial"/>
        </w:rPr>
        <w:t>Acest proiect a fost finalizat in anul 2011, finanțare</w:t>
      </w:r>
      <w:r w:rsidRPr="008A7F47">
        <w:rPr>
          <w:rFonts w:ascii="Arial" w:hAnsi="Arial" w:cs="Arial"/>
          <w:lang w:val="fr-FR"/>
        </w:rPr>
        <w:t xml:space="preserve"> 2.000.000 lei</w:t>
      </w:r>
      <w:r w:rsidRPr="008A7F47">
        <w:rPr>
          <w:rFonts w:ascii="Arial" w:hAnsi="Arial" w:cs="Arial"/>
        </w:rPr>
        <w:t xml:space="preserve"> de la bugetul de stat prin Fondul pentru Mediu;</w:t>
      </w:r>
    </w:p>
    <w:p w:rsidR="008A7F47" w:rsidRPr="008A7F47" w:rsidRDefault="008A7F47" w:rsidP="00252ED3">
      <w:pPr>
        <w:pStyle w:val="ListParagraph"/>
        <w:numPr>
          <w:ilvl w:val="0"/>
          <w:numId w:val="73"/>
        </w:numPr>
        <w:jc w:val="both"/>
        <w:rPr>
          <w:rFonts w:ascii="Arial" w:hAnsi="Arial" w:cs="Arial"/>
          <w:lang w:val="it-IT"/>
        </w:rPr>
      </w:pPr>
      <w:r w:rsidRPr="008A7F47">
        <w:rPr>
          <w:rFonts w:ascii="Arial" w:hAnsi="Arial" w:cs="Arial"/>
        </w:rPr>
        <w:t xml:space="preserve">Suprafața totala a parcului este de </w:t>
      </w:r>
      <w:r w:rsidRPr="008A7F47">
        <w:rPr>
          <w:rFonts w:ascii="Arial" w:hAnsi="Arial" w:cs="Arial"/>
          <w:b/>
          <w:lang w:val="es-ES"/>
        </w:rPr>
        <w:t>40.699 m</w:t>
      </w:r>
      <w:r w:rsidRPr="008A7F47">
        <w:rPr>
          <w:rFonts w:ascii="Arial" w:hAnsi="Arial" w:cs="Arial"/>
          <w:b/>
          <w:vertAlign w:val="superscript"/>
          <w:lang w:val="es-ES"/>
        </w:rPr>
        <w:t>2</w:t>
      </w:r>
      <w:r w:rsidRPr="008A7F47">
        <w:rPr>
          <w:rFonts w:ascii="Arial" w:hAnsi="Arial" w:cs="Arial"/>
        </w:rPr>
        <w:t xml:space="preserve"> si cuprinde material arbuști si arborescent din flora autohtona, gazon. </w:t>
      </w:r>
    </w:p>
    <w:p w:rsidR="008A7F47" w:rsidRPr="008A7F47" w:rsidRDefault="008A7F47" w:rsidP="00252ED3">
      <w:pPr>
        <w:pStyle w:val="ListParagraph"/>
        <w:numPr>
          <w:ilvl w:val="0"/>
          <w:numId w:val="73"/>
        </w:numPr>
        <w:jc w:val="both"/>
        <w:rPr>
          <w:rFonts w:ascii="Arial" w:hAnsi="Arial" w:cs="Arial"/>
          <w:lang w:val="it-IT"/>
        </w:rPr>
      </w:pPr>
      <w:r w:rsidRPr="008A7F47">
        <w:rPr>
          <w:rFonts w:ascii="Arial" w:hAnsi="Arial" w:cs="Arial"/>
        </w:rPr>
        <w:t xml:space="preserve">Pentru acest parc s-a prevăzut si o fatâna  arteziana, stâlpi de iluminat, bănci, fântâni cu apa potabila, vegetație cu caracter ornamental si WC-uri ecologice. </w:t>
      </w:r>
    </w:p>
    <w:p w:rsidR="008A7F47" w:rsidRPr="008A7F47" w:rsidRDefault="008A7F47" w:rsidP="008A7F47">
      <w:pPr>
        <w:spacing w:after="0" w:line="240" w:lineRule="auto"/>
        <w:jc w:val="both"/>
        <w:outlineLvl w:val="0"/>
        <w:rPr>
          <w:rFonts w:ascii="Arial" w:hAnsi="Arial" w:cs="Arial"/>
          <w:sz w:val="24"/>
          <w:szCs w:val="24"/>
          <w:lang w:val="it-IT"/>
        </w:rPr>
      </w:pPr>
      <w:r w:rsidRPr="008A7F47">
        <w:rPr>
          <w:rFonts w:ascii="Arial" w:hAnsi="Arial" w:cs="Arial"/>
          <w:sz w:val="24"/>
          <w:szCs w:val="24"/>
          <w:lang w:val="it-IT"/>
        </w:rPr>
        <w:t xml:space="preserve">Cele mai importante zone verzi din municipiul </w:t>
      </w:r>
      <w:r w:rsidR="00217620">
        <w:rPr>
          <w:rFonts w:ascii="Arial" w:hAnsi="Arial" w:cs="Arial"/>
          <w:sz w:val="24"/>
          <w:szCs w:val="24"/>
          <w:lang w:val="it-IT"/>
        </w:rPr>
        <w:t>Brăila</w:t>
      </w:r>
      <w:r w:rsidRPr="008A7F47">
        <w:rPr>
          <w:rFonts w:ascii="Arial" w:hAnsi="Arial" w:cs="Arial"/>
          <w:sz w:val="24"/>
          <w:szCs w:val="24"/>
          <w:lang w:val="it-IT"/>
        </w:rPr>
        <w:t xml:space="preserve"> sunt:</w:t>
      </w:r>
    </w:p>
    <w:p w:rsidR="008A7F47" w:rsidRPr="008A7F47" w:rsidRDefault="008A7F47" w:rsidP="00252ED3">
      <w:pPr>
        <w:pStyle w:val="ListParagraph"/>
        <w:numPr>
          <w:ilvl w:val="0"/>
          <w:numId w:val="38"/>
        </w:numPr>
        <w:jc w:val="both"/>
        <w:outlineLvl w:val="0"/>
        <w:rPr>
          <w:rFonts w:ascii="Arial" w:hAnsi="Arial" w:cs="Arial"/>
          <w:lang w:val="it-IT"/>
        </w:rPr>
      </w:pPr>
      <w:r w:rsidRPr="008A7F47">
        <w:rPr>
          <w:rFonts w:ascii="Arial" w:hAnsi="Arial" w:cs="Arial"/>
          <w:lang w:val="it-IT"/>
        </w:rPr>
        <w:t>Parcul Monument – 53 ha</w:t>
      </w:r>
    </w:p>
    <w:p w:rsidR="008A7F47" w:rsidRPr="008A7F47" w:rsidRDefault="008A7F47" w:rsidP="00252ED3">
      <w:pPr>
        <w:pStyle w:val="ListParagraph"/>
        <w:numPr>
          <w:ilvl w:val="0"/>
          <w:numId w:val="38"/>
        </w:numPr>
        <w:jc w:val="both"/>
        <w:outlineLvl w:val="0"/>
        <w:rPr>
          <w:rFonts w:ascii="Arial" w:hAnsi="Arial" w:cs="Arial"/>
          <w:lang w:val="it-IT"/>
        </w:rPr>
      </w:pPr>
      <w:r w:rsidRPr="008A7F47">
        <w:rPr>
          <w:rFonts w:ascii="Arial" w:hAnsi="Arial" w:cs="Arial"/>
          <w:lang w:val="it-IT"/>
        </w:rPr>
        <w:t>Grădina Publică – 5,2 ha</w:t>
      </w:r>
    </w:p>
    <w:p w:rsidR="008A7F47" w:rsidRPr="008A7F47" w:rsidRDefault="008A7F47" w:rsidP="00252ED3">
      <w:pPr>
        <w:pStyle w:val="ListParagraph"/>
        <w:numPr>
          <w:ilvl w:val="0"/>
          <w:numId w:val="38"/>
        </w:numPr>
        <w:jc w:val="both"/>
        <w:outlineLvl w:val="0"/>
        <w:rPr>
          <w:rFonts w:ascii="Arial" w:hAnsi="Arial" w:cs="Arial"/>
          <w:lang w:val="it-IT"/>
        </w:rPr>
      </w:pPr>
      <w:r w:rsidRPr="008A7F47">
        <w:rPr>
          <w:rFonts w:ascii="Arial" w:hAnsi="Arial" w:cs="Arial"/>
          <w:lang w:val="it-IT"/>
        </w:rPr>
        <w:t>Grădina Zoologică – 4,55 ha</w:t>
      </w:r>
    </w:p>
    <w:p w:rsidR="008A7F47" w:rsidRPr="008A7F47" w:rsidRDefault="008A7F47" w:rsidP="00252ED3">
      <w:pPr>
        <w:pStyle w:val="ListParagraph"/>
        <w:numPr>
          <w:ilvl w:val="0"/>
          <w:numId w:val="38"/>
        </w:numPr>
        <w:jc w:val="both"/>
        <w:outlineLvl w:val="0"/>
        <w:rPr>
          <w:rFonts w:ascii="Arial" w:hAnsi="Arial" w:cs="Arial"/>
          <w:lang w:val="it-IT"/>
        </w:rPr>
      </w:pPr>
      <w:r w:rsidRPr="008A7F47">
        <w:rPr>
          <w:rFonts w:ascii="Arial" w:hAnsi="Arial" w:cs="Arial"/>
          <w:lang w:val="it-IT"/>
        </w:rPr>
        <w:t>Parc în Cartierul Lacu Dulce – 4,07 ha</w:t>
      </w:r>
    </w:p>
    <w:p w:rsidR="008A7F47" w:rsidRPr="008A7F47" w:rsidRDefault="008A7F47" w:rsidP="00252ED3">
      <w:pPr>
        <w:pStyle w:val="ListParagraph"/>
        <w:numPr>
          <w:ilvl w:val="0"/>
          <w:numId w:val="38"/>
        </w:numPr>
        <w:jc w:val="both"/>
        <w:outlineLvl w:val="0"/>
        <w:rPr>
          <w:rFonts w:ascii="Arial" w:hAnsi="Arial" w:cs="Arial"/>
          <w:lang w:val="es-ES"/>
        </w:rPr>
      </w:pPr>
      <w:r w:rsidRPr="008A7F47">
        <w:rPr>
          <w:rFonts w:ascii="Arial" w:hAnsi="Arial" w:cs="Arial"/>
          <w:lang w:val="es-ES"/>
        </w:rPr>
        <w:t>Faleza Dunării  - 12,8 ha</w:t>
      </w:r>
    </w:p>
    <w:p w:rsidR="008A7F47" w:rsidRPr="008A7F47" w:rsidRDefault="008A7F47" w:rsidP="00252ED3">
      <w:pPr>
        <w:pStyle w:val="ListParagraph"/>
        <w:numPr>
          <w:ilvl w:val="0"/>
          <w:numId w:val="38"/>
        </w:numPr>
        <w:jc w:val="both"/>
        <w:outlineLvl w:val="0"/>
        <w:rPr>
          <w:rFonts w:ascii="Arial" w:hAnsi="Arial" w:cs="Arial"/>
          <w:lang w:val="es-ES"/>
        </w:rPr>
      </w:pPr>
      <w:r w:rsidRPr="008A7F47">
        <w:rPr>
          <w:rFonts w:ascii="Arial" w:hAnsi="Arial" w:cs="Arial"/>
          <w:lang w:val="es-ES"/>
        </w:rPr>
        <w:t>Esplanada Dunării – 1,26 ha</w:t>
      </w:r>
    </w:p>
    <w:p w:rsidR="008A7F47" w:rsidRPr="008A7F47" w:rsidRDefault="008A7F47" w:rsidP="00252ED3">
      <w:pPr>
        <w:pStyle w:val="ListParagraph"/>
        <w:numPr>
          <w:ilvl w:val="0"/>
          <w:numId w:val="38"/>
        </w:numPr>
        <w:jc w:val="both"/>
        <w:outlineLvl w:val="0"/>
        <w:rPr>
          <w:rFonts w:ascii="Arial" w:hAnsi="Arial" w:cs="Arial"/>
        </w:rPr>
      </w:pPr>
      <w:r w:rsidRPr="008A7F47">
        <w:rPr>
          <w:rFonts w:ascii="Arial" w:hAnsi="Arial" w:cs="Arial"/>
          <w:lang w:val="es-ES"/>
        </w:rPr>
        <w:t xml:space="preserve">Scuarul din </w:t>
      </w:r>
      <w:r w:rsidRPr="008A7F47">
        <w:rPr>
          <w:rFonts w:ascii="Arial" w:hAnsi="Arial" w:cs="Arial"/>
        </w:rPr>
        <w:t>Piaţa Traian – 1,14 ha</w:t>
      </w:r>
    </w:p>
    <w:p w:rsidR="008A7F47" w:rsidRPr="008A7F47" w:rsidRDefault="008A7F47" w:rsidP="008A7F47">
      <w:pPr>
        <w:pStyle w:val="BodyText2"/>
        <w:spacing w:after="0" w:line="240" w:lineRule="auto"/>
        <w:jc w:val="both"/>
        <w:rPr>
          <w:rFonts w:ascii="Arial" w:hAnsi="Arial" w:cs="Arial"/>
        </w:rPr>
      </w:pP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 xml:space="preserve">Parcul Monument, cu o suprafaţă de 53 ha, este cel mai mare parc al municipiului </w:t>
      </w:r>
      <w:r w:rsidR="00217620">
        <w:rPr>
          <w:rFonts w:ascii="Arial" w:hAnsi="Arial" w:cs="Arial"/>
          <w:sz w:val="24"/>
          <w:szCs w:val="24"/>
        </w:rPr>
        <w:t>Brăila</w:t>
      </w:r>
      <w:r w:rsidRPr="008A7F47">
        <w:rPr>
          <w:rFonts w:ascii="Arial" w:hAnsi="Arial" w:cs="Arial"/>
          <w:sz w:val="24"/>
          <w:szCs w:val="24"/>
        </w:rPr>
        <w:t>, acesta existând încă din anul 1862, o contribuţie majoră în amenajarea acestuia având generalul Kiseleff,  parcul purtând pentru mult timp numele acestuia.</w:t>
      </w: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 xml:space="preserve">În perimetrul acestuia există Muzeul de Ştiinţe ale Naturii în vecinătatea căruia există un parc dendrologic cu specii exotice. Pe amplasamentul acestui parc ar fi oportună înfiinţarea unui complex muzeal care să integreze vechiul muzeu precum şi o mică grădină botanică. De asemenea, în perimetrul Parcului Monument există o sală de sport polivalentă, terenuri de sport, un stadion, alei pietonale, un parc de distracţii pentru copii şi un restaurant fapt ce fac din acesta principala zona de agrement a oraşului, atrăgând atât populaţia tânără cât şi vârstnicii. În parc este dominantă vegetaţia arboricolă, existând deopotrivă specii indigene şi exotice. Administraţia publică locală a făcut eforturi pentru conservarea vegetaţiei şi prevenirea deteriorării prin închiderea cu gard de beton, asigurarea pazei şi extinderea perimetrului prin plantări de arbori pe cca </w:t>
      </w:r>
      <w:smartTag w:uri="urn:schemas-microsoft-com:office:smarttags" w:element="metricconverter">
        <w:smartTagPr>
          <w:attr w:name="ProductID" w:val="1,2 ha"/>
        </w:smartTagPr>
        <w:r w:rsidRPr="008A7F47">
          <w:rPr>
            <w:rFonts w:ascii="Arial" w:hAnsi="Arial" w:cs="Arial"/>
            <w:sz w:val="24"/>
            <w:szCs w:val="24"/>
          </w:rPr>
          <w:t>1,2 ha</w:t>
        </w:r>
      </w:smartTag>
      <w:r w:rsidRPr="008A7F47">
        <w:rPr>
          <w:rFonts w:ascii="Arial" w:hAnsi="Arial" w:cs="Arial"/>
          <w:sz w:val="24"/>
          <w:szCs w:val="24"/>
        </w:rPr>
        <w:t>. Aceste măsuri au avut menirea de a stopa tăierile abuzive şi deteriorarea vegetaţiei ierboase şi forestiere prin păşunatul ovinelor de către locuitorii cartierelor din vecinătate.</w:t>
      </w: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De asemenea s-au făcut amenajări de eliminare a excesului de umiditate care afecta o importantă suprafaţă a parcului determinând băltiri şi instalarea vegetaţiei specifice de baltă (stuf în special), iar pe de altă parte punea în pericol stabilitatea liniei de tramvai ce traversează parcul.</w:t>
      </w:r>
    </w:p>
    <w:p w:rsidR="008A7F47" w:rsidRPr="008A7F47" w:rsidRDefault="008A7F47" w:rsidP="008A7F47">
      <w:pPr>
        <w:spacing w:after="0" w:line="240" w:lineRule="auto"/>
        <w:jc w:val="both"/>
        <w:rPr>
          <w:rFonts w:ascii="Arial" w:hAnsi="Arial" w:cs="Arial"/>
          <w:sz w:val="24"/>
          <w:szCs w:val="24"/>
          <w:lang w:val="it-IT"/>
        </w:rPr>
      </w:pPr>
      <w:r w:rsidRPr="008A7F47">
        <w:rPr>
          <w:rFonts w:ascii="Arial" w:hAnsi="Arial" w:cs="Arial"/>
          <w:sz w:val="24"/>
          <w:szCs w:val="24"/>
        </w:rPr>
        <w:t xml:space="preserve">Pe parcursul anului 2013 s-a derulat proiectul </w:t>
      </w:r>
      <w:r w:rsidRPr="008A7F47">
        <w:rPr>
          <w:rFonts w:ascii="Arial" w:hAnsi="Arial" w:cs="Arial"/>
          <w:b/>
          <w:bCs/>
          <w:i/>
          <w:iCs/>
          <w:sz w:val="24"/>
          <w:szCs w:val="24"/>
        </w:rPr>
        <w:t>„Reabilitare si modernizare</w:t>
      </w:r>
      <w:r w:rsidRPr="008A7F47">
        <w:rPr>
          <w:rFonts w:ascii="Arial" w:hAnsi="Arial" w:cs="Arial"/>
          <w:b/>
          <w:bCs/>
          <w:i/>
          <w:iCs/>
          <w:sz w:val="24"/>
          <w:szCs w:val="24"/>
          <w:lang w:val="it-IT"/>
        </w:rPr>
        <w:t xml:space="preserve"> </w:t>
      </w:r>
      <w:r w:rsidRPr="008A7F47">
        <w:rPr>
          <w:rFonts w:ascii="Arial" w:hAnsi="Arial" w:cs="Arial"/>
          <w:b/>
          <w:bCs/>
          <w:i/>
          <w:iCs/>
          <w:sz w:val="24"/>
          <w:szCs w:val="24"/>
        </w:rPr>
        <w:t xml:space="preserve">Parc Monument”din cadrul </w:t>
      </w:r>
      <w:r w:rsidRPr="008A7F47">
        <w:rPr>
          <w:rFonts w:ascii="Arial" w:hAnsi="Arial" w:cs="Arial"/>
          <w:b/>
          <w:i/>
          <w:iCs/>
          <w:sz w:val="24"/>
          <w:szCs w:val="24"/>
        </w:rPr>
        <w:t>Programului Operaţional Regional</w:t>
      </w:r>
      <w:r w:rsidRPr="008A7F47">
        <w:rPr>
          <w:rFonts w:ascii="Arial" w:hAnsi="Arial" w:cs="Arial"/>
          <w:b/>
          <w:i/>
          <w:iCs/>
          <w:sz w:val="24"/>
          <w:szCs w:val="24"/>
          <w:lang w:val="it-IT"/>
        </w:rPr>
        <w:t>,</w:t>
      </w:r>
      <w:r w:rsidRPr="008A7F47">
        <w:rPr>
          <w:rFonts w:ascii="Arial" w:hAnsi="Arial" w:cs="Arial"/>
          <w:b/>
          <w:i/>
          <w:iCs/>
          <w:sz w:val="24"/>
          <w:szCs w:val="24"/>
        </w:rPr>
        <w:t xml:space="preserve"> Domeniului Major de intervenţie 1.1.- Planuri integrate de dezvoltare urbană, </w:t>
      </w:r>
      <w:r w:rsidRPr="008A7F47">
        <w:rPr>
          <w:rFonts w:ascii="Arial" w:hAnsi="Arial" w:cs="Arial"/>
          <w:iCs/>
          <w:sz w:val="24"/>
          <w:szCs w:val="24"/>
        </w:rPr>
        <w:t>cu o valoare de investiție</w:t>
      </w:r>
      <w:r w:rsidRPr="008A7F47">
        <w:rPr>
          <w:rFonts w:ascii="Arial" w:hAnsi="Arial" w:cs="Arial"/>
          <w:iCs/>
          <w:sz w:val="24"/>
          <w:szCs w:val="24"/>
          <w:lang w:val="it-IT"/>
        </w:rPr>
        <w:t xml:space="preserve"> de </w:t>
      </w:r>
      <w:r w:rsidRPr="008A7F47">
        <w:rPr>
          <w:rFonts w:ascii="Arial" w:hAnsi="Arial" w:cs="Arial"/>
          <w:iCs/>
          <w:sz w:val="24"/>
          <w:szCs w:val="24"/>
        </w:rPr>
        <w:t>10.028.908</w:t>
      </w:r>
      <w:r w:rsidRPr="008A7F47">
        <w:rPr>
          <w:rFonts w:ascii="Arial" w:hAnsi="Arial" w:cs="Arial"/>
          <w:iCs/>
          <w:sz w:val="24"/>
          <w:szCs w:val="24"/>
          <w:lang w:val="it-IT"/>
        </w:rPr>
        <w:t xml:space="preserve"> lei</w:t>
      </w:r>
      <w:r w:rsidRPr="008A7F47">
        <w:rPr>
          <w:rFonts w:ascii="Arial" w:hAnsi="Arial" w:cs="Arial"/>
          <w:i/>
          <w:iCs/>
          <w:sz w:val="24"/>
          <w:szCs w:val="24"/>
          <w:lang w:val="it-IT"/>
        </w:rPr>
        <w:t xml:space="preserve">, </w:t>
      </w:r>
      <w:r w:rsidRPr="008A7F47">
        <w:rPr>
          <w:rFonts w:ascii="Arial" w:hAnsi="Arial" w:cs="Arial"/>
          <w:iCs/>
          <w:sz w:val="24"/>
          <w:szCs w:val="24"/>
          <w:lang w:val="it-IT"/>
        </w:rPr>
        <w:t xml:space="preserve">in cadrul caruia au fost </w:t>
      </w:r>
      <w:r w:rsidRPr="008A7F47">
        <w:rPr>
          <w:rFonts w:ascii="Arial" w:hAnsi="Arial" w:cs="Arial"/>
          <w:sz w:val="24"/>
          <w:szCs w:val="24"/>
        </w:rPr>
        <w:t>realizate urmatoarele lucrări:</w:t>
      </w:r>
    </w:p>
    <w:p w:rsidR="008A7F47" w:rsidRPr="008A7F47" w:rsidRDefault="008A7F47" w:rsidP="00252ED3">
      <w:pPr>
        <w:pStyle w:val="ListParagraph"/>
        <w:numPr>
          <w:ilvl w:val="0"/>
          <w:numId w:val="72"/>
        </w:numPr>
        <w:jc w:val="both"/>
        <w:rPr>
          <w:rFonts w:ascii="Arial" w:hAnsi="Arial" w:cs="Arial"/>
          <w:lang w:val="it-IT"/>
        </w:rPr>
      </w:pPr>
      <w:r w:rsidRPr="008A7F47">
        <w:rPr>
          <w:rFonts w:ascii="Arial" w:hAnsi="Arial" w:cs="Arial"/>
        </w:rPr>
        <w:t xml:space="preserve">reamenajarea sistemului de irigat cu apă </w:t>
      </w:r>
      <w:r w:rsidR="007C1699">
        <w:rPr>
          <w:rFonts w:ascii="Arial" w:hAnsi="Arial" w:cs="Arial"/>
        </w:rPr>
        <w:t>BR</w:t>
      </w:r>
      <w:r w:rsidRPr="008A7F47">
        <w:rPr>
          <w:rFonts w:ascii="Arial" w:hAnsi="Arial" w:cs="Arial"/>
        </w:rPr>
        <w:t>ută din Dunăre</w:t>
      </w:r>
    </w:p>
    <w:p w:rsidR="008A7F47" w:rsidRPr="008A7F47" w:rsidRDefault="008A7F47" w:rsidP="00252ED3">
      <w:pPr>
        <w:pStyle w:val="ListParagraph"/>
        <w:numPr>
          <w:ilvl w:val="0"/>
          <w:numId w:val="72"/>
        </w:numPr>
        <w:jc w:val="both"/>
        <w:rPr>
          <w:rFonts w:ascii="Arial" w:hAnsi="Arial" w:cs="Arial"/>
        </w:rPr>
      </w:pPr>
      <w:r w:rsidRPr="008A7F47">
        <w:rPr>
          <w:rFonts w:ascii="Arial" w:hAnsi="Arial" w:cs="Arial"/>
        </w:rPr>
        <w:t>modernizarea rețelei de apă;</w:t>
      </w:r>
    </w:p>
    <w:p w:rsidR="008A7F47" w:rsidRPr="008A7F47" w:rsidRDefault="008A7F47" w:rsidP="00252ED3">
      <w:pPr>
        <w:pStyle w:val="ListParagraph"/>
        <w:numPr>
          <w:ilvl w:val="0"/>
          <w:numId w:val="72"/>
        </w:numPr>
        <w:jc w:val="both"/>
        <w:rPr>
          <w:rFonts w:ascii="Arial" w:hAnsi="Arial" w:cs="Arial"/>
        </w:rPr>
      </w:pPr>
      <w:r w:rsidRPr="008A7F47">
        <w:rPr>
          <w:rFonts w:ascii="Arial" w:hAnsi="Arial" w:cs="Arial"/>
        </w:rPr>
        <w:t>modernizarea rețelei de canalizare;</w:t>
      </w:r>
    </w:p>
    <w:p w:rsidR="008A7F47" w:rsidRPr="008A7F47" w:rsidRDefault="008A7F47" w:rsidP="00252ED3">
      <w:pPr>
        <w:pStyle w:val="ListParagraph"/>
        <w:numPr>
          <w:ilvl w:val="0"/>
          <w:numId w:val="72"/>
        </w:numPr>
        <w:jc w:val="both"/>
        <w:rPr>
          <w:rFonts w:ascii="Arial" w:hAnsi="Arial" w:cs="Arial"/>
        </w:rPr>
      </w:pPr>
      <w:r w:rsidRPr="008A7F47">
        <w:rPr>
          <w:rFonts w:ascii="Arial" w:hAnsi="Arial" w:cs="Arial"/>
        </w:rPr>
        <w:t>reabilitare bazin (fântână arteziană);</w:t>
      </w:r>
    </w:p>
    <w:p w:rsidR="008A7F47" w:rsidRPr="008A7F47" w:rsidRDefault="008A7F47" w:rsidP="00252ED3">
      <w:pPr>
        <w:pStyle w:val="ListParagraph"/>
        <w:numPr>
          <w:ilvl w:val="0"/>
          <w:numId w:val="72"/>
        </w:numPr>
        <w:jc w:val="both"/>
        <w:rPr>
          <w:rFonts w:ascii="Arial" w:hAnsi="Arial" w:cs="Arial"/>
        </w:rPr>
      </w:pPr>
      <w:r w:rsidRPr="008A7F47">
        <w:rPr>
          <w:rFonts w:ascii="Arial" w:hAnsi="Arial" w:cs="Arial"/>
        </w:rPr>
        <w:t>reabilitare gard prefa</w:t>
      </w:r>
      <w:r w:rsidR="007C1699">
        <w:rPr>
          <w:rFonts w:ascii="Arial" w:hAnsi="Arial" w:cs="Arial"/>
        </w:rPr>
        <w:t>BR</w:t>
      </w:r>
      <w:r w:rsidRPr="008A7F47">
        <w:rPr>
          <w:rFonts w:ascii="Arial" w:hAnsi="Arial" w:cs="Arial"/>
        </w:rPr>
        <w:t>icat din beton;</w:t>
      </w:r>
    </w:p>
    <w:p w:rsidR="008A7F47" w:rsidRPr="008A7F47" w:rsidRDefault="008A7F47" w:rsidP="00252ED3">
      <w:pPr>
        <w:pStyle w:val="ListParagraph"/>
        <w:numPr>
          <w:ilvl w:val="0"/>
          <w:numId w:val="72"/>
        </w:numPr>
        <w:jc w:val="both"/>
        <w:rPr>
          <w:rFonts w:ascii="Arial" w:hAnsi="Arial" w:cs="Arial"/>
        </w:rPr>
      </w:pPr>
      <w:r w:rsidRPr="008A7F47">
        <w:rPr>
          <w:rFonts w:ascii="Arial" w:hAnsi="Arial" w:cs="Arial"/>
        </w:rPr>
        <w:t>refacere aleii carosabile și pietonale;</w:t>
      </w:r>
    </w:p>
    <w:p w:rsidR="008A7F47" w:rsidRPr="008A7F47" w:rsidRDefault="008A7F47" w:rsidP="00252ED3">
      <w:pPr>
        <w:pStyle w:val="ListParagraph"/>
        <w:numPr>
          <w:ilvl w:val="0"/>
          <w:numId w:val="72"/>
        </w:numPr>
        <w:jc w:val="both"/>
        <w:rPr>
          <w:rFonts w:ascii="Arial" w:hAnsi="Arial" w:cs="Arial"/>
        </w:rPr>
      </w:pPr>
      <w:r w:rsidRPr="008A7F47">
        <w:rPr>
          <w:rFonts w:ascii="Arial" w:hAnsi="Arial" w:cs="Arial"/>
        </w:rPr>
        <w:t>amenajare peisageră (toaletarea și înlocuirea vegetației existente);</w:t>
      </w:r>
    </w:p>
    <w:p w:rsidR="008A7F47" w:rsidRPr="008A7F47" w:rsidRDefault="008A7F47" w:rsidP="00252ED3">
      <w:pPr>
        <w:pStyle w:val="ListParagraph"/>
        <w:numPr>
          <w:ilvl w:val="0"/>
          <w:numId w:val="72"/>
        </w:numPr>
        <w:jc w:val="both"/>
        <w:rPr>
          <w:rFonts w:ascii="Arial" w:hAnsi="Arial" w:cs="Arial"/>
          <w:lang w:val="it-IT"/>
        </w:rPr>
      </w:pPr>
      <w:r w:rsidRPr="008A7F47">
        <w:rPr>
          <w:rFonts w:ascii="Arial" w:hAnsi="Arial" w:cs="Arial"/>
        </w:rPr>
        <w:lastRenderedPageBreak/>
        <w:t xml:space="preserve">dotări – locuri de relaxare și locuri de joacă pentru copii precum și montarea de mobilier stradal în lungul aleilor. </w:t>
      </w:r>
    </w:p>
    <w:p w:rsidR="008A7F47" w:rsidRPr="008A7F47" w:rsidRDefault="008A7F47" w:rsidP="008A7F47">
      <w:pPr>
        <w:spacing w:after="0" w:line="240" w:lineRule="auto"/>
        <w:jc w:val="both"/>
        <w:rPr>
          <w:rFonts w:ascii="Arial" w:hAnsi="Arial" w:cs="Arial"/>
          <w:sz w:val="24"/>
          <w:szCs w:val="24"/>
          <w:lang w:val="it-IT"/>
        </w:rPr>
      </w:pPr>
    </w:p>
    <w:p w:rsidR="008A7F47" w:rsidRPr="008A7F47" w:rsidRDefault="008A7F47" w:rsidP="008A7F47">
      <w:pPr>
        <w:spacing w:after="0" w:line="240" w:lineRule="auto"/>
        <w:jc w:val="both"/>
        <w:rPr>
          <w:rFonts w:ascii="Arial" w:hAnsi="Arial" w:cs="Arial"/>
          <w:sz w:val="24"/>
          <w:szCs w:val="24"/>
          <w:lang w:val="it-IT"/>
        </w:rPr>
      </w:pPr>
      <w:r w:rsidRPr="008A7F47">
        <w:rPr>
          <w:rFonts w:ascii="Arial" w:hAnsi="Arial" w:cs="Arial"/>
          <w:sz w:val="24"/>
          <w:szCs w:val="24"/>
          <w:lang w:val="it-IT"/>
        </w:rPr>
        <w:t xml:space="preserve">Totodată in Parcul Monument </w:t>
      </w:r>
      <w:r w:rsidRPr="008A7F47">
        <w:rPr>
          <w:rFonts w:ascii="Arial" w:hAnsi="Arial" w:cs="Arial"/>
          <w:sz w:val="24"/>
          <w:szCs w:val="24"/>
        </w:rPr>
        <w:t xml:space="preserve">a fost realizată și </w:t>
      </w:r>
      <w:r w:rsidRPr="008A7F47">
        <w:rPr>
          <w:rFonts w:ascii="Arial" w:hAnsi="Arial" w:cs="Arial"/>
          <w:sz w:val="24"/>
          <w:szCs w:val="24"/>
          <w:lang w:val="it-IT"/>
        </w:rPr>
        <w:t>o pista de biciclete de 1000 m  cu 2 direcții de mers având lățimea de 2 m.</w:t>
      </w: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Prin suprafaţa şi diversitatea arhitecturii peisagere, Grădina Publică (</w:t>
      </w:r>
      <w:smartTag w:uri="urn:schemas-microsoft-com:office:smarttags" w:element="metricconverter">
        <w:smartTagPr>
          <w:attr w:name="ProductID" w:val="7,5 ha"/>
        </w:smartTagPr>
        <w:r w:rsidRPr="008A7F47">
          <w:rPr>
            <w:rFonts w:ascii="Arial" w:hAnsi="Arial" w:cs="Arial"/>
            <w:sz w:val="24"/>
            <w:szCs w:val="24"/>
          </w:rPr>
          <w:t>7,5 ha</w:t>
        </w:r>
      </w:smartTag>
      <w:r w:rsidRPr="008A7F47">
        <w:rPr>
          <w:rFonts w:ascii="Arial" w:hAnsi="Arial" w:cs="Arial"/>
          <w:sz w:val="24"/>
          <w:szCs w:val="24"/>
        </w:rPr>
        <w:t xml:space="preserve">), Grădina zoologică (4,55 ha) şi zona verde de pe Faleza Dunării (12,8ha)  şi Esplanada </w:t>
      </w:r>
      <w:r w:rsidRPr="008A7F47">
        <w:rPr>
          <w:rFonts w:ascii="Arial" w:hAnsi="Arial" w:cs="Arial"/>
          <w:sz w:val="24"/>
          <w:szCs w:val="24"/>
          <w:lang w:val="es-ES"/>
        </w:rPr>
        <w:t>Dunării</w:t>
      </w:r>
      <w:r w:rsidRPr="008A7F47">
        <w:rPr>
          <w:rFonts w:ascii="Arial" w:hAnsi="Arial" w:cs="Arial"/>
          <w:sz w:val="24"/>
          <w:szCs w:val="24"/>
        </w:rPr>
        <w:t xml:space="preserve"> (1,26ha) pot fi de asemenea incluse în categoria parcurilor. </w:t>
      </w:r>
    </w:p>
    <w:p w:rsidR="008A7F47" w:rsidRPr="008A7F47" w:rsidRDefault="008A7F47" w:rsidP="008A7F47">
      <w:pPr>
        <w:pStyle w:val="BodyText"/>
        <w:spacing w:after="0" w:line="240" w:lineRule="auto"/>
        <w:jc w:val="both"/>
        <w:rPr>
          <w:rFonts w:ascii="Arial" w:hAnsi="Arial" w:cs="Arial"/>
          <w:sz w:val="24"/>
          <w:szCs w:val="24"/>
        </w:rPr>
      </w:pPr>
      <w:r w:rsidRPr="008A7F47">
        <w:rPr>
          <w:rFonts w:ascii="Arial" w:hAnsi="Arial" w:cs="Arial"/>
          <w:sz w:val="24"/>
          <w:szCs w:val="24"/>
        </w:rPr>
        <w:t xml:space="preserve">Staţiunea Lacu Sărat, amplasată la cca. </w:t>
      </w:r>
      <w:smartTag w:uri="urn:schemas-microsoft-com:office:smarttags" w:element="metricconverter">
        <w:smartTagPr>
          <w:attr w:name="ProductID" w:val="7 km"/>
        </w:smartTagPr>
        <w:r w:rsidRPr="008A7F47">
          <w:rPr>
            <w:rFonts w:ascii="Arial" w:hAnsi="Arial" w:cs="Arial"/>
            <w:sz w:val="24"/>
            <w:szCs w:val="24"/>
          </w:rPr>
          <w:t>7 km</w:t>
        </w:r>
      </w:smartTag>
      <w:r w:rsidRPr="008A7F47">
        <w:rPr>
          <w:rFonts w:ascii="Arial" w:hAnsi="Arial" w:cs="Arial"/>
          <w:sz w:val="24"/>
          <w:szCs w:val="24"/>
        </w:rPr>
        <w:t xml:space="preserve"> de </w:t>
      </w:r>
      <w:r w:rsidR="00217620">
        <w:rPr>
          <w:rFonts w:ascii="Arial" w:hAnsi="Arial" w:cs="Arial"/>
          <w:sz w:val="24"/>
          <w:szCs w:val="24"/>
        </w:rPr>
        <w:t>Brăila</w:t>
      </w:r>
      <w:r w:rsidRPr="008A7F47">
        <w:rPr>
          <w:rFonts w:ascii="Arial" w:hAnsi="Arial" w:cs="Arial"/>
          <w:sz w:val="24"/>
          <w:szCs w:val="24"/>
        </w:rPr>
        <w:t xml:space="preserve">, cu o suprafaţă de </w:t>
      </w:r>
      <w:smartTag w:uri="urn:schemas-microsoft-com:office:smarttags" w:element="metricconverter">
        <w:smartTagPr>
          <w:attr w:name="ProductID" w:val="33,85 ha"/>
        </w:smartTagPr>
        <w:r w:rsidRPr="008A7F47">
          <w:rPr>
            <w:rFonts w:ascii="Arial" w:hAnsi="Arial" w:cs="Arial"/>
            <w:sz w:val="24"/>
            <w:szCs w:val="24"/>
          </w:rPr>
          <w:t>33,85 ha</w:t>
        </w:r>
      </w:smartTag>
      <w:r w:rsidRPr="008A7F47">
        <w:rPr>
          <w:rFonts w:ascii="Arial" w:hAnsi="Arial" w:cs="Arial"/>
          <w:sz w:val="24"/>
          <w:szCs w:val="24"/>
        </w:rPr>
        <w:t xml:space="preserve"> este foarte frecventată de către populaţia </w:t>
      </w:r>
      <w:r w:rsidR="007C1699">
        <w:rPr>
          <w:rFonts w:ascii="Arial" w:hAnsi="Arial" w:cs="Arial"/>
          <w:sz w:val="24"/>
          <w:szCs w:val="24"/>
        </w:rPr>
        <w:t>BR</w:t>
      </w:r>
      <w:r w:rsidRPr="008A7F47">
        <w:rPr>
          <w:rFonts w:ascii="Arial" w:hAnsi="Arial" w:cs="Arial"/>
          <w:sz w:val="24"/>
          <w:szCs w:val="24"/>
        </w:rPr>
        <w:t>ăileană mai ales pe parcursul sezonului de vară.</w:t>
      </w:r>
      <w:r w:rsidRPr="008A7F47">
        <w:rPr>
          <w:rFonts w:ascii="Arial" w:hAnsi="Arial" w:cs="Arial"/>
          <w:bCs/>
          <w:sz w:val="24"/>
          <w:szCs w:val="24"/>
        </w:rPr>
        <w:t xml:space="preserve"> </w:t>
      </w:r>
      <w:r w:rsidRPr="008A7F47">
        <w:rPr>
          <w:rFonts w:ascii="Arial" w:hAnsi="Arial" w:cs="Arial"/>
          <w:sz w:val="24"/>
          <w:szCs w:val="24"/>
        </w:rPr>
        <w:t xml:space="preserve">Municipiul beneficiază şi de plantaţiile din apropierea limitei teritorial administrativ: Pădurea Stejarul şi lizierele din zona dig mal. </w:t>
      </w:r>
    </w:p>
    <w:p w:rsidR="008A7F47" w:rsidRPr="008A7F47" w:rsidRDefault="008A7F47" w:rsidP="008A7F47">
      <w:pPr>
        <w:pStyle w:val="BodyText"/>
        <w:spacing w:after="0" w:line="240" w:lineRule="auto"/>
        <w:jc w:val="both"/>
        <w:rPr>
          <w:rFonts w:ascii="Arial" w:hAnsi="Arial" w:cs="Arial"/>
          <w:bCs/>
          <w:sz w:val="24"/>
          <w:szCs w:val="24"/>
        </w:rPr>
      </w:pPr>
      <w:r w:rsidRPr="008A7F47">
        <w:rPr>
          <w:rFonts w:ascii="Arial" w:hAnsi="Arial" w:cs="Arial"/>
          <w:bCs/>
          <w:sz w:val="24"/>
          <w:szCs w:val="24"/>
        </w:rPr>
        <w:t xml:space="preserve">În oraşele Ianca şi Însurăţei au fost amenajate parcuri, dar acestea au suprafaţă mică ( </w:t>
      </w:r>
      <w:smartTag w:uri="urn:schemas-microsoft-com:office:smarttags" w:element="metricconverter">
        <w:smartTagPr>
          <w:attr w:name="ProductID" w:val="2,56 ha"/>
        </w:smartTagPr>
        <w:r w:rsidRPr="008A7F47">
          <w:rPr>
            <w:rFonts w:ascii="Arial" w:hAnsi="Arial" w:cs="Arial"/>
            <w:bCs/>
            <w:sz w:val="24"/>
            <w:szCs w:val="24"/>
          </w:rPr>
          <w:t>2,56 ha</w:t>
        </w:r>
      </w:smartTag>
      <w:r w:rsidRPr="008A7F47">
        <w:rPr>
          <w:rFonts w:ascii="Arial" w:hAnsi="Arial" w:cs="Arial"/>
          <w:bCs/>
          <w:sz w:val="24"/>
          <w:szCs w:val="24"/>
        </w:rPr>
        <w:t xml:space="preserve"> parcul din Ianca) şi varietate mică de specii forestiere ornamentale. </w:t>
      </w: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 xml:space="preserve">Pentru extinderea suprafeţei spaţiilor verzi, astfel încât să se acopere deficitul existent, în municipiul </w:t>
      </w:r>
      <w:r w:rsidR="00217620">
        <w:rPr>
          <w:rFonts w:ascii="Arial" w:hAnsi="Arial" w:cs="Arial"/>
          <w:sz w:val="24"/>
          <w:szCs w:val="24"/>
        </w:rPr>
        <w:t>Brăila</w:t>
      </w:r>
      <w:r w:rsidRPr="008A7F47">
        <w:rPr>
          <w:rFonts w:ascii="Arial" w:hAnsi="Arial" w:cs="Arial"/>
          <w:sz w:val="24"/>
          <w:szCs w:val="24"/>
        </w:rPr>
        <w:t xml:space="preserve"> au fost propuse realizarea de perdele de protecţie (pe zonele improprii construcţiilor) şi realizarea de noi aliniamente stradale. </w:t>
      </w:r>
    </w:p>
    <w:p w:rsidR="008A7F47" w:rsidRPr="008A7F47" w:rsidRDefault="008A7F47" w:rsidP="008A7F47">
      <w:pPr>
        <w:pStyle w:val="BlockText"/>
        <w:ind w:left="0" w:right="0" w:firstLine="0"/>
        <w:rPr>
          <w:rFonts w:ascii="Arial" w:hAnsi="Arial" w:cs="Arial"/>
          <w:sz w:val="24"/>
          <w:szCs w:val="24"/>
          <w:lang w:val="ro-RO"/>
        </w:rPr>
      </w:pPr>
      <w:r w:rsidRPr="008A7F47">
        <w:rPr>
          <w:rFonts w:ascii="Arial" w:hAnsi="Arial" w:cs="Arial"/>
          <w:sz w:val="24"/>
          <w:szCs w:val="24"/>
          <w:lang w:val="ro-RO"/>
        </w:rPr>
        <w:t>Şi în extravilan s-ar putea extinde spaţiile verzi şi de agrement prin amenajarea Pădurii Stejarul, realizarea unor dotări pentru sporturi nautice în zona “Cărămidăriei” sau amenajarea zonei dig mal aferentă DJ 221A cu spaţii de cazare, de alimentaţie publică şi amenajări pentru pescuit, soluţii care au fost propuse cu ani în urmă, dar care nu au fost implementate.</w:t>
      </w: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Pentru prevenirea unor efecte ale schimbărilor climatice cu care  ne confruntăm, pe lângă împăduririle care se fac în fond forestier sau pe terenuri degradate prin reconstrucţie ecologică, trebuie realizate perdele de protecţie precum şi extinderea spaţiilor verzi în mediul urban şi în intravilanul tuturor localităţilor î</w:t>
      </w:r>
      <w:r w:rsidRPr="008A7F47">
        <w:rPr>
          <w:rFonts w:ascii="Arial" w:hAnsi="Arial" w:cs="Arial"/>
          <w:sz w:val="24"/>
          <w:szCs w:val="24"/>
          <w:lang w:val="es-ES"/>
        </w:rPr>
        <w:t>n vederea  îndeplinirii  programului privind asigurarea necesarului de suprafeţe de spaţiu verde, conform prevederilor O.U.G. nr. 114/2007</w:t>
      </w:r>
      <w:r w:rsidRPr="008A7F47">
        <w:rPr>
          <w:rFonts w:ascii="Arial" w:hAnsi="Arial" w:cs="Arial"/>
          <w:i/>
          <w:sz w:val="24"/>
          <w:szCs w:val="24"/>
        </w:rPr>
        <w:t xml:space="preserve"> pentru modificarea şi completarea OUG.nr.195/2005 privind protecţia mediului</w:t>
      </w:r>
      <w:r w:rsidRPr="008A7F47">
        <w:rPr>
          <w:rFonts w:ascii="Arial" w:hAnsi="Arial" w:cs="Arial"/>
          <w:sz w:val="24"/>
          <w:szCs w:val="24"/>
        </w:rPr>
        <w:t>, respectiv atingerea țintei de minimum  26 m</w:t>
      </w:r>
      <w:r w:rsidRPr="008A7F47">
        <w:rPr>
          <w:rFonts w:ascii="Arial" w:hAnsi="Arial" w:cs="Arial"/>
          <w:sz w:val="24"/>
          <w:szCs w:val="24"/>
          <w:vertAlign w:val="superscript"/>
        </w:rPr>
        <w:t>2</w:t>
      </w:r>
      <w:r w:rsidRPr="008A7F47">
        <w:rPr>
          <w:rFonts w:ascii="Arial" w:hAnsi="Arial" w:cs="Arial"/>
          <w:sz w:val="24"/>
          <w:szCs w:val="24"/>
        </w:rPr>
        <w:t>/locuitor.</w:t>
      </w:r>
    </w:p>
    <w:p w:rsidR="008A7F47" w:rsidRPr="008A7F47" w:rsidRDefault="008A7F47" w:rsidP="008A7F47">
      <w:pPr>
        <w:spacing w:after="0" w:line="240" w:lineRule="auto"/>
        <w:jc w:val="both"/>
        <w:rPr>
          <w:rFonts w:ascii="Arial" w:hAnsi="Arial" w:cs="Arial"/>
          <w:sz w:val="24"/>
          <w:szCs w:val="24"/>
        </w:rPr>
      </w:pPr>
      <w:r w:rsidRPr="008A7F47">
        <w:rPr>
          <w:rFonts w:ascii="Arial" w:hAnsi="Arial" w:cs="Arial"/>
          <w:sz w:val="24"/>
          <w:szCs w:val="24"/>
        </w:rPr>
        <w:t xml:space="preserve"> Deasemenea, la extinderea extravilanului localităţilor autorităţile administraţiei publice locale au obligaţia să asigure 5% pentru amenajarea spaţiilor verzi publice, aşa cum este prevăzut în </w:t>
      </w:r>
      <w:r w:rsidRPr="008A7F47">
        <w:rPr>
          <w:rFonts w:ascii="Arial" w:hAnsi="Arial" w:cs="Arial"/>
          <w:i/>
          <w:sz w:val="24"/>
          <w:szCs w:val="24"/>
        </w:rPr>
        <w:t>legea nr.24/2007 privind reglementarea şi administrarea spaţiilor verzi din intravilanul localităţilor</w:t>
      </w:r>
      <w:r w:rsidRPr="008A7F47">
        <w:rPr>
          <w:rFonts w:ascii="Arial" w:hAnsi="Arial" w:cs="Arial"/>
          <w:sz w:val="24"/>
          <w:szCs w:val="24"/>
        </w:rPr>
        <w:t>, modificată şi completată cu legea nr. 313/2009.</w:t>
      </w:r>
    </w:p>
    <w:p w:rsidR="00D4086A" w:rsidRDefault="00D4086A" w:rsidP="00D4086A">
      <w:pPr>
        <w:tabs>
          <w:tab w:val="left" w:pos="971"/>
        </w:tabs>
      </w:pPr>
    </w:p>
    <w:p w:rsidR="00D4086A" w:rsidRPr="00594535" w:rsidRDefault="00D4086A" w:rsidP="00D4086A">
      <w:pPr>
        <w:tabs>
          <w:tab w:val="left" w:pos="954"/>
          <w:tab w:val="left" w:pos="2188"/>
        </w:tabs>
        <w:autoSpaceDE w:val="0"/>
        <w:autoSpaceDN w:val="0"/>
        <w:adjustRightInd w:val="0"/>
        <w:jc w:val="both"/>
        <w:rPr>
          <w:rFonts w:ascii="Arial" w:hAnsi="Arial" w:cs="Arial"/>
          <w:b/>
          <w:i/>
          <w:sz w:val="24"/>
          <w:szCs w:val="24"/>
        </w:rPr>
      </w:pPr>
      <w:r w:rsidRPr="00594535">
        <w:rPr>
          <w:rFonts w:ascii="Arial" w:hAnsi="Arial" w:cs="Arial"/>
          <w:b/>
          <w:sz w:val="24"/>
          <w:szCs w:val="24"/>
        </w:rPr>
        <w:t>VIII.1.5.</w:t>
      </w:r>
      <w:r w:rsidRPr="00594535">
        <w:rPr>
          <w:rFonts w:ascii="Arial" w:hAnsi="Arial" w:cs="Arial"/>
          <w:b/>
          <w:i/>
          <w:sz w:val="24"/>
          <w:szCs w:val="24"/>
        </w:rPr>
        <w:t xml:space="preserve"> Schimbările climatice și efectele asupra mediului urban, sănătății și calității vieții</w:t>
      </w:r>
    </w:p>
    <w:p w:rsidR="00D4086A" w:rsidRPr="00594535" w:rsidRDefault="00D4086A" w:rsidP="00D4086A">
      <w:pPr>
        <w:jc w:val="both"/>
        <w:rPr>
          <w:rFonts w:ascii="Arial" w:hAnsi="Arial" w:cs="Arial"/>
          <w:sz w:val="24"/>
          <w:szCs w:val="24"/>
          <w:lang w:val="en-US"/>
        </w:rPr>
      </w:pPr>
      <w:r w:rsidRPr="00594535">
        <w:rPr>
          <w:rFonts w:ascii="Arial" w:hAnsi="Arial" w:cs="Arial"/>
          <w:b/>
          <w:sz w:val="24"/>
          <w:szCs w:val="24"/>
          <w:lang w:val="en-US"/>
        </w:rPr>
        <w:t>Schimbarea vremii – Impact direct şi indirect asupra sănătăţii umane</w:t>
      </w:r>
    </w:p>
    <w:p w:rsidR="00D4086A" w:rsidRDefault="00D4086A" w:rsidP="00D4086A">
      <w:pPr>
        <w:jc w:val="both"/>
        <w:rPr>
          <w:rFonts w:ascii="Arial" w:hAnsi="Arial" w:cs="Arial"/>
          <w:sz w:val="24"/>
          <w:szCs w:val="24"/>
          <w:lang w:val="en-US"/>
        </w:rPr>
      </w:pPr>
      <w:r w:rsidRPr="004E720D">
        <w:rPr>
          <w:rFonts w:ascii="Arial" w:hAnsi="Arial" w:cs="Arial"/>
          <w:sz w:val="24"/>
          <w:szCs w:val="24"/>
          <w:lang w:val="en-US"/>
        </w:rPr>
        <w:t xml:space="preserve">Tabelul nr.VIII. </w:t>
      </w:r>
      <w:r w:rsidRPr="004E720D">
        <w:rPr>
          <w:rFonts w:ascii="Arial" w:hAnsi="Arial" w:cs="Arial"/>
          <w:sz w:val="24"/>
          <w:szCs w:val="24"/>
        </w:rPr>
        <w:t>1.5.-1</w:t>
      </w:r>
      <w:r w:rsidRPr="00594535">
        <w:rPr>
          <w:rFonts w:ascii="Arial" w:hAnsi="Arial" w:cs="Arial"/>
          <w:sz w:val="24"/>
          <w:szCs w:val="24"/>
          <w:lang w:val="en-US"/>
        </w:rPr>
        <w:t xml:space="preserve"> </w:t>
      </w:r>
      <w:r w:rsidRPr="006A799D">
        <w:rPr>
          <w:rFonts w:ascii="Arial" w:hAnsi="Arial" w:cs="Arial"/>
          <w:sz w:val="24"/>
          <w:szCs w:val="24"/>
          <w:lang w:val="en-US"/>
        </w:rPr>
        <w:t>C</w:t>
      </w:r>
      <w:r w:rsidRPr="006A799D">
        <w:rPr>
          <w:rFonts w:ascii="Arial" w:hAnsi="Arial" w:cs="Arial"/>
          <w:sz w:val="24"/>
          <w:szCs w:val="24"/>
        </w:rPr>
        <w:t>antități anuale și lunare de</w:t>
      </w:r>
      <w:r w:rsidRPr="006A799D">
        <w:rPr>
          <w:rFonts w:ascii="Arial" w:hAnsi="Arial" w:cs="Arial"/>
          <w:sz w:val="24"/>
          <w:szCs w:val="24"/>
          <w:lang w:val="en-US"/>
        </w:rPr>
        <w:t xml:space="preserve"> precipitaţii</w:t>
      </w:r>
      <w:r w:rsidRPr="00594535">
        <w:rPr>
          <w:rFonts w:ascii="Arial" w:hAnsi="Arial" w:cs="Arial"/>
          <w:sz w:val="24"/>
          <w:szCs w:val="24"/>
          <w:lang w:val="en-US"/>
        </w:rPr>
        <w:t xml:space="preserve"> (mm) înregistrate la staţia meteorologică  </w:t>
      </w:r>
      <w:r w:rsidR="00217620">
        <w:rPr>
          <w:rFonts w:ascii="Arial" w:hAnsi="Arial" w:cs="Arial"/>
          <w:sz w:val="24"/>
          <w:szCs w:val="24"/>
          <w:lang w:val="en-US"/>
        </w:rPr>
        <w:t>Brăila</w:t>
      </w:r>
      <w:r w:rsidRPr="00594535">
        <w:rPr>
          <w:rFonts w:ascii="Arial" w:hAnsi="Arial" w:cs="Arial"/>
          <w:sz w:val="24"/>
          <w:szCs w:val="24"/>
          <w:lang w:val="en-US"/>
        </w:rPr>
        <w:t xml:space="preserve"> în perioada 2011 </w:t>
      </w:r>
      <w:r>
        <w:rPr>
          <w:rFonts w:ascii="Arial" w:hAnsi="Arial" w:cs="Arial"/>
          <w:sz w:val="24"/>
          <w:szCs w:val="24"/>
          <w:lang w:val="en-US"/>
        </w:rPr>
        <w:t>–</w:t>
      </w:r>
      <w:r w:rsidRPr="00594535">
        <w:rPr>
          <w:rFonts w:ascii="Arial" w:hAnsi="Arial" w:cs="Arial"/>
          <w:sz w:val="24"/>
          <w:szCs w:val="24"/>
          <w:lang w:val="en-US"/>
        </w:rPr>
        <w:t xml:space="preserve"> 201</w:t>
      </w:r>
      <w:r>
        <w:rPr>
          <w:rFonts w:ascii="Arial" w:hAnsi="Arial" w:cs="Arial"/>
          <w:sz w:val="24"/>
          <w:szCs w:val="24"/>
          <w:lang w:val="en-US"/>
        </w:rPr>
        <w:t xml:space="preserve">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54"/>
        <w:gridCol w:w="643"/>
        <w:gridCol w:w="644"/>
        <w:gridCol w:w="644"/>
        <w:gridCol w:w="644"/>
        <w:gridCol w:w="765"/>
        <w:gridCol w:w="644"/>
        <w:gridCol w:w="644"/>
        <w:gridCol w:w="644"/>
        <w:gridCol w:w="644"/>
        <w:gridCol w:w="644"/>
        <w:gridCol w:w="644"/>
        <w:gridCol w:w="765"/>
      </w:tblGrid>
      <w:tr w:rsidR="00D4086A" w:rsidRPr="009A7486" w:rsidTr="0033527B">
        <w:tc>
          <w:tcPr>
            <w:tcW w:w="675" w:type="dxa"/>
            <w:tcBorders>
              <w:bottom w:val="nil"/>
            </w:tcBorders>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An</w:t>
            </w:r>
          </w:p>
        </w:tc>
        <w:tc>
          <w:tcPr>
            <w:tcW w:w="1354" w:type="dxa"/>
            <w:tcBorders>
              <w:bottom w:val="nil"/>
            </w:tcBorders>
            <w:shd w:val="clear" w:color="auto" w:fill="FBD4B4"/>
            <w:vAlign w:val="center"/>
          </w:tcPr>
          <w:p w:rsidR="00D4086A" w:rsidRPr="006A799D" w:rsidRDefault="00D4086A" w:rsidP="0033527B">
            <w:pPr>
              <w:rPr>
                <w:rFonts w:ascii="Arial" w:hAnsi="Arial" w:cs="Arial"/>
                <w:lang w:val="en-US"/>
              </w:rPr>
            </w:pPr>
            <w:r w:rsidRPr="006A799D">
              <w:rPr>
                <w:rFonts w:ascii="Arial" w:hAnsi="Arial" w:cs="Arial"/>
                <w:lang w:val="en-US"/>
              </w:rPr>
              <w:t>Cantitatea medie anuală de precipitaţii (mm)</w:t>
            </w:r>
          </w:p>
        </w:tc>
        <w:tc>
          <w:tcPr>
            <w:tcW w:w="7969" w:type="dxa"/>
            <w:gridSpan w:val="12"/>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Cantitaţi lunare de precipitaţii (mm)</w:t>
            </w:r>
          </w:p>
        </w:tc>
      </w:tr>
      <w:tr w:rsidR="00D4086A" w:rsidRPr="009A7486" w:rsidTr="0033527B">
        <w:trPr>
          <w:trHeight w:val="79"/>
        </w:trPr>
        <w:tc>
          <w:tcPr>
            <w:tcW w:w="675" w:type="dxa"/>
            <w:tcBorders>
              <w:top w:val="nil"/>
            </w:tcBorders>
            <w:shd w:val="clear" w:color="auto" w:fill="FBD4B4"/>
            <w:vAlign w:val="center"/>
          </w:tcPr>
          <w:p w:rsidR="00D4086A" w:rsidRPr="006A799D" w:rsidRDefault="00D4086A" w:rsidP="0033527B">
            <w:pPr>
              <w:jc w:val="both"/>
              <w:rPr>
                <w:rFonts w:ascii="Arial" w:hAnsi="Arial" w:cs="Arial"/>
                <w:lang w:val="en-US"/>
              </w:rPr>
            </w:pPr>
          </w:p>
        </w:tc>
        <w:tc>
          <w:tcPr>
            <w:tcW w:w="1354" w:type="dxa"/>
            <w:tcBorders>
              <w:top w:val="nil"/>
            </w:tcBorders>
            <w:shd w:val="clear" w:color="auto" w:fill="FBD4B4"/>
            <w:vAlign w:val="center"/>
          </w:tcPr>
          <w:p w:rsidR="00D4086A" w:rsidRPr="006A799D" w:rsidRDefault="00D4086A" w:rsidP="0033527B">
            <w:pPr>
              <w:jc w:val="both"/>
              <w:rPr>
                <w:rFonts w:ascii="Arial" w:hAnsi="Arial" w:cs="Arial"/>
                <w:lang w:val="en-US"/>
              </w:rPr>
            </w:pPr>
          </w:p>
        </w:tc>
        <w:tc>
          <w:tcPr>
            <w:tcW w:w="643"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ian</w:t>
            </w:r>
          </w:p>
        </w:tc>
        <w:tc>
          <w:tcPr>
            <w:tcW w:w="644"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feb</w:t>
            </w:r>
          </w:p>
        </w:tc>
        <w:tc>
          <w:tcPr>
            <w:tcW w:w="644"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mar</w:t>
            </w:r>
          </w:p>
        </w:tc>
        <w:tc>
          <w:tcPr>
            <w:tcW w:w="644"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apr</w:t>
            </w:r>
          </w:p>
        </w:tc>
        <w:tc>
          <w:tcPr>
            <w:tcW w:w="765"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mai</w:t>
            </w:r>
          </w:p>
        </w:tc>
        <w:tc>
          <w:tcPr>
            <w:tcW w:w="644"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iun</w:t>
            </w:r>
          </w:p>
        </w:tc>
        <w:tc>
          <w:tcPr>
            <w:tcW w:w="644"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iul</w:t>
            </w:r>
          </w:p>
        </w:tc>
        <w:tc>
          <w:tcPr>
            <w:tcW w:w="644"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aug</w:t>
            </w:r>
          </w:p>
        </w:tc>
        <w:tc>
          <w:tcPr>
            <w:tcW w:w="644"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sep</w:t>
            </w:r>
          </w:p>
        </w:tc>
        <w:tc>
          <w:tcPr>
            <w:tcW w:w="644"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oct</w:t>
            </w:r>
          </w:p>
        </w:tc>
        <w:tc>
          <w:tcPr>
            <w:tcW w:w="644"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noe</w:t>
            </w:r>
          </w:p>
        </w:tc>
        <w:tc>
          <w:tcPr>
            <w:tcW w:w="765" w:type="dxa"/>
            <w:shd w:val="clear" w:color="auto" w:fill="FBD4B4"/>
            <w:vAlign w:val="center"/>
          </w:tcPr>
          <w:p w:rsidR="00D4086A" w:rsidRPr="006A799D" w:rsidRDefault="00D4086A" w:rsidP="0033527B">
            <w:pPr>
              <w:jc w:val="both"/>
              <w:rPr>
                <w:rFonts w:ascii="Arial" w:hAnsi="Arial" w:cs="Arial"/>
                <w:lang w:val="en-US"/>
              </w:rPr>
            </w:pPr>
            <w:r w:rsidRPr="006A799D">
              <w:rPr>
                <w:rFonts w:ascii="Arial" w:hAnsi="Arial" w:cs="Arial"/>
                <w:lang w:val="en-US"/>
              </w:rPr>
              <w:t>dec</w:t>
            </w:r>
          </w:p>
        </w:tc>
      </w:tr>
      <w:tr w:rsidR="00D4086A" w:rsidRPr="009A7486" w:rsidTr="0033527B">
        <w:tc>
          <w:tcPr>
            <w:tcW w:w="67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2011</w:t>
            </w:r>
          </w:p>
        </w:tc>
        <w:tc>
          <w:tcPr>
            <w:tcW w:w="135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365,5</w:t>
            </w:r>
          </w:p>
        </w:tc>
        <w:tc>
          <w:tcPr>
            <w:tcW w:w="643"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41,3</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21</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1,5</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71,2</w:t>
            </w:r>
          </w:p>
        </w:tc>
        <w:tc>
          <w:tcPr>
            <w:tcW w:w="76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40</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54,4</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39,4</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30,7</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2,4</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31,4</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0,8</w:t>
            </w:r>
          </w:p>
        </w:tc>
        <w:tc>
          <w:tcPr>
            <w:tcW w:w="76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22,4</w:t>
            </w:r>
          </w:p>
        </w:tc>
      </w:tr>
      <w:tr w:rsidR="00D4086A" w:rsidRPr="009A7486" w:rsidTr="0033527B">
        <w:tc>
          <w:tcPr>
            <w:tcW w:w="67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2012</w:t>
            </w:r>
          </w:p>
        </w:tc>
        <w:tc>
          <w:tcPr>
            <w:tcW w:w="135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633,1</w:t>
            </w:r>
          </w:p>
        </w:tc>
        <w:tc>
          <w:tcPr>
            <w:tcW w:w="643"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70,2</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40,1</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39,4</w:t>
            </w:r>
          </w:p>
        </w:tc>
        <w:tc>
          <w:tcPr>
            <w:tcW w:w="76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136,6</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51,2</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23,5</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74</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35</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28,9</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22,8</w:t>
            </w:r>
          </w:p>
        </w:tc>
        <w:tc>
          <w:tcPr>
            <w:tcW w:w="76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107,4</w:t>
            </w:r>
          </w:p>
        </w:tc>
      </w:tr>
      <w:tr w:rsidR="00D4086A" w:rsidRPr="009A7486" w:rsidTr="0033527B">
        <w:tc>
          <w:tcPr>
            <w:tcW w:w="67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lastRenderedPageBreak/>
              <w:t>2013</w:t>
            </w:r>
          </w:p>
        </w:tc>
        <w:tc>
          <w:tcPr>
            <w:tcW w:w="135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491,8</w:t>
            </w:r>
          </w:p>
        </w:tc>
        <w:tc>
          <w:tcPr>
            <w:tcW w:w="643"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66,2</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46,1</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31,3</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16,4</w:t>
            </w:r>
          </w:p>
        </w:tc>
        <w:tc>
          <w:tcPr>
            <w:tcW w:w="76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55,9</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43,7</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48,6</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26,6</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60,4</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74,4</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20,1</w:t>
            </w:r>
          </w:p>
        </w:tc>
        <w:tc>
          <w:tcPr>
            <w:tcW w:w="76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2,1</w:t>
            </w:r>
          </w:p>
        </w:tc>
      </w:tr>
      <w:tr w:rsidR="00D4086A" w:rsidRPr="009A7486" w:rsidTr="0033527B">
        <w:tc>
          <w:tcPr>
            <w:tcW w:w="67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2014</w:t>
            </w:r>
          </w:p>
        </w:tc>
        <w:tc>
          <w:tcPr>
            <w:tcW w:w="135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479,3</w:t>
            </w:r>
          </w:p>
        </w:tc>
        <w:tc>
          <w:tcPr>
            <w:tcW w:w="643"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62,5</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6,1</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40</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43,2</w:t>
            </w:r>
          </w:p>
        </w:tc>
        <w:tc>
          <w:tcPr>
            <w:tcW w:w="76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52,5</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47,8</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27</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16,6</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13</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53,6</w:t>
            </w:r>
          </w:p>
        </w:tc>
        <w:tc>
          <w:tcPr>
            <w:tcW w:w="644"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56,2</w:t>
            </w:r>
          </w:p>
        </w:tc>
        <w:tc>
          <w:tcPr>
            <w:tcW w:w="765" w:type="dxa"/>
            <w:shd w:val="clear" w:color="auto" w:fill="FDE9D9"/>
            <w:vAlign w:val="center"/>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60,8</w:t>
            </w:r>
          </w:p>
        </w:tc>
      </w:tr>
      <w:tr w:rsidR="00D4086A" w:rsidRPr="009A7486" w:rsidTr="0033527B">
        <w:tc>
          <w:tcPr>
            <w:tcW w:w="675" w:type="dxa"/>
            <w:shd w:val="clear" w:color="auto" w:fill="FDE9D9"/>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2015</w:t>
            </w:r>
          </w:p>
        </w:tc>
        <w:tc>
          <w:tcPr>
            <w:tcW w:w="135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525.6</w:t>
            </w:r>
          </w:p>
        </w:tc>
        <w:tc>
          <w:tcPr>
            <w:tcW w:w="643"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27.1</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39.9</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83.0</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27.6</w:t>
            </w:r>
          </w:p>
        </w:tc>
        <w:tc>
          <w:tcPr>
            <w:tcW w:w="765"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11.2</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63.8</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20.6</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39.2</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35.2</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87.0</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89.2</w:t>
            </w:r>
          </w:p>
        </w:tc>
        <w:tc>
          <w:tcPr>
            <w:tcW w:w="765"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1.8</w:t>
            </w:r>
          </w:p>
        </w:tc>
      </w:tr>
      <w:tr w:rsidR="00D4086A" w:rsidRPr="009A7486" w:rsidTr="0033527B">
        <w:tc>
          <w:tcPr>
            <w:tcW w:w="675" w:type="dxa"/>
            <w:shd w:val="clear" w:color="auto" w:fill="FDE9D9"/>
          </w:tcPr>
          <w:p w:rsidR="00D4086A" w:rsidRPr="006A799D" w:rsidRDefault="00D4086A" w:rsidP="0033527B">
            <w:pPr>
              <w:jc w:val="both"/>
              <w:rPr>
                <w:rFonts w:ascii="Arial" w:hAnsi="Arial" w:cs="Arial"/>
                <w:sz w:val="20"/>
                <w:szCs w:val="20"/>
                <w:lang w:val="en-US"/>
              </w:rPr>
            </w:pPr>
            <w:r w:rsidRPr="006A799D">
              <w:rPr>
                <w:rFonts w:ascii="Arial" w:hAnsi="Arial" w:cs="Arial"/>
                <w:sz w:val="20"/>
                <w:szCs w:val="20"/>
                <w:lang w:val="en-US"/>
              </w:rPr>
              <w:t>2016</w:t>
            </w:r>
          </w:p>
        </w:tc>
        <w:tc>
          <w:tcPr>
            <w:tcW w:w="135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553,7</w:t>
            </w:r>
          </w:p>
        </w:tc>
        <w:tc>
          <w:tcPr>
            <w:tcW w:w="643"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44,2</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6,4</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58</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48,4</w:t>
            </w:r>
          </w:p>
        </w:tc>
        <w:tc>
          <w:tcPr>
            <w:tcW w:w="765"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46</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85,4</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1,2</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48,2</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29,2</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127</w:t>
            </w:r>
          </w:p>
        </w:tc>
        <w:tc>
          <w:tcPr>
            <w:tcW w:w="644"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56,6</w:t>
            </w:r>
          </w:p>
        </w:tc>
        <w:tc>
          <w:tcPr>
            <w:tcW w:w="765" w:type="dxa"/>
            <w:shd w:val="clear" w:color="auto" w:fill="FDE9D9"/>
            <w:vAlign w:val="bottom"/>
          </w:tcPr>
          <w:p w:rsidR="00D4086A" w:rsidRPr="006A799D" w:rsidRDefault="00D4086A" w:rsidP="0033527B">
            <w:pPr>
              <w:jc w:val="both"/>
              <w:rPr>
                <w:rFonts w:ascii="Arial" w:hAnsi="Arial" w:cs="Arial"/>
                <w:sz w:val="20"/>
                <w:szCs w:val="20"/>
              </w:rPr>
            </w:pPr>
            <w:r w:rsidRPr="006A799D">
              <w:rPr>
                <w:rFonts w:ascii="Arial" w:hAnsi="Arial" w:cs="Arial"/>
                <w:sz w:val="20"/>
                <w:szCs w:val="20"/>
              </w:rPr>
              <w:t>3,1</w:t>
            </w:r>
          </w:p>
        </w:tc>
      </w:tr>
    </w:tbl>
    <w:p w:rsidR="00D4086A" w:rsidRPr="006A799D" w:rsidRDefault="00D4086A" w:rsidP="00D4086A">
      <w:pPr>
        <w:jc w:val="both"/>
        <w:rPr>
          <w:rFonts w:ascii="Arial" w:hAnsi="Arial" w:cs="Arial"/>
          <w:b/>
          <w:sz w:val="20"/>
          <w:szCs w:val="20"/>
          <w:lang w:val="en-US"/>
        </w:rPr>
      </w:pPr>
      <w:r w:rsidRPr="006A799D">
        <w:rPr>
          <w:rFonts w:ascii="Arial" w:hAnsi="Arial" w:cs="Arial"/>
          <w:b/>
          <w:sz w:val="20"/>
          <w:szCs w:val="20"/>
          <w:lang w:val="en-US"/>
        </w:rPr>
        <w:t>Notă : Date furnizate de către administrația națională de meteorologie</w:t>
      </w:r>
    </w:p>
    <w:p w:rsidR="00D4086A" w:rsidRPr="00594535" w:rsidRDefault="00D4086A" w:rsidP="00387899">
      <w:pPr>
        <w:spacing w:after="0" w:line="240" w:lineRule="auto"/>
        <w:jc w:val="both"/>
        <w:rPr>
          <w:rFonts w:ascii="Arial" w:hAnsi="Arial" w:cs="Arial"/>
          <w:sz w:val="24"/>
          <w:szCs w:val="24"/>
        </w:rPr>
      </w:pPr>
      <w:r w:rsidRPr="004E720D">
        <w:rPr>
          <w:rFonts w:ascii="Arial" w:hAnsi="Arial" w:cs="Arial"/>
          <w:sz w:val="24"/>
          <w:szCs w:val="24"/>
          <w:lang w:val="en-US"/>
        </w:rPr>
        <w:t xml:space="preserve">Tabelul nr. VIII. </w:t>
      </w:r>
      <w:r w:rsidRPr="004E720D">
        <w:rPr>
          <w:rFonts w:ascii="Arial" w:hAnsi="Arial" w:cs="Arial"/>
          <w:sz w:val="24"/>
          <w:szCs w:val="24"/>
        </w:rPr>
        <w:t>1.5.- 2</w:t>
      </w:r>
      <w:r w:rsidRPr="004E720D">
        <w:rPr>
          <w:rFonts w:ascii="Arial" w:hAnsi="Arial" w:cs="Arial"/>
          <w:sz w:val="24"/>
          <w:szCs w:val="24"/>
          <w:lang w:val="en-US"/>
        </w:rPr>
        <w:t xml:space="preserve"> </w:t>
      </w:r>
      <w:r w:rsidRPr="004E720D">
        <w:rPr>
          <w:rFonts w:ascii="Arial" w:hAnsi="Arial" w:cs="Arial"/>
          <w:sz w:val="24"/>
          <w:szCs w:val="24"/>
        </w:rPr>
        <w:t>Temperatura</w:t>
      </w:r>
      <w:r w:rsidRPr="00594535">
        <w:rPr>
          <w:rFonts w:ascii="Arial" w:hAnsi="Arial" w:cs="Arial"/>
          <w:sz w:val="24"/>
          <w:szCs w:val="24"/>
        </w:rPr>
        <w:t xml:space="preserve"> medie multianuală (1975 – 2000) şi temperatura medie anuală a aerului (ºC) din perioada 2011 – 201</w:t>
      </w:r>
      <w:r>
        <w:rPr>
          <w:rFonts w:ascii="Arial" w:hAnsi="Arial" w:cs="Arial"/>
          <w:sz w:val="24"/>
          <w:szCs w:val="24"/>
        </w:rPr>
        <w:t>6</w:t>
      </w:r>
      <w:r w:rsidRPr="00594535">
        <w:rPr>
          <w:rFonts w:ascii="Arial" w:hAnsi="Arial" w:cs="Arial"/>
          <w:sz w:val="24"/>
          <w:szCs w:val="24"/>
        </w:rPr>
        <w:t xml:space="preserve">, de la staţia meteorologică  </w:t>
      </w:r>
      <w:r w:rsidR="00217620">
        <w:rPr>
          <w:rFonts w:ascii="Arial" w:hAnsi="Arial" w:cs="Arial"/>
          <w:sz w:val="24"/>
          <w:szCs w:val="24"/>
        </w:rPr>
        <w:t>Brăila</w:t>
      </w:r>
    </w:p>
    <w:tbl>
      <w:tblPr>
        <w:tblW w:w="8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1079"/>
        <w:gridCol w:w="1361"/>
        <w:gridCol w:w="850"/>
        <w:gridCol w:w="851"/>
        <w:gridCol w:w="992"/>
        <w:gridCol w:w="992"/>
        <w:gridCol w:w="992"/>
        <w:gridCol w:w="992"/>
      </w:tblGrid>
      <w:tr w:rsidR="00D4086A" w:rsidRPr="0090130C" w:rsidTr="0033527B">
        <w:trPr>
          <w:jc w:val="center"/>
        </w:trPr>
        <w:tc>
          <w:tcPr>
            <w:tcW w:w="1079" w:type="dxa"/>
            <w:shd w:val="clear" w:color="auto" w:fill="FDE9D9"/>
            <w:vAlign w:val="center"/>
          </w:tcPr>
          <w:p w:rsidR="00D4086A" w:rsidRPr="0090130C" w:rsidRDefault="00D4086A" w:rsidP="00387899">
            <w:pPr>
              <w:spacing w:after="0"/>
              <w:jc w:val="both"/>
              <w:rPr>
                <w:rFonts w:ascii="Arial" w:hAnsi="Arial" w:cs="Arial"/>
                <w:b/>
                <w:sz w:val="24"/>
                <w:szCs w:val="24"/>
              </w:rPr>
            </w:pPr>
          </w:p>
        </w:tc>
        <w:tc>
          <w:tcPr>
            <w:tcW w:w="1361" w:type="dxa"/>
            <w:shd w:val="clear" w:color="auto" w:fill="FDE9D9"/>
            <w:vAlign w:val="center"/>
          </w:tcPr>
          <w:p w:rsidR="00D4086A" w:rsidRPr="0090130C" w:rsidRDefault="00D4086A" w:rsidP="00880E32">
            <w:pPr>
              <w:spacing w:after="0" w:line="240" w:lineRule="auto"/>
              <w:jc w:val="both"/>
              <w:rPr>
                <w:rFonts w:ascii="Arial" w:hAnsi="Arial" w:cs="Arial"/>
                <w:b/>
                <w:sz w:val="24"/>
                <w:szCs w:val="24"/>
              </w:rPr>
            </w:pPr>
            <w:r w:rsidRPr="0090130C">
              <w:rPr>
                <w:rFonts w:ascii="Arial" w:hAnsi="Arial" w:cs="Arial"/>
                <w:b/>
                <w:sz w:val="24"/>
                <w:szCs w:val="24"/>
              </w:rPr>
              <w:t xml:space="preserve">Media </w:t>
            </w:r>
          </w:p>
          <w:p w:rsidR="00D4086A" w:rsidRPr="0090130C" w:rsidRDefault="00D4086A" w:rsidP="00880E32">
            <w:pPr>
              <w:spacing w:after="0" w:line="240" w:lineRule="auto"/>
              <w:jc w:val="both"/>
              <w:rPr>
                <w:rFonts w:ascii="Arial" w:hAnsi="Arial" w:cs="Arial"/>
                <w:b/>
                <w:sz w:val="24"/>
                <w:szCs w:val="24"/>
              </w:rPr>
            </w:pPr>
            <w:r w:rsidRPr="0090130C">
              <w:rPr>
                <w:rFonts w:ascii="Arial" w:hAnsi="Arial" w:cs="Arial"/>
                <w:b/>
                <w:sz w:val="24"/>
                <w:szCs w:val="24"/>
              </w:rPr>
              <w:t>1975-2000</w:t>
            </w:r>
          </w:p>
        </w:tc>
        <w:tc>
          <w:tcPr>
            <w:tcW w:w="850"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2011</w:t>
            </w:r>
          </w:p>
        </w:tc>
        <w:tc>
          <w:tcPr>
            <w:tcW w:w="851"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2012</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2013</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2014</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2015</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Pr>
                <w:rFonts w:ascii="Arial" w:hAnsi="Arial" w:cs="Arial"/>
                <w:b/>
                <w:sz w:val="24"/>
                <w:szCs w:val="24"/>
              </w:rPr>
              <w:t>2016</w:t>
            </w:r>
          </w:p>
        </w:tc>
      </w:tr>
      <w:tr w:rsidR="00D4086A" w:rsidRPr="0090130C" w:rsidTr="0033527B">
        <w:trPr>
          <w:trHeight w:hRule="exact" w:val="397"/>
          <w:jc w:val="center"/>
        </w:trPr>
        <w:tc>
          <w:tcPr>
            <w:tcW w:w="1079" w:type="dxa"/>
            <w:shd w:val="clear" w:color="auto" w:fill="FDE9D9"/>
            <w:vAlign w:val="center"/>
          </w:tcPr>
          <w:p w:rsidR="00D4086A" w:rsidRPr="0090130C" w:rsidRDefault="00217620" w:rsidP="00880E32">
            <w:pPr>
              <w:spacing w:after="0"/>
              <w:jc w:val="both"/>
              <w:rPr>
                <w:rFonts w:ascii="Arial" w:hAnsi="Arial" w:cs="Arial"/>
                <w:sz w:val="24"/>
                <w:szCs w:val="24"/>
              </w:rPr>
            </w:pPr>
            <w:r>
              <w:rPr>
                <w:rFonts w:ascii="Arial" w:hAnsi="Arial" w:cs="Arial"/>
                <w:sz w:val="24"/>
                <w:szCs w:val="24"/>
              </w:rPr>
              <w:t>Brăila</w:t>
            </w:r>
          </w:p>
        </w:tc>
        <w:tc>
          <w:tcPr>
            <w:tcW w:w="1361" w:type="dxa"/>
            <w:shd w:val="clear" w:color="auto" w:fill="FDE9D9"/>
            <w:vAlign w:val="center"/>
          </w:tcPr>
          <w:p w:rsidR="00D4086A" w:rsidRPr="0090130C" w:rsidRDefault="00D4086A" w:rsidP="0033527B">
            <w:pPr>
              <w:jc w:val="both"/>
              <w:rPr>
                <w:rFonts w:ascii="Arial" w:hAnsi="Arial" w:cs="Arial"/>
                <w:sz w:val="24"/>
                <w:szCs w:val="24"/>
              </w:rPr>
            </w:pPr>
            <w:r w:rsidRPr="0090130C">
              <w:rPr>
                <w:rFonts w:ascii="Arial" w:hAnsi="Arial" w:cs="Arial"/>
                <w:sz w:val="24"/>
                <w:szCs w:val="24"/>
              </w:rPr>
              <w:t>10.7</w:t>
            </w:r>
          </w:p>
        </w:tc>
        <w:tc>
          <w:tcPr>
            <w:tcW w:w="850" w:type="dxa"/>
            <w:shd w:val="clear" w:color="auto" w:fill="FDE9D9"/>
            <w:vAlign w:val="center"/>
          </w:tcPr>
          <w:p w:rsidR="00D4086A" w:rsidRPr="0090130C" w:rsidRDefault="00D4086A" w:rsidP="0033527B">
            <w:pPr>
              <w:jc w:val="both"/>
              <w:rPr>
                <w:rFonts w:ascii="Arial" w:hAnsi="Arial" w:cs="Arial"/>
                <w:sz w:val="24"/>
                <w:szCs w:val="24"/>
              </w:rPr>
            </w:pPr>
            <w:r w:rsidRPr="0090130C">
              <w:rPr>
                <w:rFonts w:ascii="Arial" w:hAnsi="Arial" w:cs="Arial"/>
                <w:sz w:val="24"/>
                <w:szCs w:val="24"/>
              </w:rPr>
              <w:t>10.6</w:t>
            </w:r>
          </w:p>
        </w:tc>
        <w:tc>
          <w:tcPr>
            <w:tcW w:w="851" w:type="dxa"/>
            <w:shd w:val="clear" w:color="auto" w:fill="FDE9D9"/>
            <w:vAlign w:val="center"/>
          </w:tcPr>
          <w:p w:rsidR="00D4086A" w:rsidRPr="0090130C" w:rsidRDefault="00D4086A" w:rsidP="0033527B">
            <w:pPr>
              <w:jc w:val="both"/>
              <w:rPr>
                <w:rFonts w:ascii="Arial" w:hAnsi="Arial" w:cs="Arial"/>
                <w:sz w:val="24"/>
                <w:szCs w:val="24"/>
              </w:rPr>
            </w:pPr>
            <w:r w:rsidRPr="0090130C">
              <w:rPr>
                <w:rFonts w:ascii="Arial" w:hAnsi="Arial" w:cs="Arial"/>
                <w:sz w:val="24"/>
                <w:szCs w:val="24"/>
              </w:rPr>
              <w:t>-</w:t>
            </w:r>
          </w:p>
        </w:tc>
        <w:tc>
          <w:tcPr>
            <w:tcW w:w="992" w:type="dxa"/>
            <w:shd w:val="clear" w:color="auto" w:fill="FDE9D9"/>
            <w:vAlign w:val="center"/>
          </w:tcPr>
          <w:p w:rsidR="00D4086A" w:rsidRPr="0090130C" w:rsidRDefault="00D4086A" w:rsidP="0033527B">
            <w:pPr>
              <w:jc w:val="both"/>
              <w:rPr>
                <w:rFonts w:ascii="Arial" w:hAnsi="Arial" w:cs="Arial"/>
                <w:sz w:val="24"/>
                <w:szCs w:val="24"/>
              </w:rPr>
            </w:pPr>
            <w:r w:rsidRPr="0090130C">
              <w:rPr>
                <w:rFonts w:ascii="Arial" w:hAnsi="Arial" w:cs="Arial"/>
                <w:sz w:val="24"/>
                <w:szCs w:val="24"/>
              </w:rPr>
              <w:t>-</w:t>
            </w:r>
          </w:p>
        </w:tc>
        <w:tc>
          <w:tcPr>
            <w:tcW w:w="992" w:type="dxa"/>
            <w:shd w:val="clear" w:color="auto" w:fill="FDE9D9"/>
          </w:tcPr>
          <w:p w:rsidR="00D4086A" w:rsidRPr="0090130C" w:rsidRDefault="00D4086A" w:rsidP="0033527B">
            <w:pPr>
              <w:jc w:val="both"/>
              <w:rPr>
                <w:rFonts w:ascii="Arial" w:hAnsi="Arial" w:cs="Arial"/>
                <w:sz w:val="24"/>
                <w:szCs w:val="24"/>
              </w:rPr>
            </w:pPr>
            <w:r w:rsidRPr="0090130C">
              <w:rPr>
                <w:rFonts w:ascii="Arial" w:hAnsi="Arial" w:cs="Arial"/>
                <w:sz w:val="24"/>
                <w:szCs w:val="24"/>
              </w:rPr>
              <w:t>-</w:t>
            </w:r>
          </w:p>
        </w:tc>
        <w:tc>
          <w:tcPr>
            <w:tcW w:w="992" w:type="dxa"/>
            <w:shd w:val="clear" w:color="auto" w:fill="FDE9D9"/>
          </w:tcPr>
          <w:p w:rsidR="00D4086A" w:rsidRPr="0090130C" w:rsidRDefault="00D4086A" w:rsidP="0033527B">
            <w:pPr>
              <w:jc w:val="both"/>
              <w:rPr>
                <w:rFonts w:ascii="Arial" w:hAnsi="Arial" w:cs="Arial"/>
                <w:sz w:val="24"/>
                <w:szCs w:val="24"/>
              </w:rPr>
            </w:pPr>
            <w:r w:rsidRPr="0090130C">
              <w:rPr>
                <w:rFonts w:ascii="Arial" w:hAnsi="Arial" w:cs="Arial"/>
                <w:sz w:val="24"/>
                <w:szCs w:val="24"/>
              </w:rPr>
              <w:t>12.3</w:t>
            </w:r>
          </w:p>
        </w:tc>
        <w:tc>
          <w:tcPr>
            <w:tcW w:w="992" w:type="dxa"/>
            <w:shd w:val="clear" w:color="auto" w:fill="FDE9D9"/>
          </w:tcPr>
          <w:p w:rsidR="00D4086A" w:rsidRPr="0090130C" w:rsidRDefault="00D4086A" w:rsidP="0033527B">
            <w:pPr>
              <w:jc w:val="both"/>
              <w:rPr>
                <w:rFonts w:ascii="Arial" w:hAnsi="Arial" w:cs="Arial"/>
                <w:sz w:val="24"/>
                <w:szCs w:val="24"/>
              </w:rPr>
            </w:pPr>
            <w:r>
              <w:rPr>
                <w:rFonts w:ascii="Arial" w:hAnsi="Arial" w:cs="Arial"/>
                <w:sz w:val="24"/>
                <w:szCs w:val="24"/>
              </w:rPr>
              <w:t>12,0</w:t>
            </w:r>
          </w:p>
        </w:tc>
      </w:tr>
    </w:tbl>
    <w:p w:rsidR="00D4086A" w:rsidRPr="00285A6D" w:rsidRDefault="00D4086A" w:rsidP="00D4086A">
      <w:pPr>
        <w:jc w:val="both"/>
        <w:rPr>
          <w:rFonts w:ascii="Arial" w:hAnsi="Arial" w:cs="Arial"/>
          <w:i/>
          <w:sz w:val="20"/>
          <w:szCs w:val="20"/>
        </w:rPr>
      </w:pPr>
      <w:r w:rsidRPr="00285A6D">
        <w:rPr>
          <w:rFonts w:ascii="Arial" w:hAnsi="Arial" w:cs="Arial"/>
          <w:b/>
          <w:i/>
          <w:sz w:val="20"/>
          <w:szCs w:val="20"/>
        </w:rPr>
        <w:t xml:space="preserve">Notă INMH </w:t>
      </w:r>
      <w:r w:rsidRPr="00285A6D">
        <w:rPr>
          <w:rFonts w:ascii="Arial" w:hAnsi="Arial" w:cs="Arial"/>
          <w:i/>
          <w:sz w:val="20"/>
          <w:szCs w:val="20"/>
        </w:rPr>
        <w:t>: pentru anul 2012 nu se poate calcula temperatura medie anuală a aerului deoarece lipsesc înregistrări în lunile iulie și octom</w:t>
      </w:r>
      <w:r w:rsidR="007C1699">
        <w:rPr>
          <w:rFonts w:ascii="Arial" w:hAnsi="Arial" w:cs="Arial"/>
          <w:i/>
          <w:sz w:val="20"/>
          <w:szCs w:val="20"/>
        </w:rPr>
        <w:t>BR</w:t>
      </w:r>
      <w:r w:rsidRPr="00285A6D">
        <w:rPr>
          <w:rFonts w:ascii="Arial" w:hAnsi="Arial" w:cs="Arial"/>
          <w:i/>
          <w:sz w:val="20"/>
          <w:szCs w:val="20"/>
        </w:rPr>
        <w:t xml:space="preserve">ie respectiv pentru anul 2013 lipsesc înregistrări în lunile iunie și iulie. </w:t>
      </w:r>
    </w:p>
    <w:p w:rsidR="00D4086A" w:rsidRPr="00594535" w:rsidRDefault="00D4086A" w:rsidP="004E720D">
      <w:pPr>
        <w:spacing w:after="0" w:line="240" w:lineRule="auto"/>
        <w:jc w:val="both"/>
        <w:rPr>
          <w:rFonts w:ascii="Arial" w:hAnsi="Arial" w:cs="Arial"/>
          <w:sz w:val="24"/>
          <w:szCs w:val="24"/>
        </w:rPr>
      </w:pPr>
      <w:r w:rsidRPr="004E720D">
        <w:rPr>
          <w:rFonts w:ascii="Arial" w:hAnsi="Arial" w:cs="Arial"/>
          <w:sz w:val="24"/>
          <w:szCs w:val="24"/>
          <w:lang w:val="en-US"/>
        </w:rPr>
        <w:t xml:space="preserve">Tabelul  nr. VIII. </w:t>
      </w:r>
      <w:r w:rsidRPr="004E720D">
        <w:rPr>
          <w:rFonts w:ascii="Arial" w:hAnsi="Arial" w:cs="Arial"/>
          <w:sz w:val="24"/>
          <w:szCs w:val="24"/>
        </w:rPr>
        <w:t>1.5. -</w:t>
      </w:r>
      <w:r w:rsidRPr="004E720D">
        <w:rPr>
          <w:rFonts w:ascii="Arial" w:hAnsi="Arial" w:cs="Arial"/>
          <w:sz w:val="24"/>
          <w:szCs w:val="24"/>
          <w:lang w:val="en-US"/>
        </w:rPr>
        <w:t xml:space="preserve"> </w:t>
      </w:r>
      <w:r w:rsidRPr="004E720D">
        <w:rPr>
          <w:rFonts w:ascii="Arial" w:hAnsi="Arial" w:cs="Arial"/>
          <w:sz w:val="24"/>
          <w:szCs w:val="24"/>
        </w:rPr>
        <w:t>3</w:t>
      </w:r>
      <w:r w:rsidRPr="00594535">
        <w:rPr>
          <w:rFonts w:ascii="Arial" w:hAnsi="Arial" w:cs="Arial"/>
          <w:sz w:val="24"/>
          <w:szCs w:val="24"/>
        </w:rPr>
        <w:t xml:space="preserve"> Temperatura maximă anuală din perioada 2011 – 201</w:t>
      </w:r>
      <w:r>
        <w:rPr>
          <w:rFonts w:ascii="Arial" w:hAnsi="Arial" w:cs="Arial"/>
          <w:sz w:val="24"/>
          <w:szCs w:val="24"/>
        </w:rPr>
        <w:t>6</w:t>
      </w:r>
      <w:r w:rsidRPr="00594535">
        <w:rPr>
          <w:rFonts w:ascii="Arial" w:hAnsi="Arial" w:cs="Arial"/>
          <w:sz w:val="24"/>
          <w:szCs w:val="24"/>
        </w:rPr>
        <w:t xml:space="preserve">, temperatura maximă absolută a aerului (ºC), respectiv data de producere a acestora, de la staţia meteorologică </w:t>
      </w:r>
      <w:r w:rsidR="00217620">
        <w:rPr>
          <w:rFonts w:ascii="Arial" w:hAnsi="Arial" w:cs="Arial"/>
          <w:sz w:val="24"/>
          <w:szCs w:val="24"/>
        </w:rPr>
        <w:t>Brăila</w:t>
      </w:r>
    </w:p>
    <w:tbl>
      <w:tblPr>
        <w:tblW w:w="8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1079"/>
        <w:gridCol w:w="1361"/>
        <w:gridCol w:w="850"/>
        <w:gridCol w:w="851"/>
        <w:gridCol w:w="992"/>
        <w:gridCol w:w="992"/>
        <w:gridCol w:w="992"/>
        <w:gridCol w:w="992"/>
      </w:tblGrid>
      <w:tr w:rsidR="00D4086A" w:rsidRPr="0090130C" w:rsidTr="0033527B">
        <w:trPr>
          <w:jc w:val="center"/>
        </w:trPr>
        <w:tc>
          <w:tcPr>
            <w:tcW w:w="1079" w:type="dxa"/>
            <w:shd w:val="clear" w:color="auto" w:fill="FDE9D9"/>
            <w:vAlign w:val="center"/>
          </w:tcPr>
          <w:p w:rsidR="00D4086A" w:rsidRPr="0090130C" w:rsidRDefault="00D4086A" w:rsidP="004E720D">
            <w:pPr>
              <w:spacing w:after="0"/>
              <w:jc w:val="both"/>
              <w:rPr>
                <w:rFonts w:ascii="Arial" w:hAnsi="Arial" w:cs="Arial"/>
                <w:sz w:val="24"/>
                <w:szCs w:val="24"/>
              </w:rPr>
            </w:pPr>
          </w:p>
        </w:tc>
        <w:tc>
          <w:tcPr>
            <w:tcW w:w="1361" w:type="dxa"/>
            <w:shd w:val="clear" w:color="auto" w:fill="FDE9D9"/>
            <w:vAlign w:val="center"/>
          </w:tcPr>
          <w:p w:rsidR="00D4086A" w:rsidRPr="0090130C" w:rsidRDefault="00D4086A" w:rsidP="00880E32">
            <w:pPr>
              <w:spacing w:after="0" w:line="240" w:lineRule="auto"/>
              <w:jc w:val="both"/>
              <w:rPr>
                <w:rFonts w:ascii="Arial" w:hAnsi="Arial" w:cs="Arial"/>
                <w:b/>
                <w:sz w:val="24"/>
                <w:szCs w:val="24"/>
              </w:rPr>
            </w:pPr>
            <w:r w:rsidRPr="0090130C">
              <w:rPr>
                <w:rFonts w:ascii="Arial" w:hAnsi="Arial" w:cs="Arial"/>
                <w:b/>
                <w:sz w:val="24"/>
                <w:szCs w:val="24"/>
              </w:rPr>
              <w:t>Maxima absolută</w:t>
            </w:r>
          </w:p>
        </w:tc>
        <w:tc>
          <w:tcPr>
            <w:tcW w:w="850"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2011</w:t>
            </w:r>
          </w:p>
        </w:tc>
        <w:tc>
          <w:tcPr>
            <w:tcW w:w="851"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2012</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2013</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2014</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2015</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Pr>
                <w:rFonts w:ascii="Arial" w:hAnsi="Arial" w:cs="Arial"/>
                <w:b/>
                <w:sz w:val="24"/>
                <w:szCs w:val="24"/>
              </w:rPr>
              <w:t>2016</w:t>
            </w:r>
          </w:p>
        </w:tc>
      </w:tr>
      <w:tr w:rsidR="00D4086A" w:rsidRPr="0090130C" w:rsidTr="0033527B">
        <w:trPr>
          <w:trHeight w:hRule="exact" w:val="849"/>
          <w:jc w:val="center"/>
        </w:trPr>
        <w:tc>
          <w:tcPr>
            <w:tcW w:w="1079" w:type="dxa"/>
            <w:shd w:val="clear" w:color="auto" w:fill="FDE9D9"/>
            <w:vAlign w:val="center"/>
          </w:tcPr>
          <w:p w:rsidR="00D4086A" w:rsidRPr="0090130C" w:rsidRDefault="00217620" w:rsidP="0033527B">
            <w:pPr>
              <w:jc w:val="both"/>
              <w:rPr>
                <w:rFonts w:ascii="Arial" w:hAnsi="Arial" w:cs="Arial"/>
                <w:sz w:val="24"/>
                <w:szCs w:val="24"/>
              </w:rPr>
            </w:pPr>
            <w:r>
              <w:rPr>
                <w:rFonts w:ascii="Arial" w:hAnsi="Arial" w:cs="Arial"/>
                <w:sz w:val="24"/>
                <w:szCs w:val="24"/>
              </w:rPr>
              <w:t>Brăila</w:t>
            </w:r>
          </w:p>
        </w:tc>
        <w:tc>
          <w:tcPr>
            <w:tcW w:w="1361" w:type="dxa"/>
            <w:shd w:val="clear" w:color="auto" w:fill="FDE9D9"/>
            <w:vAlign w:val="center"/>
          </w:tcPr>
          <w:p w:rsidR="00D4086A" w:rsidRPr="00E73A27" w:rsidRDefault="00D4086A" w:rsidP="0033527B">
            <w:pPr>
              <w:jc w:val="both"/>
              <w:rPr>
                <w:rFonts w:ascii="Arial" w:hAnsi="Arial" w:cs="Arial"/>
                <w:sz w:val="20"/>
                <w:szCs w:val="20"/>
              </w:rPr>
            </w:pPr>
            <w:r w:rsidRPr="00E73A27">
              <w:rPr>
                <w:rFonts w:ascii="Arial" w:hAnsi="Arial" w:cs="Arial"/>
                <w:sz w:val="20"/>
                <w:szCs w:val="20"/>
              </w:rPr>
              <w:t>41.1</w:t>
            </w:r>
          </w:p>
          <w:p w:rsidR="00D4086A" w:rsidRPr="00E73A27" w:rsidRDefault="00D4086A" w:rsidP="0033527B">
            <w:pPr>
              <w:jc w:val="both"/>
              <w:rPr>
                <w:rFonts w:ascii="Arial" w:hAnsi="Arial" w:cs="Arial"/>
                <w:sz w:val="20"/>
                <w:szCs w:val="20"/>
              </w:rPr>
            </w:pPr>
            <w:r w:rsidRPr="00E73A27">
              <w:rPr>
                <w:rFonts w:ascii="Arial" w:hAnsi="Arial" w:cs="Arial"/>
                <w:sz w:val="20"/>
                <w:szCs w:val="20"/>
              </w:rPr>
              <w:t>(23.07.2007)</w:t>
            </w:r>
          </w:p>
        </w:tc>
        <w:tc>
          <w:tcPr>
            <w:tcW w:w="850" w:type="dxa"/>
            <w:shd w:val="clear" w:color="auto" w:fill="FDE9D9"/>
            <w:vAlign w:val="center"/>
          </w:tcPr>
          <w:p w:rsidR="00D4086A" w:rsidRPr="00E73A27" w:rsidRDefault="00D4086A" w:rsidP="0033527B">
            <w:pPr>
              <w:jc w:val="both"/>
              <w:rPr>
                <w:rFonts w:ascii="Arial" w:hAnsi="Arial" w:cs="Arial"/>
                <w:sz w:val="20"/>
                <w:szCs w:val="20"/>
              </w:rPr>
            </w:pPr>
            <w:r w:rsidRPr="00E73A27">
              <w:rPr>
                <w:rFonts w:ascii="Arial" w:hAnsi="Arial" w:cs="Arial"/>
                <w:sz w:val="20"/>
                <w:szCs w:val="20"/>
              </w:rPr>
              <w:t>36.2/</w:t>
            </w:r>
          </w:p>
          <w:p w:rsidR="00D4086A" w:rsidRPr="00E73A27" w:rsidRDefault="00D4086A" w:rsidP="0033527B">
            <w:pPr>
              <w:jc w:val="both"/>
              <w:rPr>
                <w:rFonts w:ascii="Arial" w:hAnsi="Arial" w:cs="Arial"/>
                <w:sz w:val="20"/>
                <w:szCs w:val="20"/>
              </w:rPr>
            </w:pPr>
            <w:r w:rsidRPr="00E73A27">
              <w:rPr>
                <w:rFonts w:ascii="Arial" w:hAnsi="Arial" w:cs="Arial"/>
                <w:sz w:val="20"/>
                <w:szCs w:val="20"/>
              </w:rPr>
              <w:t>20.07</w:t>
            </w:r>
          </w:p>
        </w:tc>
        <w:tc>
          <w:tcPr>
            <w:tcW w:w="851" w:type="dxa"/>
            <w:shd w:val="clear" w:color="auto" w:fill="FDE9D9"/>
            <w:vAlign w:val="center"/>
          </w:tcPr>
          <w:p w:rsidR="00D4086A" w:rsidRPr="00E73A27" w:rsidRDefault="00D4086A" w:rsidP="0033527B">
            <w:pPr>
              <w:jc w:val="both"/>
              <w:rPr>
                <w:rFonts w:ascii="Arial" w:hAnsi="Arial" w:cs="Arial"/>
                <w:sz w:val="20"/>
                <w:szCs w:val="20"/>
              </w:rPr>
            </w:pPr>
            <w:r w:rsidRPr="00E73A27">
              <w:rPr>
                <w:rFonts w:ascii="Arial" w:hAnsi="Arial" w:cs="Arial"/>
                <w:sz w:val="20"/>
                <w:szCs w:val="20"/>
              </w:rPr>
              <w:t>40.1/</w:t>
            </w:r>
          </w:p>
          <w:p w:rsidR="00D4086A" w:rsidRPr="00E73A27" w:rsidRDefault="00D4086A" w:rsidP="0033527B">
            <w:pPr>
              <w:jc w:val="both"/>
              <w:rPr>
                <w:rFonts w:ascii="Arial" w:hAnsi="Arial" w:cs="Arial"/>
                <w:sz w:val="20"/>
                <w:szCs w:val="20"/>
              </w:rPr>
            </w:pPr>
            <w:r w:rsidRPr="00E73A27">
              <w:rPr>
                <w:rFonts w:ascii="Arial" w:hAnsi="Arial" w:cs="Arial"/>
                <w:sz w:val="20"/>
                <w:szCs w:val="20"/>
              </w:rPr>
              <w:t>07.08</w:t>
            </w:r>
          </w:p>
        </w:tc>
        <w:tc>
          <w:tcPr>
            <w:tcW w:w="992" w:type="dxa"/>
            <w:shd w:val="clear" w:color="auto" w:fill="FDE9D9"/>
            <w:vAlign w:val="center"/>
          </w:tcPr>
          <w:p w:rsidR="00D4086A" w:rsidRPr="00E73A27" w:rsidRDefault="00D4086A" w:rsidP="0033527B">
            <w:pPr>
              <w:jc w:val="both"/>
              <w:rPr>
                <w:rFonts w:ascii="Arial" w:hAnsi="Arial" w:cs="Arial"/>
                <w:sz w:val="20"/>
                <w:szCs w:val="20"/>
              </w:rPr>
            </w:pPr>
            <w:r w:rsidRPr="00E73A27">
              <w:rPr>
                <w:rFonts w:ascii="Arial" w:hAnsi="Arial" w:cs="Arial"/>
                <w:sz w:val="20"/>
                <w:szCs w:val="20"/>
              </w:rPr>
              <w:t>36.2/</w:t>
            </w:r>
          </w:p>
          <w:p w:rsidR="00D4086A" w:rsidRPr="00E73A27" w:rsidRDefault="00D4086A" w:rsidP="0033527B">
            <w:pPr>
              <w:jc w:val="both"/>
              <w:rPr>
                <w:rFonts w:ascii="Arial" w:hAnsi="Arial" w:cs="Arial"/>
                <w:sz w:val="20"/>
                <w:szCs w:val="20"/>
              </w:rPr>
            </w:pPr>
            <w:r w:rsidRPr="00E73A27">
              <w:rPr>
                <w:rFonts w:ascii="Arial" w:hAnsi="Arial" w:cs="Arial"/>
                <w:sz w:val="20"/>
                <w:szCs w:val="20"/>
              </w:rPr>
              <w:t>30.07</w:t>
            </w:r>
          </w:p>
        </w:tc>
        <w:tc>
          <w:tcPr>
            <w:tcW w:w="992" w:type="dxa"/>
            <w:shd w:val="clear" w:color="auto" w:fill="FDE9D9"/>
            <w:vAlign w:val="center"/>
          </w:tcPr>
          <w:p w:rsidR="00D4086A" w:rsidRPr="00E73A27" w:rsidRDefault="00D4086A" w:rsidP="0033527B">
            <w:pPr>
              <w:jc w:val="both"/>
              <w:rPr>
                <w:rFonts w:ascii="Arial" w:hAnsi="Arial" w:cs="Arial"/>
                <w:sz w:val="20"/>
                <w:szCs w:val="20"/>
              </w:rPr>
            </w:pPr>
            <w:r w:rsidRPr="00E73A27">
              <w:rPr>
                <w:rFonts w:ascii="Arial" w:hAnsi="Arial" w:cs="Arial"/>
                <w:sz w:val="20"/>
                <w:szCs w:val="20"/>
              </w:rPr>
              <w:t>36.6</w:t>
            </w:r>
            <w:r>
              <w:rPr>
                <w:rFonts w:ascii="Arial" w:hAnsi="Arial" w:cs="Arial"/>
                <w:sz w:val="20"/>
                <w:szCs w:val="20"/>
              </w:rPr>
              <w:t>/</w:t>
            </w:r>
          </w:p>
          <w:p w:rsidR="00D4086A" w:rsidRPr="00E73A27" w:rsidRDefault="00D4086A" w:rsidP="0033527B">
            <w:pPr>
              <w:jc w:val="both"/>
              <w:rPr>
                <w:rFonts w:ascii="Arial" w:hAnsi="Arial" w:cs="Arial"/>
                <w:sz w:val="20"/>
                <w:szCs w:val="20"/>
              </w:rPr>
            </w:pPr>
            <w:r w:rsidRPr="00E73A27">
              <w:rPr>
                <w:rFonts w:ascii="Arial" w:hAnsi="Arial" w:cs="Arial"/>
                <w:sz w:val="20"/>
                <w:szCs w:val="20"/>
              </w:rPr>
              <w:t>13.08</w:t>
            </w:r>
          </w:p>
        </w:tc>
        <w:tc>
          <w:tcPr>
            <w:tcW w:w="992" w:type="dxa"/>
            <w:shd w:val="clear" w:color="auto" w:fill="FDE9D9"/>
            <w:vAlign w:val="center"/>
          </w:tcPr>
          <w:p w:rsidR="00D4086A" w:rsidRPr="00E73A27" w:rsidRDefault="00D4086A" w:rsidP="0033527B">
            <w:pPr>
              <w:jc w:val="both"/>
              <w:rPr>
                <w:rFonts w:ascii="Arial" w:hAnsi="Arial" w:cs="Arial"/>
                <w:sz w:val="20"/>
                <w:szCs w:val="20"/>
              </w:rPr>
            </w:pPr>
            <w:r w:rsidRPr="00E73A27">
              <w:rPr>
                <w:rFonts w:ascii="Arial" w:hAnsi="Arial" w:cs="Arial"/>
                <w:sz w:val="20"/>
                <w:szCs w:val="20"/>
              </w:rPr>
              <w:t>37.9</w:t>
            </w:r>
            <w:r>
              <w:rPr>
                <w:rFonts w:ascii="Arial" w:hAnsi="Arial" w:cs="Arial"/>
                <w:sz w:val="20"/>
                <w:szCs w:val="20"/>
              </w:rPr>
              <w:t>/</w:t>
            </w:r>
          </w:p>
          <w:p w:rsidR="00D4086A" w:rsidRPr="00E73A27" w:rsidRDefault="00D4086A" w:rsidP="0033527B">
            <w:pPr>
              <w:jc w:val="both"/>
              <w:rPr>
                <w:rFonts w:ascii="Arial" w:hAnsi="Arial" w:cs="Arial"/>
                <w:sz w:val="20"/>
                <w:szCs w:val="20"/>
              </w:rPr>
            </w:pPr>
            <w:r w:rsidRPr="00E73A27">
              <w:rPr>
                <w:rFonts w:ascii="Arial" w:hAnsi="Arial" w:cs="Arial"/>
                <w:sz w:val="20"/>
                <w:szCs w:val="20"/>
              </w:rPr>
              <w:t>11.08</w:t>
            </w:r>
          </w:p>
        </w:tc>
        <w:tc>
          <w:tcPr>
            <w:tcW w:w="992" w:type="dxa"/>
            <w:shd w:val="clear" w:color="auto" w:fill="FDE9D9"/>
          </w:tcPr>
          <w:p w:rsidR="00D4086A" w:rsidRDefault="00D4086A" w:rsidP="0033527B">
            <w:pPr>
              <w:jc w:val="both"/>
              <w:rPr>
                <w:rFonts w:ascii="Arial" w:hAnsi="Arial" w:cs="Arial"/>
                <w:sz w:val="20"/>
                <w:szCs w:val="20"/>
              </w:rPr>
            </w:pPr>
            <w:r>
              <w:rPr>
                <w:rFonts w:ascii="Arial" w:hAnsi="Arial" w:cs="Arial"/>
                <w:sz w:val="20"/>
                <w:szCs w:val="20"/>
              </w:rPr>
              <w:t>36,9/</w:t>
            </w:r>
          </w:p>
          <w:p w:rsidR="00D4086A" w:rsidRPr="00E73A27" w:rsidRDefault="00D4086A" w:rsidP="0033527B">
            <w:pPr>
              <w:jc w:val="both"/>
              <w:rPr>
                <w:rFonts w:ascii="Arial" w:hAnsi="Arial" w:cs="Arial"/>
                <w:sz w:val="20"/>
                <w:szCs w:val="20"/>
              </w:rPr>
            </w:pPr>
            <w:r>
              <w:rPr>
                <w:rFonts w:ascii="Arial" w:hAnsi="Arial" w:cs="Arial"/>
                <w:sz w:val="20"/>
                <w:szCs w:val="20"/>
              </w:rPr>
              <w:t>21.06.</w:t>
            </w:r>
          </w:p>
        </w:tc>
      </w:tr>
    </w:tbl>
    <w:p w:rsidR="00D4086A" w:rsidRDefault="00D4086A" w:rsidP="00D4086A">
      <w:pPr>
        <w:jc w:val="both"/>
        <w:rPr>
          <w:rFonts w:ascii="Arial" w:hAnsi="Arial" w:cs="Arial"/>
          <w:sz w:val="24"/>
          <w:szCs w:val="24"/>
          <w:lang w:val="en-US"/>
        </w:rPr>
      </w:pPr>
    </w:p>
    <w:p w:rsidR="00D4086A" w:rsidRPr="008E1870" w:rsidRDefault="00D4086A" w:rsidP="00D4086A">
      <w:pPr>
        <w:jc w:val="both"/>
        <w:rPr>
          <w:rFonts w:ascii="Arial" w:hAnsi="Arial" w:cs="Arial"/>
          <w:b/>
          <w:sz w:val="24"/>
          <w:szCs w:val="24"/>
        </w:rPr>
      </w:pPr>
      <w:r w:rsidRPr="004E720D">
        <w:rPr>
          <w:rFonts w:ascii="Arial" w:hAnsi="Arial" w:cs="Arial"/>
          <w:sz w:val="24"/>
          <w:szCs w:val="24"/>
          <w:lang w:val="en-US"/>
        </w:rPr>
        <w:t xml:space="preserve">Tabelul  nr.VIII. </w:t>
      </w:r>
      <w:r w:rsidRPr="004E720D">
        <w:rPr>
          <w:rFonts w:ascii="Arial" w:hAnsi="Arial" w:cs="Arial"/>
          <w:sz w:val="24"/>
          <w:szCs w:val="24"/>
        </w:rPr>
        <w:t>1.5.</w:t>
      </w:r>
      <w:r w:rsidRPr="00594535">
        <w:rPr>
          <w:rFonts w:ascii="Arial" w:hAnsi="Arial" w:cs="Arial"/>
          <w:b/>
          <w:sz w:val="24"/>
          <w:szCs w:val="24"/>
        </w:rPr>
        <w:t xml:space="preserve"> -</w:t>
      </w:r>
      <w:r w:rsidRPr="00594535">
        <w:rPr>
          <w:rFonts w:ascii="Arial" w:hAnsi="Arial" w:cs="Arial"/>
          <w:sz w:val="24"/>
          <w:szCs w:val="24"/>
          <w:lang w:val="en-US"/>
        </w:rPr>
        <w:t xml:space="preserve"> </w:t>
      </w:r>
      <w:r w:rsidRPr="00594535">
        <w:rPr>
          <w:rFonts w:ascii="Arial" w:hAnsi="Arial" w:cs="Arial"/>
          <w:sz w:val="24"/>
          <w:szCs w:val="24"/>
        </w:rPr>
        <w:t>4 Cantitatea medie multianuală (1975 – 2000) şi cantitatea anuală de precipitaţii (mm) din perioada 2011 – 201</w:t>
      </w:r>
      <w:r>
        <w:rPr>
          <w:rFonts w:ascii="Arial" w:hAnsi="Arial" w:cs="Arial"/>
          <w:sz w:val="24"/>
          <w:szCs w:val="24"/>
        </w:rPr>
        <w:t>6</w:t>
      </w:r>
      <w:r w:rsidRPr="00594535">
        <w:rPr>
          <w:rFonts w:ascii="Arial" w:hAnsi="Arial" w:cs="Arial"/>
          <w:sz w:val="24"/>
          <w:szCs w:val="24"/>
        </w:rPr>
        <w:t xml:space="preserve">, de la staţia meteorologică </w:t>
      </w:r>
      <w:r w:rsidR="00217620">
        <w:rPr>
          <w:rFonts w:ascii="Arial" w:hAnsi="Arial" w:cs="Arial"/>
          <w:sz w:val="24"/>
          <w:szCs w:val="24"/>
        </w:rPr>
        <w:t>Brăila</w:t>
      </w:r>
      <w:r>
        <w:rPr>
          <w:rFonts w:ascii="Arial" w:hAnsi="Arial" w:cs="Arial"/>
          <w:sz w:val="24"/>
          <w:szCs w:val="24"/>
        </w:rPr>
        <w:t xml:space="preserve">                                                                                                      </w:t>
      </w:r>
      <w:r w:rsidRPr="008E1870">
        <w:rPr>
          <w:rFonts w:ascii="Arial" w:hAnsi="Arial" w:cs="Arial"/>
          <w:b/>
          <w:sz w:val="24"/>
          <w:szCs w:val="24"/>
        </w:rPr>
        <w:t>(mm)</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1526"/>
        <w:gridCol w:w="851"/>
        <w:gridCol w:w="850"/>
        <w:gridCol w:w="851"/>
        <w:gridCol w:w="992"/>
        <w:gridCol w:w="992"/>
        <w:gridCol w:w="992"/>
      </w:tblGrid>
      <w:tr w:rsidR="00D4086A" w:rsidRPr="0090130C" w:rsidTr="0033527B">
        <w:trPr>
          <w:jc w:val="center"/>
        </w:trPr>
        <w:tc>
          <w:tcPr>
            <w:tcW w:w="1526" w:type="dxa"/>
            <w:shd w:val="clear" w:color="auto" w:fill="FDE9D9"/>
            <w:vAlign w:val="center"/>
          </w:tcPr>
          <w:p w:rsidR="00D4086A" w:rsidRPr="0090130C" w:rsidRDefault="00D4086A" w:rsidP="00880E32">
            <w:pPr>
              <w:spacing w:after="0" w:line="240" w:lineRule="auto"/>
              <w:jc w:val="both"/>
              <w:rPr>
                <w:rFonts w:ascii="Arial" w:hAnsi="Arial" w:cs="Arial"/>
                <w:b/>
                <w:sz w:val="24"/>
                <w:szCs w:val="24"/>
              </w:rPr>
            </w:pPr>
            <w:r w:rsidRPr="0090130C">
              <w:rPr>
                <w:rFonts w:ascii="Arial" w:hAnsi="Arial" w:cs="Arial"/>
                <w:b/>
                <w:sz w:val="24"/>
                <w:szCs w:val="24"/>
              </w:rPr>
              <w:t xml:space="preserve">Media </w:t>
            </w:r>
          </w:p>
          <w:p w:rsidR="00D4086A" w:rsidRDefault="00D4086A" w:rsidP="00880E32">
            <w:pPr>
              <w:spacing w:after="0" w:line="240" w:lineRule="auto"/>
              <w:jc w:val="both"/>
              <w:rPr>
                <w:rFonts w:ascii="Arial" w:hAnsi="Arial" w:cs="Arial"/>
                <w:b/>
                <w:sz w:val="24"/>
                <w:szCs w:val="24"/>
              </w:rPr>
            </w:pPr>
            <w:r w:rsidRPr="0090130C">
              <w:rPr>
                <w:rFonts w:ascii="Arial" w:hAnsi="Arial" w:cs="Arial"/>
                <w:b/>
                <w:sz w:val="24"/>
                <w:szCs w:val="24"/>
              </w:rPr>
              <w:t>1975-2000</w:t>
            </w:r>
          </w:p>
          <w:p w:rsidR="00D4086A" w:rsidRPr="008E1870" w:rsidRDefault="00D4086A" w:rsidP="00880E32">
            <w:pPr>
              <w:spacing w:after="0" w:line="240" w:lineRule="auto"/>
              <w:jc w:val="both"/>
              <w:rPr>
                <w:rFonts w:ascii="Arial" w:hAnsi="Arial" w:cs="Arial"/>
                <w:b/>
                <w:sz w:val="24"/>
                <w:szCs w:val="24"/>
              </w:rPr>
            </w:pPr>
            <w:r w:rsidRPr="008E1870">
              <w:rPr>
                <w:rFonts w:ascii="Arial" w:hAnsi="Arial" w:cs="Arial"/>
                <w:b/>
                <w:sz w:val="24"/>
                <w:szCs w:val="24"/>
              </w:rPr>
              <w:t>(mm)</w:t>
            </w:r>
          </w:p>
        </w:tc>
        <w:tc>
          <w:tcPr>
            <w:tcW w:w="851"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2011</w:t>
            </w:r>
          </w:p>
        </w:tc>
        <w:tc>
          <w:tcPr>
            <w:tcW w:w="850"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2012</w:t>
            </w:r>
          </w:p>
        </w:tc>
        <w:tc>
          <w:tcPr>
            <w:tcW w:w="851"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2013</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2014</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sidRPr="0090130C">
              <w:rPr>
                <w:rFonts w:ascii="Arial" w:hAnsi="Arial" w:cs="Arial"/>
                <w:b/>
                <w:sz w:val="24"/>
                <w:szCs w:val="24"/>
              </w:rPr>
              <w:t>2015</w:t>
            </w:r>
          </w:p>
        </w:tc>
        <w:tc>
          <w:tcPr>
            <w:tcW w:w="992" w:type="dxa"/>
            <w:shd w:val="clear" w:color="auto" w:fill="FDE9D9"/>
            <w:vAlign w:val="center"/>
          </w:tcPr>
          <w:p w:rsidR="00D4086A" w:rsidRPr="0090130C" w:rsidRDefault="00D4086A" w:rsidP="00880E32">
            <w:pPr>
              <w:spacing w:after="0" w:line="240" w:lineRule="auto"/>
              <w:jc w:val="center"/>
              <w:rPr>
                <w:rFonts w:ascii="Arial" w:hAnsi="Arial" w:cs="Arial"/>
                <w:b/>
                <w:sz w:val="24"/>
                <w:szCs w:val="24"/>
              </w:rPr>
            </w:pPr>
            <w:r>
              <w:rPr>
                <w:rFonts w:ascii="Arial" w:hAnsi="Arial" w:cs="Arial"/>
                <w:b/>
                <w:sz w:val="24"/>
                <w:szCs w:val="24"/>
              </w:rPr>
              <w:t>2016</w:t>
            </w:r>
          </w:p>
        </w:tc>
      </w:tr>
      <w:tr w:rsidR="00D4086A" w:rsidRPr="0090130C" w:rsidTr="0033527B">
        <w:trPr>
          <w:trHeight w:hRule="exact" w:val="578"/>
          <w:jc w:val="center"/>
        </w:trPr>
        <w:tc>
          <w:tcPr>
            <w:tcW w:w="1526" w:type="dxa"/>
            <w:shd w:val="clear" w:color="auto" w:fill="FDE9D9"/>
            <w:vAlign w:val="center"/>
          </w:tcPr>
          <w:p w:rsidR="00D4086A" w:rsidRPr="0090130C" w:rsidRDefault="00217620" w:rsidP="00880E32">
            <w:pPr>
              <w:spacing w:after="0" w:line="240" w:lineRule="auto"/>
              <w:jc w:val="both"/>
              <w:rPr>
                <w:rFonts w:ascii="Arial" w:hAnsi="Arial" w:cs="Arial"/>
                <w:sz w:val="24"/>
                <w:szCs w:val="24"/>
              </w:rPr>
            </w:pPr>
            <w:r>
              <w:rPr>
                <w:rFonts w:ascii="Arial" w:hAnsi="Arial" w:cs="Arial"/>
                <w:sz w:val="24"/>
                <w:szCs w:val="24"/>
              </w:rPr>
              <w:t>Brăila</w:t>
            </w:r>
            <w:r w:rsidR="00D4086A">
              <w:rPr>
                <w:rFonts w:ascii="Arial" w:hAnsi="Arial" w:cs="Arial"/>
                <w:sz w:val="24"/>
                <w:szCs w:val="24"/>
              </w:rPr>
              <w:t xml:space="preserve"> </w:t>
            </w:r>
            <w:r w:rsidR="00D4086A" w:rsidRPr="0090130C">
              <w:rPr>
                <w:rFonts w:ascii="Arial" w:hAnsi="Arial" w:cs="Arial"/>
                <w:sz w:val="24"/>
                <w:szCs w:val="24"/>
              </w:rPr>
              <w:t>= 425.9</w:t>
            </w:r>
          </w:p>
        </w:tc>
        <w:tc>
          <w:tcPr>
            <w:tcW w:w="851" w:type="dxa"/>
            <w:shd w:val="clear" w:color="auto" w:fill="FDE9D9"/>
            <w:vAlign w:val="center"/>
          </w:tcPr>
          <w:p w:rsidR="00D4086A" w:rsidRPr="0090130C" w:rsidRDefault="00D4086A" w:rsidP="00880E32">
            <w:pPr>
              <w:spacing w:after="0" w:line="240" w:lineRule="auto"/>
              <w:jc w:val="both"/>
              <w:rPr>
                <w:rFonts w:ascii="Arial" w:hAnsi="Arial" w:cs="Arial"/>
                <w:sz w:val="24"/>
                <w:szCs w:val="24"/>
              </w:rPr>
            </w:pPr>
            <w:r w:rsidRPr="0090130C">
              <w:rPr>
                <w:rFonts w:ascii="Arial" w:hAnsi="Arial" w:cs="Arial"/>
                <w:sz w:val="24"/>
                <w:szCs w:val="24"/>
              </w:rPr>
              <w:t>365.5</w:t>
            </w:r>
          </w:p>
        </w:tc>
        <w:tc>
          <w:tcPr>
            <w:tcW w:w="850" w:type="dxa"/>
            <w:shd w:val="clear" w:color="auto" w:fill="FDE9D9"/>
            <w:vAlign w:val="center"/>
          </w:tcPr>
          <w:p w:rsidR="00D4086A" w:rsidRPr="0090130C" w:rsidRDefault="00D4086A" w:rsidP="00880E32">
            <w:pPr>
              <w:spacing w:after="0" w:line="240" w:lineRule="auto"/>
              <w:jc w:val="both"/>
              <w:rPr>
                <w:rFonts w:ascii="Arial" w:hAnsi="Arial" w:cs="Arial"/>
                <w:sz w:val="24"/>
                <w:szCs w:val="24"/>
              </w:rPr>
            </w:pPr>
            <w:r w:rsidRPr="0090130C">
              <w:rPr>
                <w:rFonts w:ascii="Arial" w:hAnsi="Arial" w:cs="Arial"/>
                <w:sz w:val="24"/>
                <w:szCs w:val="24"/>
              </w:rPr>
              <w:t>633.1</w:t>
            </w:r>
          </w:p>
        </w:tc>
        <w:tc>
          <w:tcPr>
            <w:tcW w:w="851" w:type="dxa"/>
            <w:shd w:val="clear" w:color="auto" w:fill="FDE9D9"/>
            <w:vAlign w:val="center"/>
          </w:tcPr>
          <w:p w:rsidR="00D4086A" w:rsidRPr="0090130C" w:rsidRDefault="00D4086A" w:rsidP="00880E32">
            <w:pPr>
              <w:spacing w:after="0" w:line="240" w:lineRule="auto"/>
              <w:jc w:val="both"/>
              <w:rPr>
                <w:rFonts w:ascii="Arial" w:hAnsi="Arial" w:cs="Arial"/>
                <w:sz w:val="24"/>
                <w:szCs w:val="24"/>
              </w:rPr>
            </w:pPr>
            <w:r w:rsidRPr="0090130C">
              <w:rPr>
                <w:rFonts w:ascii="Arial" w:hAnsi="Arial" w:cs="Arial"/>
                <w:sz w:val="24"/>
                <w:szCs w:val="24"/>
              </w:rPr>
              <w:t>491.8</w:t>
            </w:r>
          </w:p>
        </w:tc>
        <w:tc>
          <w:tcPr>
            <w:tcW w:w="992" w:type="dxa"/>
            <w:shd w:val="clear" w:color="auto" w:fill="FDE9D9"/>
            <w:vAlign w:val="center"/>
          </w:tcPr>
          <w:p w:rsidR="00D4086A" w:rsidRPr="0090130C" w:rsidRDefault="00D4086A" w:rsidP="00880E32">
            <w:pPr>
              <w:spacing w:after="0" w:line="240" w:lineRule="auto"/>
              <w:jc w:val="both"/>
              <w:rPr>
                <w:rFonts w:ascii="Arial" w:hAnsi="Arial" w:cs="Arial"/>
                <w:sz w:val="24"/>
                <w:szCs w:val="24"/>
              </w:rPr>
            </w:pPr>
            <w:r w:rsidRPr="0090130C">
              <w:rPr>
                <w:rFonts w:ascii="Arial" w:hAnsi="Arial" w:cs="Arial"/>
                <w:sz w:val="24"/>
                <w:szCs w:val="24"/>
              </w:rPr>
              <w:t>479.3</w:t>
            </w:r>
          </w:p>
        </w:tc>
        <w:tc>
          <w:tcPr>
            <w:tcW w:w="992" w:type="dxa"/>
            <w:shd w:val="clear" w:color="auto" w:fill="FDE9D9"/>
            <w:vAlign w:val="center"/>
          </w:tcPr>
          <w:p w:rsidR="00D4086A" w:rsidRPr="0090130C" w:rsidRDefault="00D4086A" w:rsidP="00880E32">
            <w:pPr>
              <w:spacing w:after="0" w:line="240" w:lineRule="auto"/>
              <w:jc w:val="both"/>
              <w:rPr>
                <w:rFonts w:ascii="Arial" w:hAnsi="Arial" w:cs="Arial"/>
                <w:sz w:val="24"/>
                <w:szCs w:val="24"/>
              </w:rPr>
            </w:pPr>
            <w:r w:rsidRPr="0090130C">
              <w:rPr>
                <w:rFonts w:ascii="Arial" w:hAnsi="Arial" w:cs="Arial"/>
                <w:sz w:val="24"/>
                <w:szCs w:val="24"/>
              </w:rPr>
              <w:t>525.6</w:t>
            </w:r>
          </w:p>
        </w:tc>
        <w:tc>
          <w:tcPr>
            <w:tcW w:w="992" w:type="dxa"/>
            <w:shd w:val="clear" w:color="auto" w:fill="FDE9D9"/>
          </w:tcPr>
          <w:p w:rsidR="00D4086A" w:rsidRPr="0090130C" w:rsidRDefault="00D4086A" w:rsidP="00880E32">
            <w:pPr>
              <w:spacing w:after="0" w:line="240" w:lineRule="auto"/>
              <w:jc w:val="both"/>
              <w:rPr>
                <w:rFonts w:ascii="Arial" w:hAnsi="Arial" w:cs="Arial"/>
                <w:sz w:val="24"/>
                <w:szCs w:val="24"/>
              </w:rPr>
            </w:pPr>
            <w:r>
              <w:rPr>
                <w:rFonts w:ascii="Arial" w:hAnsi="Arial" w:cs="Arial"/>
                <w:sz w:val="24"/>
                <w:szCs w:val="24"/>
              </w:rPr>
              <w:t>553,7</w:t>
            </w:r>
          </w:p>
        </w:tc>
      </w:tr>
    </w:tbl>
    <w:p w:rsidR="00D4086A" w:rsidRPr="00594535" w:rsidRDefault="00D4086A" w:rsidP="00880E32">
      <w:pPr>
        <w:spacing w:after="0"/>
        <w:jc w:val="both"/>
        <w:rPr>
          <w:rFonts w:ascii="Arial" w:hAnsi="Arial" w:cs="Arial"/>
          <w:sz w:val="24"/>
          <w:szCs w:val="24"/>
          <w:lang w:val="en-US"/>
        </w:rPr>
      </w:pPr>
    </w:p>
    <w:p w:rsidR="00D4086A" w:rsidRPr="00594535" w:rsidRDefault="00D4086A" w:rsidP="00D4086A">
      <w:pPr>
        <w:jc w:val="both"/>
        <w:rPr>
          <w:rFonts w:ascii="Arial" w:hAnsi="Arial" w:cs="Arial"/>
          <w:b/>
          <w:sz w:val="24"/>
          <w:szCs w:val="24"/>
        </w:rPr>
      </w:pPr>
      <w:r w:rsidRPr="00594535">
        <w:rPr>
          <w:rFonts w:ascii="Arial" w:hAnsi="Arial" w:cs="Arial"/>
          <w:b/>
          <w:sz w:val="24"/>
          <w:szCs w:val="24"/>
          <w:lang w:val="en-US"/>
        </w:rPr>
        <w:t xml:space="preserve">Indicatori de sănătate relevanţi dependenţi de variaţiile climei </w:t>
      </w:r>
    </w:p>
    <w:p w:rsidR="00D4086A" w:rsidRPr="00594535" w:rsidRDefault="00D4086A" w:rsidP="00D4086A">
      <w:pPr>
        <w:autoSpaceDE w:val="0"/>
        <w:autoSpaceDN w:val="0"/>
        <w:adjustRightInd w:val="0"/>
        <w:jc w:val="both"/>
        <w:rPr>
          <w:rFonts w:ascii="Arial" w:hAnsi="Arial" w:cs="Arial"/>
          <w:b/>
          <w:sz w:val="24"/>
          <w:szCs w:val="24"/>
        </w:rPr>
      </w:pPr>
      <w:r w:rsidRPr="00594535">
        <w:rPr>
          <w:rFonts w:ascii="Arial" w:hAnsi="Arial" w:cs="Arial"/>
          <w:b/>
          <w:sz w:val="24"/>
          <w:szCs w:val="24"/>
        </w:rPr>
        <w:t xml:space="preserve">VIII.1.5.1. </w:t>
      </w:r>
      <w:r w:rsidRPr="00467694">
        <w:rPr>
          <w:rFonts w:ascii="Arial" w:hAnsi="Arial" w:cs="Arial"/>
          <w:b/>
          <w:sz w:val="24"/>
          <w:szCs w:val="24"/>
        </w:rPr>
        <w:t>Rata de mortalitate în aglomerările urbane ca urmare a temperaturilor extreme în perioada de vară</w:t>
      </w:r>
    </w:p>
    <w:p w:rsidR="00D4086A" w:rsidRDefault="00D4086A" w:rsidP="004E720D">
      <w:pPr>
        <w:autoSpaceDE w:val="0"/>
        <w:autoSpaceDN w:val="0"/>
        <w:adjustRightInd w:val="0"/>
        <w:spacing w:after="0" w:line="240" w:lineRule="auto"/>
        <w:jc w:val="both"/>
        <w:rPr>
          <w:rFonts w:ascii="Arial" w:hAnsi="Arial" w:cs="Arial"/>
          <w:sz w:val="24"/>
          <w:szCs w:val="24"/>
        </w:rPr>
      </w:pPr>
      <w:r w:rsidRPr="00987ECA">
        <w:rPr>
          <w:rFonts w:ascii="Arial" w:hAnsi="Arial" w:cs="Arial"/>
          <w:sz w:val="24"/>
          <w:szCs w:val="24"/>
        </w:rPr>
        <w:t xml:space="preserve">- În perioada 2012 – 2016 în mediul urban (și rural) din județul </w:t>
      </w:r>
      <w:r w:rsidR="00217620">
        <w:rPr>
          <w:rFonts w:ascii="Arial" w:hAnsi="Arial" w:cs="Arial"/>
          <w:sz w:val="24"/>
          <w:szCs w:val="24"/>
        </w:rPr>
        <w:t>Brăila</w:t>
      </w:r>
      <w:r w:rsidRPr="00987ECA">
        <w:rPr>
          <w:rFonts w:ascii="Arial" w:hAnsi="Arial" w:cs="Arial"/>
          <w:sz w:val="24"/>
          <w:szCs w:val="24"/>
        </w:rPr>
        <w:t xml:space="preserve"> nu s-au înregistrat cazuri de</w:t>
      </w:r>
      <w:r w:rsidRPr="00987ECA">
        <w:rPr>
          <w:rFonts w:ascii="Arial" w:hAnsi="Arial" w:cs="Arial"/>
          <w:b/>
          <w:sz w:val="24"/>
          <w:szCs w:val="24"/>
        </w:rPr>
        <w:t xml:space="preserve"> </w:t>
      </w:r>
      <w:r w:rsidRPr="00987ECA">
        <w:rPr>
          <w:rFonts w:ascii="Arial" w:hAnsi="Arial" w:cs="Arial"/>
          <w:sz w:val="24"/>
          <w:szCs w:val="24"/>
        </w:rPr>
        <w:t>mortalitate ca urmare a temperaturilor extreme în perioada de vară.</w:t>
      </w:r>
    </w:p>
    <w:p w:rsidR="00D4086A" w:rsidRPr="00987ECA" w:rsidRDefault="00D4086A" w:rsidP="004E720D">
      <w:pPr>
        <w:autoSpaceDE w:val="0"/>
        <w:autoSpaceDN w:val="0"/>
        <w:adjustRightInd w:val="0"/>
        <w:spacing w:after="0" w:line="240" w:lineRule="auto"/>
        <w:jc w:val="both"/>
        <w:rPr>
          <w:rFonts w:ascii="Arial" w:hAnsi="Arial" w:cs="Arial"/>
          <w:sz w:val="24"/>
          <w:szCs w:val="24"/>
        </w:rPr>
      </w:pPr>
      <w:r w:rsidRPr="00987ECA">
        <w:rPr>
          <w:rFonts w:ascii="Arial" w:hAnsi="Arial" w:cs="Arial"/>
          <w:i/>
          <w:sz w:val="20"/>
          <w:szCs w:val="20"/>
          <w:lang w:val="en-US"/>
        </w:rPr>
        <w:t xml:space="preserve"> (Not</w:t>
      </w:r>
      <w:r w:rsidRPr="00987ECA">
        <w:rPr>
          <w:rFonts w:ascii="Arial" w:hAnsi="Arial" w:cs="Arial"/>
          <w:i/>
          <w:sz w:val="20"/>
          <w:szCs w:val="20"/>
        </w:rPr>
        <w:t xml:space="preserve">ă: Informații furnizate de către Direcția de Sănătate Publică a județului </w:t>
      </w:r>
      <w:r w:rsidR="00217620">
        <w:rPr>
          <w:rFonts w:ascii="Arial" w:hAnsi="Arial" w:cs="Arial"/>
          <w:i/>
          <w:sz w:val="20"/>
          <w:szCs w:val="20"/>
        </w:rPr>
        <w:t>Brăila</w:t>
      </w:r>
      <w:r w:rsidRPr="00987ECA">
        <w:rPr>
          <w:rFonts w:ascii="Arial" w:hAnsi="Arial" w:cs="Arial"/>
          <w:i/>
          <w:sz w:val="20"/>
          <w:szCs w:val="20"/>
        </w:rPr>
        <w:t>)</w:t>
      </w:r>
    </w:p>
    <w:p w:rsidR="004E720D" w:rsidRDefault="004E720D" w:rsidP="004E720D">
      <w:pPr>
        <w:autoSpaceDE w:val="0"/>
        <w:autoSpaceDN w:val="0"/>
        <w:adjustRightInd w:val="0"/>
        <w:spacing w:after="0" w:line="240" w:lineRule="auto"/>
        <w:jc w:val="both"/>
        <w:rPr>
          <w:rFonts w:ascii="Arial" w:hAnsi="Arial" w:cs="Arial"/>
          <w:sz w:val="24"/>
          <w:szCs w:val="24"/>
        </w:rPr>
      </w:pPr>
    </w:p>
    <w:p w:rsidR="00D4086A" w:rsidRPr="00987ECA" w:rsidRDefault="00D4086A" w:rsidP="004E720D">
      <w:pPr>
        <w:autoSpaceDE w:val="0"/>
        <w:autoSpaceDN w:val="0"/>
        <w:adjustRightInd w:val="0"/>
        <w:spacing w:after="0" w:line="240" w:lineRule="auto"/>
        <w:jc w:val="both"/>
        <w:rPr>
          <w:rFonts w:ascii="Arial" w:hAnsi="Arial" w:cs="Arial"/>
          <w:sz w:val="24"/>
          <w:szCs w:val="24"/>
        </w:rPr>
      </w:pPr>
      <w:r w:rsidRPr="004E720D">
        <w:rPr>
          <w:rFonts w:ascii="Arial" w:hAnsi="Arial" w:cs="Arial"/>
          <w:sz w:val="24"/>
          <w:szCs w:val="24"/>
        </w:rPr>
        <w:t>Tabelul VIII. 1.5.1 - 2</w:t>
      </w:r>
      <w:r w:rsidRPr="00594535">
        <w:rPr>
          <w:rFonts w:ascii="Arial" w:hAnsi="Arial" w:cs="Arial"/>
          <w:b/>
          <w:sz w:val="24"/>
          <w:szCs w:val="24"/>
        </w:rPr>
        <w:t xml:space="preserve"> </w:t>
      </w:r>
      <w:r w:rsidRPr="00403B90">
        <w:rPr>
          <w:rFonts w:ascii="Arial" w:hAnsi="Arial" w:cs="Arial"/>
          <w:sz w:val="24"/>
          <w:szCs w:val="24"/>
        </w:rPr>
        <w:t xml:space="preserve">Analiza epidemiologică descriptivă a cazurilor de Boala Lyme înregistrate la nivelul județului </w:t>
      </w:r>
      <w:r w:rsidR="00217620">
        <w:rPr>
          <w:rFonts w:ascii="Arial" w:hAnsi="Arial" w:cs="Arial"/>
          <w:sz w:val="24"/>
          <w:szCs w:val="24"/>
        </w:rPr>
        <w:t>Brăila</w:t>
      </w:r>
      <w:r w:rsidRPr="00403B90">
        <w:rPr>
          <w:rFonts w:ascii="Arial" w:hAnsi="Arial" w:cs="Arial"/>
          <w:sz w:val="24"/>
          <w:szCs w:val="24"/>
        </w:rPr>
        <w:t xml:space="preserve"> în anul </w:t>
      </w:r>
      <w:r w:rsidRPr="00987ECA">
        <w:rPr>
          <w:rFonts w:ascii="Arial" w:hAnsi="Arial" w:cs="Arial"/>
          <w:sz w:val="24"/>
          <w:szCs w:val="24"/>
        </w:rPr>
        <w:t>2016</w:t>
      </w:r>
    </w:p>
    <w:tbl>
      <w:tblPr>
        <w:tblW w:w="0" w:type="auto"/>
        <w:jc w:val="center"/>
        <w:tblInd w:w="-2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8"/>
        <w:gridCol w:w="1146"/>
      </w:tblGrid>
      <w:tr w:rsidR="00D4086A" w:rsidRPr="0090130C" w:rsidTr="0033527B">
        <w:trPr>
          <w:jc w:val="center"/>
        </w:trPr>
        <w:tc>
          <w:tcPr>
            <w:tcW w:w="4798" w:type="dxa"/>
            <w:shd w:val="clear" w:color="auto" w:fill="FDE9D9"/>
          </w:tcPr>
          <w:p w:rsidR="00D4086A" w:rsidRPr="00594535" w:rsidRDefault="00D4086A" w:rsidP="0033527B">
            <w:pPr>
              <w:pStyle w:val="Default"/>
              <w:jc w:val="both"/>
              <w:rPr>
                <w:rFonts w:ascii="Arial" w:hAnsi="Arial" w:cs="Arial"/>
                <w:b/>
                <w:color w:val="auto"/>
              </w:rPr>
            </w:pPr>
            <w:r w:rsidRPr="00594535">
              <w:rPr>
                <w:rFonts w:ascii="Arial" w:hAnsi="Arial" w:cs="Arial"/>
                <w:b/>
                <w:color w:val="auto"/>
              </w:rPr>
              <w:t>Analiza epidemiologică descriptivă a cazurilor de Boala Lyme</w:t>
            </w:r>
          </w:p>
        </w:tc>
        <w:tc>
          <w:tcPr>
            <w:tcW w:w="1146" w:type="dxa"/>
            <w:shd w:val="clear" w:color="auto" w:fill="FDE9D9"/>
          </w:tcPr>
          <w:p w:rsidR="00D4086A" w:rsidRPr="00987ECA" w:rsidRDefault="00D4086A" w:rsidP="0033527B">
            <w:pPr>
              <w:pStyle w:val="Default"/>
              <w:jc w:val="both"/>
              <w:rPr>
                <w:rFonts w:ascii="Arial" w:hAnsi="Arial" w:cs="Arial"/>
                <w:b/>
                <w:color w:val="auto"/>
              </w:rPr>
            </w:pPr>
            <w:r w:rsidRPr="00987ECA">
              <w:rPr>
                <w:rFonts w:ascii="Arial" w:hAnsi="Arial" w:cs="Arial"/>
                <w:b/>
                <w:color w:val="auto"/>
              </w:rPr>
              <w:t>Anul 2016</w:t>
            </w:r>
          </w:p>
        </w:tc>
      </w:tr>
      <w:tr w:rsidR="00D4086A" w:rsidRPr="0090130C" w:rsidTr="0033527B">
        <w:trPr>
          <w:jc w:val="center"/>
        </w:trPr>
        <w:tc>
          <w:tcPr>
            <w:tcW w:w="4798" w:type="dxa"/>
          </w:tcPr>
          <w:p w:rsidR="00D4086A" w:rsidRPr="00594535" w:rsidRDefault="00D4086A" w:rsidP="0033527B">
            <w:pPr>
              <w:pStyle w:val="Default"/>
              <w:jc w:val="both"/>
              <w:rPr>
                <w:rFonts w:ascii="Arial" w:hAnsi="Arial" w:cs="Arial"/>
                <w:color w:val="auto"/>
              </w:rPr>
            </w:pPr>
            <w:r w:rsidRPr="00594535">
              <w:rPr>
                <w:rFonts w:ascii="Arial" w:hAnsi="Arial" w:cs="Arial"/>
                <w:color w:val="auto"/>
              </w:rPr>
              <w:t>cazuri probabile</w:t>
            </w:r>
          </w:p>
        </w:tc>
        <w:tc>
          <w:tcPr>
            <w:tcW w:w="1146" w:type="dxa"/>
          </w:tcPr>
          <w:p w:rsidR="00D4086A" w:rsidRPr="00987ECA" w:rsidRDefault="00D4086A" w:rsidP="0033527B">
            <w:pPr>
              <w:pStyle w:val="Default"/>
              <w:jc w:val="center"/>
              <w:rPr>
                <w:rFonts w:ascii="Arial" w:hAnsi="Arial" w:cs="Arial"/>
                <w:color w:val="auto"/>
              </w:rPr>
            </w:pPr>
            <w:r w:rsidRPr="00987ECA">
              <w:rPr>
                <w:rFonts w:ascii="Arial" w:hAnsi="Arial" w:cs="Arial"/>
                <w:color w:val="auto"/>
              </w:rPr>
              <w:t>0</w:t>
            </w:r>
          </w:p>
        </w:tc>
      </w:tr>
      <w:tr w:rsidR="00D4086A" w:rsidRPr="0090130C" w:rsidTr="0033527B">
        <w:trPr>
          <w:jc w:val="center"/>
        </w:trPr>
        <w:tc>
          <w:tcPr>
            <w:tcW w:w="4798" w:type="dxa"/>
          </w:tcPr>
          <w:p w:rsidR="00D4086A" w:rsidRPr="00594535" w:rsidRDefault="00D4086A" w:rsidP="0033527B">
            <w:pPr>
              <w:pStyle w:val="Default"/>
              <w:jc w:val="both"/>
              <w:rPr>
                <w:rFonts w:ascii="Arial" w:hAnsi="Arial" w:cs="Arial"/>
                <w:color w:val="auto"/>
              </w:rPr>
            </w:pPr>
            <w:r w:rsidRPr="00594535">
              <w:rPr>
                <w:rFonts w:ascii="Arial" w:hAnsi="Arial" w:cs="Arial"/>
                <w:color w:val="auto"/>
              </w:rPr>
              <w:t>cazuri confirmate</w:t>
            </w:r>
          </w:p>
        </w:tc>
        <w:tc>
          <w:tcPr>
            <w:tcW w:w="1146" w:type="dxa"/>
          </w:tcPr>
          <w:p w:rsidR="00D4086A" w:rsidRPr="00987ECA" w:rsidRDefault="00D4086A" w:rsidP="0033527B">
            <w:pPr>
              <w:pStyle w:val="Default"/>
              <w:jc w:val="center"/>
              <w:rPr>
                <w:rFonts w:ascii="Arial" w:hAnsi="Arial" w:cs="Arial"/>
                <w:color w:val="auto"/>
              </w:rPr>
            </w:pPr>
            <w:r w:rsidRPr="00987ECA">
              <w:rPr>
                <w:rFonts w:ascii="Arial" w:hAnsi="Arial" w:cs="Arial"/>
                <w:color w:val="auto"/>
              </w:rPr>
              <w:t>0</w:t>
            </w:r>
          </w:p>
        </w:tc>
      </w:tr>
      <w:tr w:rsidR="00D4086A" w:rsidRPr="0090130C" w:rsidTr="0033527B">
        <w:trPr>
          <w:jc w:val="center"/>
        </w:trPr>
        <w:tc>
          <w:tcPr>
            <w:tcW w:w="4798" w:type="dxa"/>
          </w:tcPr>
          <w:p w:rsidR="00D4086A" w:rsidRPr="00594535" w:rsidRDefault="00D4086A" w:rsidP="0033527B">
            <w:pPr>
              <w:pStyle w:val="Default"/>
              <w:jc w:val="both"/>
              <w:rPr>
                <w:rFonts w:ascii="Arial" w:hAnsi="Arial" w:cs="Arial"/>
                <w:color w:val="auto"/>
              </w:rPr>
            </w:pPr>
            <w:r w:rsidRPr="00594535">
              <w:rPr>
                <w:rFonts w:ascii="Arial" w:hAnsi="Arial" w:cs="Arial"/>
                <w:color w:val="auto"/>
              </w:rPr>
              <w:lastRenderedPageBreak/>
              <w:t>cazuri infirmate</w:t>
            </w:r>
          </w:p>
        </w:tc>
        <w:tc>
          <w:tcPr>
            <w:tcW w:w="1146" w:type="dxa"/>
          </w:tcPr>
          <w:p w:rsidR="00D4086A" w:rsidRPr="00987ECA" w:rsidRDefault="00D4086A" w:rsidP="0033527B">
            <w:pPr>
              <w:pStyle w:val="Default"/>
              <w:jc w:val="center"/>
              <w:rPr>
                <w:rFonts w:ascii="Arial" w:hAnsi="Arial" w:cs="Arial"/>
                <w:color w:val="auto"/>
              </w:rPr>
            </w:pPr>
            <w:r w:rsidRPr="00987ECA">
              <w:rPr>
                <w:rFonts w:ascii="Arial" w:hAnsi="Arial" w:cs="Arial"/>
                <w:color w:val="auto"/>
              </w:rPr>
              <w:t>0</w:t>
            </w:r>
          </w:p>
        </w:tc>
      </w:tr>
    </w:tbl>
    <w:p w:rsidR="00D4086A" w:rsidRPr="00987ECA" w:rsidRDefault="00D4086A" w:rsidP="00D4086A">
      <w:pPr>
        <w:jc w:val="both"/>
        <w:rPr>
          <w:rFonts w:ascii="Arial" w:hAnsi="Arial" w:cs="Arial"/>
          <w:b/>
          <w:sz w:val="24"/>
          <w:szCs w:val="24"/>
        </w:rPr>
      </w:pPr>
      <w:r w:rsidRPr="00987ECA">
        <w:rPr>
          <w:rFonts w:ascii="Arial" w:hAnsi="Arial" w:cs="Arial"/>
          <w:i/>
          <w:sz w:val="20"/>
          <w:szCs w:val="20"/>
          <w:lang w:val="en-US"/>
        </w:rPr>
        <w:t>Not</w:t>
      </w:r>
      <w:r w:rsidRPr="00987ECA">
        <w:rPr>
          <w:rFonts w:ascii="Arial" w:hAnsi="Arial" w:cs="Arial"/>
          <w:i/>
          <w:sz w:val="20"/>
          <w:szCs w:val="20"/>
        </w:rPr>
        <w:t xml:space="preserve">ă: Informații furnizate de către Direcția de Sănătate Publică a județului </w:t>
      </w:r>
      <w:r w:rsidR="00217620">
        <w:rPr>
          <w:rFonts w:ascii="Arial" w:hAnsi="Arial" w:cs="Arial"/>
          <w:i/>
          <w:sz w:val="20"/>
          <w:szCs w:val="20"/>
        </w:rPr>
        <w:t>Brăila</w:t>
      </w:r>
    </w:p>
    <w:p w:rsidR="00D4086A" w:rsidRPr="00594535" w:rsidRDefault="00D4086A" w:rsidP="00D4086A">
      <w:pPr>
        <w:jc w:val="both"/>
        <w:rPr>
          <w:rFonts w:ascii="Arial" w:hAnsi="Arial" w:cs="Arial"/>
          <w:sz w:val="24"/>
          <w:szCs w:val="24"/>
        </w:rPr>
      </w:pPr>
      <w:r w:rsidRPr="00594535">
        <w:rPr>
          <w:rFonts w:ascii="Arial" w:hAnsi="Arial" w:cs="Arial"/>
          <w:b/>
          <w:sz w:val="24"/>
          <w:szCs w:val="24"/>
        </w:rPr>
        <w:t>VIII.1.5.2 Expunerea populației din aglomerările urbane  la riscul de inundații</w:t>
      </w:r>
    </w:p>
    <w:p w:rsidR="00D4086A" w:rsidRPr="00594535" w:rsidRDefault="00D4086A" w:rsidP="00D4086A">
      <w:pPr>
        <w:autoSpaceDE w:val="0"/>
        <w:autoSpaceDN w:val="0"/>
        <w:adjustRightInd w:val="0"/>
        <w:jc w:val="both"/>
        <w:rPr>
          <w:rFonts w:ascii="Arial" w:hAnsi="Arial" w:cs="Arial"/>
          <w:sz w:val="24"/>
          <w:szCs w:val="24"/>
        </w:rPr>
      </w:pPr>
      <w:r w:rsidRPr="004E720D">
        <w:rPr>
          <w:rFonts w:ascii="Arial" w:hAnsi="Arial" w:cs="Arial"/>
          <w:sz w:val="24"/>
          <w:szCs w:val="24"/>
        </w:rPr>
        <w:t>Tabel nr. VIII.1.5.2. – 1</w:t>
      </w:r>
      <w:r w:rsidRPr="00594535">
        <w:rPr>
          <w:rFonts w:ascii="Arial" w:hAnsi="Arial" w:cs="Arial"/>
          <w:b/>
          <w:sz w:val="24"/>
          <w:szCs w:val="24"/>
        </w:rPr>
        <w:t xml:space="preserve"> </w:t>
      </w:r>
      <w:r w:rsidRPr="00594535">
        <w:rPr>
          <w:rFonts w:ascii="Arial" w:hAnsi="Arial" w:cs="Arial"/>
          <w:sz w:val="24"/>
          <w:szCs w:val="24"/>
        </w:rPr>
        <w:t xml:space="preserve">Expunerea populaţiei la riscul de inundaţii la nivelul judeţului </w:t>
      </w:r>
      <w:r w:rsidR="00217620">
        <w:rPr>
          <w:rFonts w:ascii="Arial" w:hAnsi="Arial" w:cs="Arial"/>
          <w:sz w:val="24"/>
          <w:szCs w:val="24"/>
        </w:rPr>
        <w:t>Brăila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992"/>
        <w:gridCol w:w="851"/>
        <w:gridCol w:w="992"/>
        <w:gridCol w:w="992"/>
        <w:gridCol w:w="992"/>
      </w:tblGrid>
      <w:tr w:rsidR="00D4086A" w:rsidRPr="0090130C" w:rsidTr="0033527B">
        <w:tc>
          <w:tcPr>
            <w:tcW w:w="3258" w:type="dxa"/>
            <w:shd w:val="clear" w:color="auto" w:fill="B6DDE8"/>
          </w:tcPr>
          <w:p w:rsidR="00D4086A" w:rsidRPr="00594535" w:rsidRDefault="00D4086A" w:rsidP="00880E32">
            <w:pPr>
              <w:pStyle w:val="BodyTextIndent"/>
              <w:spacing w:after="0"/>
              <w:ind w:left="0"/>
              <w:jc w:val="both"/>
              <w:rPr>
                <w:rFonts w:ascii="Arial" w:hAnsi="Arial" w:cs="Arial"/>
                <w:sz w:val="24"/>
                <w:szCs w:val="24"/>
              </w:rPr>
            </w:pPr>
          </w:p>
        </w:tc>
        <w:tc>
          <w:tcPr>
            <w:tcW w:w="992" w:type="dxa"/>
            <w:shd w:val="clear" w:color="auto" w:fill="B6DDE8"/>
            <w:vAlign w:val="center"/>
          </w:tcPr>
          <w:p w:rsidR="00D4086A" w:rsidRPr="00594535" w:rsidRDefault="00D4086A" w:rsidP="00880E32">
            <w:pPr>
              <w:pStyle w:val="BodyTextIndent"/>
              <w:spacing w:after="0"/>
              <w:ind w:left="0"/>
              <w:jc w:val="both"/>
              <w:rPr>
                <w:rFonts w:ascii="Arial" w:hAnsi="Arial" w:cs="Arial"/>
                <w:b/>
                <w:sz w:val="24"/>
                <w:szCs w:val="24"/>
              </w:rPr>
            </w:pPr>
            <w:r w:rsidRPr="00594535">
              <w:rPr>
                <w:rFonts w:ascii="Arial" w:hAnsi="Arial" w:cs="Arial"/>
                <w:b/>
                <w:sz w:val="24"/>
                <w:szCs w:val="24"/>
              </w:rPr>
              <w:t>2012</w:t>
            </w:r>
          </w:p>
        </w:tc>
        <w:tc>
          <w:tcPr>
            <w:tcW w:w="851" w:type="dxa"/>
            <w:shd w:val="clear" w:color="auto" w:fill="B6DDE8"/>
            <w:vAlign w:val="center"/>
          </w:tcPr>
          <w:p w:rsidR="00D4086A" w:rsidRPr="00594535" w:rsidRDefault="00D4086A" w:rsidP="00880E32">
            <w:pPr>
              <w:pStyle w:val="BodyTextIndent"/>
              <w:spacing w:after="0"/>
              <w:ind w:left="0"/>
              <w:jc w:val="both"/>
              <w:rPr>
                <w:rFonts w:ascii="Arial" w:hAnsi="Arial" w:cs="Arial"/>
                <w:b/>
                <w:sz w:val="24"/>
                <w:szCs w:val="24"/>
              </w:rPr>
            </w:pPr>
            <w:r w:rsidRPr="00594535">
              <w:rPr>
                <w:rFonts w:ascii="Arial" w:hAnsi="Arial" w:cs="Arial"/>
                <w:b/>
                <w:sz w:val="24"/>
                <w:szCs w:val="24"/>
              </w:rPr>
              <w:t>2013</w:t>
            </w:r>
          </w:p>
        </w:tc>
        <w:tc>
          <w:tcPr>
            <w:tcW w:w="992" w:type="dxa"/>
            <w:shd w:val="clear" w:color="auto" w:fill="B6DDE8"/>
            <w:vAlign w:val="center"/>
          </w:tcPr>
          <w:p w:rsidR="00D4086A" w:rsidRPr="00594535" w:rsidRDefault="00D4086A" w:rsidP="00880E32">
            <w:pPr>
              <w:pStyle w:val="BodyTextIndent"/>
              <w:spacing w:after="0"/>
              <w:ind w:left="0"/>
              <w:jc w:val="both"/>
              <w:rPr>
                <w:rFonts w:ascii="Arial" w:hAnsi="Arial" w:cs="Arial"/>
                <w:b/>
                <w:sz w:val="24"/>
                <w:szCs w:val="24"/>
              </w:rPr>
            </w:pPr>
            <w:r w:rsidRPr="00594535">
              <w:rPr>
                <w:rFonts w:ascii="Arial" w:hAnsi="Arial" w:cs="Arial"/>
                <w:b/>
                <w:sz w:val="24"/>
                <w:szCs w:val="24"/>
              </w:rPr>
              <w:t>2014</w:t>
            </w:r>
          </w:p>
        </w:tc>
        <w:tc>
          <w:tcPr>
            <w:tcW w:w="992" w:type="dxa"/>
            <w:shd w:val="clear" w:color="auto" w:fill="B6DDE8"/>
          </w:tcPr>
          <w:p w:rsidR="00D4086A" w:rsidRPr="00594535" w:rsidRDefault="00D4086A" w:rsidP="00880E32">
            <w:pPr>
              <w:pStyle w:val="BodyTextIndent"/>
              <w:spacing w:after="0"/>
              <w:ind w:left="0"/>
              <w:jc w:val="both"/>
              <w:rPr>
                <w:rFonts w:ascii="Arial" w:hAnsi="Arial" w:cs="Arial"/>
                <w:b/>
                <w:sz w:val="24"/>
                <w:szCs w:val="24"/>
              </w:rPr>
            </w:pPr>
            <w:r w:rsidRPr="00594535">
              <w:rPr>
                <w:rFonts w:ascii="Arial" w:hAnsi="Arial" w:cs="Arial"/>
                <w:b/>
                <w:sz w:val="24"/>
                <w:szCs w:val="24"/>
              </w:rPr>
              <w:t>2015</w:t>
            </w:r>
          </w:p>
        </w:tc>
        <w:tc>
          <w:tcPr>
            <w:tcW w:w="992" w:type="dxa"/>
            <w:shd w:val="clear" w:color="auto" w:fill="B6DDE8"/>
          </w:tcPr>
          <w:p w:rsidR="00D4086A" w:rsidRPr="00594535" w:rsidRDefault="00D4086A" w:rsidP="00880E32">
            <w:pPr>
              <w:pStyle w:val="BodyTextIndent"/>
              <w:spacing w:after="0"/>
              <w:ind w:left="0"/>
              <w:jc w:val="both"/>
              <w:rPr>
                <w:rFonts w:ascii="Arial" w:hAnsi="Arial" w:cs="Arial"/>
                <w:b/>
                <w:sz w:val="24"/>
                <w:szCs w:val="24"/>
              </w:rPr>
            </w:pPr>
            <w:r>
              <w:rPr>
                <w:rFonts w:ascii="Arial" w:hAnsi="Arial" w:cs="Arial"/>
                <w:b/>
                <w:sz w:val="24"/>
                <w:szCs w:val="24"/>
              </w:rPr>
              <w:t>2016</w:t>
            </w:r>
          </w:p>
        </w:tc>
      </w:tr>
      <w:tr w:rsidR="00D4086A" w:rsidRPr="0090130C" w:rsidTr="0033527B">
        <w:tc>
          <w:tcPr>
            <w:tcW w:w="3258" w:type="dxa"/>
            <w:shd w:val="clear" w:color="auto" w:fill="DAEEF3"/>
          </w:tcPr>
          <w:p w:rsidR="00D4086A" w:rsidRPr="00594535" w:rsidRDefault="00D4086A" w:rsidP="00880E32">
            <w:pPr>
              <w:pStyle w:val="BodyTextIndent"/>
              <w:spacing w:after="0" w:line="240" w:lineRule="auto"/>
              <w:ind w:left="0"/>
              <w:rPr>
                <w:rFonts w:ascii="Arial" w:hAnsi="Arial" w:cs="Arial"/>
                <w:sz w:val="24"/>
                <w:szCs w:val="24"/>
              </w:rPr>
            </w:pPr>
            <w:r w:rsidRPr="00594535">
              <w:rPr>
                <w:rFonts w:ascii="Arial" w:hAnsi="Arial" w:cs="Arial"/>
                <w:sz w:val="24"/>
                <w:szCs w:val="24"/>
              </w:rPr>
              <w:t xml:space="preserve">Număr de evenimente identificate la nivelul judeţului </w:t>
            </w:r>
            <w:r w:rsidR="00217620">
              <w:rPr>
                <w:rFonts w:ascii="Arial" w:hAnsi="Arial" w:cs="Arial"/>
                <w:sz w:val="24"/>
                <w:szCs w:val="24"/>
              </w:rPr>
              <w:t>Brăila</w:t>
            </w:r>
          </w:p>
        </w:tc>
        <w:tc>
          <w:tcPr>
            <w:tcW w:w="992" w:type="dxa"/>
            <w:shd w:val="clear" w:color="auto" w:fill="DAEEF3"/>
            <w:vAlign w:val="center"/>
          </w:tcPr>
          <w:p w:rsidR="00D4086A" w:rsidRPr="00594535" w:rsidRDefault="00D4086A" w:rsidP="00880E32">
            <w:pPr>
              <w:pStyle w:val="BodyTextIndent"/>
              <w:spacing w:after="0" w:line="240" w:lineRule="auto"/>
              <w:ind w:left="0"/>
              <w:jc w:val="center"/>
              <w:rPr>
                <w:rFonts w:ascii="Arial" w:hAnsi="Arial" w:cs="Arial"/>
                <w:sz w:val="24"/>
                <w:szCs w:val="24"/>
              </w:rPr>
            </w:pPr>
            <w:r w:rsidRPr="00594535">
              <w:rPr>
                <w:rFonts w:ascii="Arial" w:hAnsi="Arial" w:cs="Arial"/>
                <w:sz w:val="24"/>
                <w:szCs w:val="24"/>
              </w:rPr>
              <w:t>31</w:t>
            </w:r>
          </w:p>
        </w:tc>
        <w:tc>
          <w:tcPr>
            <w:tcW w:w="851" w:type="dxa"/>
            <w:shd w:val="clear" w:color="auto" w:fill="DAEEF3"/>
            <w:vAlign w:val="center"/>
          </w:tcPr>
          <w:p w:rsidR="00D4086A" w:rsidRPr="00594535" w:rsidRDefault="00D4086A" w:rsidP="00880E32">
            <w:pPr>
              <w:pStyle w:val="BodyTextIndent"/>
              <w:spacing w:after="0" w:line="240" w:lineRule="auto"/>
              <w:ind w:left="0"/>
              <w:jc w:val="center"/>
              <w:rPr>
                <w:rFonts w:ascii="Arial" w:hAnsi="Arial" w:cs="Arial"/>
                <w:sz w:val="24"/>
                <w:szCs w:val="24"/>
              </w:rPr>
            </w:pPr>
            <w:r w:rsidRPr="00594535">
              <w:rPr>
                <w:rFonts w:ascii="Arial" w:hAnsi="Arial" w:cs="Arial"/>
                <w:sz w:val="24"/>
                <w:szCs w:val="24"/>
              </w:rPr>
              <w:t>18</w:t>
            </w:r>
          </w:p>
        </w:tc>
        <w:tc>
          <w:tcPr>
            <w:tcW w:w="992" w:type="dxa"/>
            <w:shd w:val="clear" w:color="auto" w:fill="DAEEF3"/>
            <w:vAlign w:val="center"/>
          </w:tcPr>
          <w:p w:rsidR="00D4086A" w:rsidRPr="00594535" w:rsidRDefault="00D4086A" w:rsidP="00880E32">
            <w:pPr>
              <w:pStyle w:val="BodyTextIndent"/>
              <w:spacing w:after="0" w:line="240" w:lineRule="auto"/>
              <w:ind w:left="0"/>
              <w:jc w:val="center"/>
              <w:rPr>
                <w:rFonts w:ascii="Arial" w:hAnsi="Arial" w:cs="Arial"/>
                <w:sz w:val="24"/>
                <w:szCs w:val="24"/>
              </w:rPr>
            </w:pPr>
            <w:r w:rsidRPr="00594535">
              <w:rPr>
                <w:rFonts w:ascii="Arial" w:hAnsi="Arial" w:cs="Arial"/>
                <w:sz w:val="24"/>
                <w:szCs w:val="24"/>
              </w:rPr>
              <w:t>21</w:t>
            </w:r>
          </w:p>
        </w:tc>
        <w:tc>
          <w:tcPr>
            <w:tcW w:w="992" w:type="dxa"/>
            <w:shd w:val="clear" w:color="auto" w:fill="DAEEF3"/>
            <w:vAlign w:val="center"/>
          </w:tcPr>
          <w:p w:rsidR="00D4086A" w:rsidRPr="00594535" w:rsidRDefault="00D4086A" w:rsidP="00880E32">
            <w:pPr>
              <w:pStyle w:val="BodyTextIndent"/>
              <w:spacing w:after="0" w:line="240" w:lineRule="auto"/>
              <w:ind w:left="0"/>
              <w:jc w:val="center"/>
              <w:rPr>
                <w:rFonts w:ascii="Arial" w:hAnsi="Arial" w:cs="Arial"/>
                <w:sz w:val="24"/>
                <w:szCs w:val="24"/>
              </w:rPr>
            </w:pPr>
            <w:r w:rsidRPr="00594535">
              <w:rPr>
                <w:rFonts w:ascii="Arial" w:hAnsi="Arial" w:cs="Arial"/>
                <w:sz w:val="24"/>
                <w:szCs w:val="24"/>
              </w:rPr>
              <w:t>36</w:t>
            </w:r>
          </w:p>
        </w:tc>
        <w:tc>
          <w:tcPr>
            <w:tcW w:w="992" w:type="dxa"/>
            <w:shd w:val="clear" w:color="auto" w:fill="DAEEF3"/>
            <w:vAlign w:val="center"/>
          </w:tcPr>
          <w:p w:rsidR="00D4086A" w:rsidRPr="00594535" w:rsidRDefault="00D4086A" w:rsidP="00880E32">
            <w:pPr>
              <w:pStyle w:val="BodyTextIndent"/>
              <w:spacing w:after="0" w:line="240" w:lineRule="auto"/>
              <w:ind w:left="0"/>
              <w:jc w:val="center"/>
              <w:rPr>
                <w:rFonts w:ascii="Arial" w:hAnsi="Arial" w:cs="Arial"/>
                <w:sz w:val="24"/>
                <w:szCs w:val="24"/>
              </w:rPr>
            </w:pPr>
            <w:r>
              <w:rPr>
                <w:rFonts w:ascii="Arial" w:hAnsi="Arial" w:cs="Arial"/>
                <w:sz w:val="24"/>
                <w:szCs w:val="24"/>
              </w:rPr>
              <w:t>26</w:t>
            </w:r>
          </w:p>
        </w:tc>
      </w:tr>
      <w:tr w:rsidR="00D4086A" w:rsidRPr="0090130C" w:rsidTr="0033527B">
        <w:tc>
          <w:tcPr>
            <w:tcW w:w="3258" w:type="dxa"/>
            <w:shd w:val="clear" w:color="auto" w:fill="DAEEF3"/>
          </w:tcPr>
          <w:p w:rsidR="00D4086A" w:rsidRPr="00594535" w:rsidRDefault="00D4086A" w:rsidP="00880E32">
            <w:pPr>
              <w:pStyle w:val="BodyTextIndent"/>
              <w:spacing w:after="0" w:line="240" w:lineRule="auto"/>
              <w:ind w:left="0"/>
              <w:rPr>
                <w:rFonts w:ascii="Arial" w:hAnsi="Arial" w:cs="Arial"/>
                <w:sz w:val="24"/>
                <w:szCs w:val="24"/>
              </w:rPr>
            </w:pPr>
            <w:r w:rsidRPr="00594535">
              <w:rPr>
                <w:rFonts w:ascii="Arial" w:hAnsi="Arial" w:cs="Arial"/>
                <w:sz w:val="24"/>
                <w:szCs w:val="24"/>
              </w:rPr>
              <w:t>Număr de victime</w:t>
            </w:r>
          </w:p>
          <w:p w:rsidR="00D4086A" w:rsidRPr="00594535" w:rsidRDefault="00D4086A" w:rsidP="00880E32">
            <w:pPr>
              <w:pStyle w:val="BodyTextIndent"/>
              <w:spacing w:after="0" w:line="240" w:lineRule="auto"/>
              <w:ind w:left="0"/>
              <w:rPr>
                <w:rFonts w:ascii="Arial" w:hAnsi="Arial" w:cs="Arial"/>
                <w:sz w:val="24"/>
                <w:szCs w:val="24"/>
              </w:rPr>
            </w:pPr>
            <w:r w:rsidRPr="00594535">
              <w:rPr>
                <w:rFonts w:ascii="Arial" w:hAnsi="Arial" w:cs="Arial"/>
                <w:sz w:val="24"/>
                <w:szCs w:val="24"/>
              </w:rPr>
              <w:t>Total din care:</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D4086A" w:rsidRPr="00594535" w:rsidRDefault="00D4086A" w:rsidP="00880E32">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D4086A" w:rsidRPr="0090130C" w:rsidTr="0033527B">
        <w:tc>
          <w:tcPr>
            <w:tcW w:w="3258" w:type="dxa"/>
            <w:shd w:val="clear" w:color="auto" w:fill="DAEEF3"/>
          </w:tcPr>
          <w:p w:rsidR="00D4086A" w:rsidRPr="00594535" w:rsidRDefault="00D4086A" w:rsidP="00880E32">
            <w:pPr>
              <w:pStyle w:val="BodyTextIndent"/>
              <w:spacing w:after="0" w:line="240" w:lineRule="auto"/>
              <w:ind w:left="0"/>
              <w:rPr>
                <w:rFonts w:ascii="Arial" w:hAnsi="Arial" w:cs="Arial"/>
                <w:sz w:val="24"/>
                <w:szCs w:val="24"/>
              </w:rPr>
            </w:pPr>
            <w:r w:rsidRPr="00594535">
              <w:rPr>
                <w:rFonts w:ascii="Arial" w:hAnsi="Arial" w:cs="Arial"/>
                <w:sz w:val="24"/>
                <w:szCs w:val="24"/>
              </w:rPr>
              <w:t>Număr persoane decedate</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D4086A" w:rsidRPr="00594535" w:rsidRDefault="00D4086A" w:rsidP="00880E32">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D4086A" w:rsidRPr="0090130C" w:rsidTr="0033527B">
        <w:tc>
          <w:tcPr>
            <w:tcW w:w="3258" w:type="dxa"/>
            <w:shd w:val="clear" w:color="auto" w:fill="DAEEF3"/>
          </w:tcPr>
          <w:p w:rsidR="00D4086A" w:rsidRPr="00594535" w:rsidRDefault="00D4086A" w:rsidP="00880E32">
            <w:pPr>
              <w:pStyle w:val="BodyTextIndent"/>
              <w:spacing w:after="0" w:line="240" w:lineRule="auto"/>
              <w:ind w:left="0"/>
              <w:rPr>
                <w:rFonts w:ascii="Arial" w:hAnsi="Arial" w:cs="Arial"/>
                <w:sz w:val="24"/>
                <w:szCs w:val="24"/>
              </w:rPr>
            </w:pPr>
            <w:r w:rsidRPr="00594535">
              <w:rPr>
                <w:rFonts w:ascii="Arial" w:hAnsi="Arial" w:cs="Arial"/>
                <w:sz w:val="24"/>
                <w:szCs w:val="24"/>
              </w:rPr>
              <w:t>Număr persoane rănite</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D4086A" w:rsidRPr="00594535" w:rsidRDefault="00D4086A" w:rsidP="00880E32">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D4086A" w:rsidRPr="0090130C" w:rsidTr="0033527B">
        <w:tc>
          <w:tcPr>
            <w:tcW w:w="3258" w:type="dxa"/>
            <w:shd w:val="clear" w:color="auto" w:fill="DAEEF3"/>
          </w:tcPr>
          <w:p w:rsidR="00D4086A" w:rsidRPr="00594535" w:rsidRDefault="00D4086A" w:rsidP="00880E32">
            <w:pPr>
              <w:pStyle w:val="BodyTextIndent"/>
              <w:spacing w:after="0" w:line="240" w:lineRule="auto"/>
              <w:ind w:left="0"/>
              <w:rPr>
                <w:rFonts w:ascii="Arial" w:hAnsi="Arial" w:cs="Arial"/>
                <w:sz w:val="24"/>
                <w:szCs w:val="24"/>
              </w:rPr>
            </w:pPr>
            <w:r w:rsidRPr="00594535">
              <w:rPr>
                <w:rFonts w:ascii="Arial" w:hAnsi="Arial" w:cs="Arial"/>
                <w:sz w:val="24"/>
                <w:szCs w:val="24"/>
              </w:rPr>
              <w:t>Număr persoane evacuate</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D4086A" w:rsidRPr="00594535" w:rsidRDefault="00D4086A" w:rsidP="00880E32">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D4086A" w:rsidRPr="0090130C" w:rsidTr="0033527B">
        <w:tc>
          <w:tcPr>
            <w:tcW w:w="3258" w:type="dxa"/>
            <w:shd w:val="clear" w:color="auto" w:fill="DAEEF3"/>
          </w:tcPr>
          <w:p w:rsidR="00D4086A" w:rsidRPr="00594535" w:rsidRDefault="00D4086A" w:rsidP="00880E32">
            <w:pPr>
              <w:pStyle w:val="BodyTextIndent"/>
              <w:spacing w:after="0" w:line="240" w:lineRule="auto"/>
              <w:ind w:left="0"/>
              <w:rPr>
                <w:rFonts w:ascii="Arial" w:hAnsi="Arial" w:cs="Arial"/>
                <w:sz w:val="24"/>
                <w:szCs w:val="24"/>
              </w:rPr>
            </w:pPr>
            <w:r w:rsidRPr="00594535">
              <w:rPr>
                <w:rFonts w:ascii="Arial" w:hAnsi="Arial" w:cs="Arial"/>
                <w:sz w:val="24"/>
                <w:szCs w:val="24"/>
              </w:rPr>
              <w:t>Număr persoane cu locuinţe distruse</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D4086A" w:rsidRPr="00594535" w:rsidRDefault="00D4086A" w:rsidP="00880E32">
            <w:pPr>
              <w:pStyle w:val="BodyTextIndent"/>
              <w:spacing w:after="0" w:line="240" w:lineRule="auto"/>
              <w:ind w:left="0"/>
              <w:jc w:val="center"/>
              <w:rPr>
                <w:rFonts w:ascii="Arial" w:hAnsi="Arial" w:cs="Arial"/>
                <w:sz w:val="24"/>
                <w:szCs w:val="24"/>
              </w:rPr>
            </w:pPr>
            <w:r>
              <w:rPr>
                <w:rFonts w:ascii="Arial" w:hAnsi="Arial" w:cs="Arial"/>
                <w:sz w:val="24"/>
                <w:szCs w:val="24"/>
              </w:rPr>
              <w:t>-</w:t>
            </w:r>
          </w:p>
        </w:tc>
      </w:tr>
      <w:tr w:rsidR="00D4086A" w:rsidRPr="0090130C" w:rsidTr="0033527B">
        <w:tc>
          <w:tcPr>
            <w:tcW w:w="3258" w:type="dxa"/>
            <w:shd w:val="clear" w:color="auto" w:fill="DAEEF3"/>
          </w:tcPr>
          <w:p w:rsidR="00D4086A" w:rsidRPr="00594535" w:rsidRDefault="00D4086A" w:rsidP="00880E32">
            <w:pPr>
              <w:pStyle w:val="BodyTextIndent"/>
              <w:spacing w:after="0" w:line="240" w:lineRule="auto"/>
              <w:ind w:left="0"/>
              <w:rPr>
                <w:rFonts w:ascii="Arial" w:hAnsi="Arial" w:cs="Arial"/>
                <w:sz w:val="24"/>
                <w:szCs w:val="24"/>
              </w:rPr>
            </w:pPr>
            <w:r w:rsidRPr="00594535">
              <w:rPr>
                <w:rFonts w:ascii="Arial" w:hAnsi="Arial" w:cs="Arial"/>
                <w:sz w:val="24"/>
                <w:szCs w:val="24"/>
              </w:rPr>
              <w:t>Număr cazuri îmbolnăviri datorită consumului de apă contaminată</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851"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vAlign w:val="center"/>
          </w:tcPr>
          <w:p w:rsidR="00D4086A" w:rsidRPr="00594535" w:rsidRDefault="00D4086A" w:rsidP="00880E32">
            <w:pPr>
              <w:pStyle w:val="BodyTextIndent"/>
              <w:spacing w:after="0" w:line="240" w:lineRule="auto"/>
              <w:ind w:left="0"/>
              <w:jc w:val="both"/>
              <w:rPr>
                <w:rFonts w:ascii="Arial" w:hAnsi="Arial" w:cs="Arial"/>
                <w:sz w:val="24"/>
                <w:szCs w:val="24"/>
              </w:rPr>
            </w:pPr>
            <w:r w:rsidRPr="00594535">
              <w:rPr>
                <w:rFonts w:ascii="Arial" w:hAnsi="Arial" w:cs="Arial"/>
                <w:sz w:val="24"/>
                <w:szCs w:val="24"/>
              </w:rPr>
              <w:t>-</w:t>
            </w:r>
          </w:p>
        </w:tc>
        <w:tc>
          <w:tcPr>
            <w:tcW w:w="992" w:type="dxa"/>
            <w:shd w:val="clear" w:color="auto" w:fill="DAEEF3"/>
          </w:tcPr>
          <w:p w:rsidR="00D4086A" w:rsidRPr="00594535" w:rsidRDefault="00D4086A" w:rsidP="00880E32">
            <w:pPr>
              <w:pStyle w:val="BodyTextIndent"/>
              <w:spacing w:after="0" w:line="240" w:lineRule="auto"/>
              <w:ind w:left="0"/>
              <w:jc w:val="center"/>
              <w:rPr>
                <w:rFonts w:ascii="Arial" w:hAnsi="Arial" w:cs="Arial"/>
                <w:sz w:val="24"/>
                <w:szCs w:val="24"/>
              </w:rPr>
            </w:pPr>
            <w:r>
              <w:rPr>
                <w:rFonts w:ascii="Arial" w:hAnsi="Arial" w:cs="Arial"/>
                <w:sz w:val="24"/>
                <w:szCs w:val="24"/>
              </w:rPr>
              <w:t>-</w:t>
            </w:r>
          </w:p>
        </w:tc>
      </w:tr>
    </w:tbl>
    <w:p w:rsidR="00D4086A" w:rsidRPr="00594535" w:rsidRDefault="00D4086A" w:rsidP="00880E32">
      <w:pPr>
        <w:pStyle w:val="BodyTextIndent"/>
        <w:spacing w:after="0"/>
        <w:ind w:left="0"/>
        <w:jc w:val="both"/>
        <w:rPr>
          <w:rFonts w:ascii="Arial" w:hAnsi="Arial" w:cs="Arial"/>
          <w:sz w:val="24"/>
          <w:szCs w:val="24"/>
        </w:rPr>
      </w:pPr>
    </w:p>
    <w:p w:rsidR="00D4086A" w:rsidRPr="00594535" w:rsidRDefault="00D4086A" w:rsidP="00D4086A">
      <w:pPr>
        <w:autoSpaceDE w:val="0"/>
        <w:autoSpaceDN w:val="0"/>
        <w:adjustRightInd w:val="0"/>
        <w:jc w:val="both"/>
        <w:rPr>
          <w:rStyle w:val="FontStyle22"/>
          <w:rFonts w:ascii="Arial" w:hAnsi="Arial" w:cs="Arial"/>
          <w:spacing w:val="-4"/>
        </w:rPr>
      </w:pPr>
      <w:r w:rsidRPr="004E720D">
        <w:rPr>
          <w:rFonts w:ascii="Arial" w:hAnsi="Arial" w:cs="Arial"/>
          <w:sz w:val="24"/>
          <w:szCs w:val="24"/>
        </w:rPr>
        <w:t xml:space="preserve">Tabel nr. VIII.1.5.2. – 2 </w:t>
      </w:r>
      <w:r w:rsidRPr="004E720D">
        <w:rPr>
          <w:rStyle w:val="FontStyle22"/>
          <w:rFonts w:ascii="Arial" w:hAnsi="Arial" w:cs="Arial"/>
          <w:spacing w:val="-4"/>
        </w:rPr>
        <w:t>Localităţi</w:t>
      </w:r>
      <w:r w:rsidRPr="00594535">
        <w:rPr>
          <w:rStyle w:val="FontStyle22"/>
          <w:rFonts w:ascii="Arial" w:hAnsi="Arial" w:cs="Arial"/>
          <w:spacing w:val="-4"/>
        </w:rPr>
        <w:t xml:space="preserve"> afectate de inundaţii </w:t>
      </w:r>
      <w:r w:rsidRPr="00594535">
        <w:rPr>
          <w:rFonts w:ascii="Arial" w:hAnsi="Arial" w:cs="Arial"/>
          <w:sz w:val="24"/>
          <w:szCs w:val="24"/>
        </w:rPr>
        <w:t xml:space="preserve">la nivelul judeţului </w:t>
      </w:r>
      <w:r w:rsidR="00217620">
        <w:rPr>
          <w:rFonts w:ascii="Arial" w:hAnsi="Arial" w:cs="Arial"/>
          <w:sz w:val="24"/>
          <w:szCs w:val="24"/>
        </w:rPr>
        <w:t>Brăila</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tblPr>
      <w:tblGrid>
        <w:gridCol w:w="1094"/>
        <w:gridCol w:w="890"/>
        <w:gridCol w:w="1134"/>
        <w:gridCol w:w="992"/>
        <w:gridCol w:w="993"/>
        <w:gridCol w:w="992"/>
      </w:tblGrid>
      <w:tr w:rsidR="00D4086A" w:rsidRPr="0090130C" w:rsidTr="0033527B">
        <w:trPr>
          <w:jc w:val="center"/>
        </w:trPr>
        <w:tc>
          <w:tcPr>
            <w:tcW w:w="1094" w:type="dxa"/>
            <w:shd w:val="clear" w:color="auto" w:fill="DAEEF3"/>
          </w:tcPr>
          <w:p w:rsidR="00D4086A" w:rsidRPr="00594535" w:rsidRDefault="00D4086A" w:rsidP="0033527B">
            <w:pPr>
              <w:pStyle w:val="BodyTextIndent"/>
              <w:spacing w:after="0"/>
              <w:ind w:left="0"/>
              <w:jc w:val="both"/>
              <w:rPr>
                <w:rFonts w:ascii="Arial" w:hAnsi="Arial" w:cs="Arial"/>
                <w:sz w:val="24"/>
                <w:szCs w:val="24"/>
              </w:rPr>
            </w:pPr>
          </w:p>
        </w:tc>
        <w:tc>
          <w:tcPr>
            <w:tcW w:w="890" w:type="dxa"/>
            <w:shd w:val="clear" w:color="auto" w:fill="DAEEF3"/>
            <w:vAlign w:val="center"/>
          </w:tcPr>
          <w:p w:rsidR="00D4086A" w:rsidRPr="00594535" w:rsidRDefault="00D4086A" w:rsidP="00880E32">
            <w:pPr>
              <w:pStyle w:val="BodyTextIndent"/>
              <w:spacing w:after="0"/>
              <w:ind w:left="0"/>
              <w:jc w:val="center"/>
              <w:rPr>
                <w:rFonts w:ascii="Arial" w:hAnsi="Arial" w:cs="Arial"/>
                <w:b/>
                <w:sz w:val="24"/>
                <w:szCs w:val="24"/>
              </w:rPr>
            </w:pPr>
            <w:r w:rsidRPr="00594535">
              <w:rPr>
                <w:rFonts w:ascii="Arial" w:hAnsi="Arial" w:cs="Arial"/>
                <w:b/>
                <w:sz w:val="24"/>
                <w:szCs w:val="24"/>
              </w:rPr>
              <w:t>2012</w:t>
            </w:r>
          </w:p>
        </w:tc>
        <w:tc>
          <w:tcPr>
            <w:tcW w:w="1134" w:type="dxa"/>
            <w:shd w:val="clear" w:color="auto" w:fill="DAEEF3"/>
            <w:vAlign w:val="center"/>
          </w:tcPr>
          <w:p w:rsidR="00D4086A" w:rsidRPr="00594535" w:rsidRDefault="00D4086A" w:rsidP="00880E32">
            <w:pPr>
              <w:pStyle w:val="BodyTextIndent"/>
              <w:spacing w:after="0"/>
              <w:ind w:left="0"/>
              <w:jc w:val="center"/>
              <w:rPr>
                <w:rFonts w:ascii="Arial" w:hAnsi="Arial" w:cs="Arial"/>
                <w:b/>
                <w:sz w:val="24"/>
                <w:szCs w:val="24"/>
              </w:rPr>
            </w:pPr>
            <w:r w:rsidRPr="00594535">
              <w:rPr>
                <w:rFonts w:ascii="Arial" w:hAnsi="Arial" w:cs="Arial"/>
                <w:b/>
                <w:sz w:val="24"/>
                <w:szCs w:val="24"/>
              </w:rPr>
              <w:t>2013</w:t>
            </w:r>
          </w:p>
        </w:tc>
        <w:tc>
          <w:tcPr>
            <w:tcW w:w="992" w:type="dxa"/>
            <w:shd w:val="clear" w:color="auto" w:fill="DAEEF3"/>
            <w:vAlign w:val="center"/>
          </w:tcPr>
          <w:p w:rsidR="00D4086A" w:rsidRPr="00594535" w:rsidRDefault="00D4086A" w:rsidP="00880E32">
            <w:pPr>
              <w:pStyle w:val="BodyTextIndent"/>
              <w:spacing w:after="0"/>
              <w:ind w:left="0"/>
              <w:jc w:val="center"/>
              <w:rPr>
                <w:rFonts w:ascii="Arial" w:hAnsi="Arial" w:cs="Arial"/>
                <w:b/>
                <w:sz w:val="24"/>
                <w:szCs w:val="24"/>
              </w:rPr>
            </w:pPr>
            <w:r w:rsidRPr="00594535">
              <w:rPr>
                <w:rFonts w:ascii="Arial" w:hAnsi="Arial" w:cs="Arial"/>
                <w:b/>
                <w:sz w:val="24"/>
                <w:szCs w:val="24"/>
              </w:rPr>
              <w:t>2014</w:t>
            </w:r>
          </w:p>
        </w:tc>
        <w:tc>
          <w:tcPr>
            <w:tcW w:w="993" w:type="dxa"/>
            <w:shd w:val="clear" w:color="auto" w:fill="DAEEF3"/>
          </w:tcPr>
          <w:p w:rsidR="00D4086A" w:rsidRPr="00594535" w:rsidRDefault="00D4086A" w:rsidP="00880E32">
            <w:pPr>
              <w:pStyle w:val="BodyTextIndent"/>
              <w:spacing w:after="0"/>
              <w:ind w:left="0"/>
              <w:jc w:val="center"/>
              <w:rPr>
                <w:rFonts w:ascii="Arial" w:hAnsi="Arial" w:cs="Arial"/>
                <w:b/>
                <w:sz w:val="24"/>
                <w:szCs w:val="24"/>
              </w:rPr>
            </w:pPr>
            <w:r w:rsidRPr="00594535">
              <w:rPr>
                <w:rFonts w:ascii="Arial" w:hAnsi="Arial" w:cs="Arial"/>
                <w:b/>
                <w:sz w:val="24"/>
                <w:szCs w:val="24"/>
              </w:rPr>
              <w:t>2015</w:t>
            </w:r>
          </w:p>
        </w:tc>
        <w:tc>
          <w:tcPr>
            <w:tcW w:w="992" w:type="dxa"/>
            <w:shd w:val="clear" w:color="auto" w:fill="DAEEF3"/>
          </w:tcPr>
          <w:p w:rsidR="00D4086A" w:rsidRPr="00594535" w:rsidRDefault="00D4086A" w:rsidP="00880E32">
            <w:pPr>
              <w:pStyle w:val="BodyTextIndent"/>
              <w:spacing w:after="0"/>
              <w:ind w:left="0"/>
              <w:jc w:val="center"/>
              <w:rPr>
                <w:rFonts w:ascii="Arial" w:hAnsi="Arial" w:cs="Arial"/>
                <w:b/>
                <w:sz w:val="24"/>
                <w:szCs w:val="24"/>
              </w:rPr>
            </w:pPr>
            <w:r>
              <w:rPr>
                <w:rFonts w:ascii="Arial" w:hAnsi="Arial" w:cs="Arial"/>
                <w:b/>
                <w:sz w:val="24"/>
                <w:szCs w:val="24"/>
              </w:rPr>
              <w:t>2016</w:t>
            </w:r>
          </w:p>
        </w:tc>
      </w:tr>
      <w:tr w:rsidR="00D4086A" w:rsidRPr="0090130C" w:rsidTr="0033527B">
        <w:trPr>
          <w:jc w:val="center"/>
        </w:trPr>
        <w:tc>
          <w:tcPr>
            <w:tcW w:w="1094" w:type="dxa"/>
            <w:shd w:val="clear" w:color="auto" w:fill="DAEEF3"/>
          </w:tcPr>
          <w:p w:rsidR="00D4086A" w:rsidRPr="00594535" w:rsidRDefault="00D4086A" w:rsidP="0033527B">
            <w:pPr>
              <w:pStyle w:val="Style8"/>
              <w:widowControl/>
              <w:spacing w:line="240" w:lineRule="auto"/>
              <w:ind w:firstLine="0"/>
              <w:rPr>
                <w:rStyle w:val="FontStyle22"/>
                <w:rFonts w:ascii="Arial" w:eastAsia="Calibri" w:hAnsi="Arial" w:cs="Arial"/>
                <w:spacing w:val="-4"/>
              </w:rPr>
            </w:pPr>
            <w:r w:rsidRPr="00594535">
              <w:rPr>
                <w:rStyle w:val="FontStyle22"/>
                <w:rFonts w:ascii="Arial" w:eastAsia="Calibri" w:hAnsi="Arial" w:cs="Arial"/>
                <w:spacing w:val="-4"/>
              </w:rPr>
              <w:t>Număr</w:t>
            </w:r>
          </w:p>
        </w:tc>
        <w:tc>
          <w:tcPr>
            <w:tcW w:w="890" w:type="dxa"/>
            <w:shd w:val="clear" w:color="auto" w:fill="DAEEF3"/>
          </w:tcPr>
          <w:p w:rsidR="00D4086A" w:rsidRPr="00594535" w:rsidRDefault="00D4086A" w:rsidP="00880E32">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6</w:t>
            </w:r>
          </w:p>
        </w:tc>
        <w:tc>
          <w:tcPr>
            <w:tcW w:w="1134" w:type="dxa"/>
            <w:shd w:val="clear" w:color="auto" w:fill="DAEEF3"/>
          </w:tcPr>
          <w:p w:rsidR="00D4086A" w:rsidRPr="00594535" w:rsidRDefault="00D4086A" w:rsidP="00880E32">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14</w:t>
            </w:r>
          </w:p>
        </w:tc>
        <w:tc>
          <w:tcPr>
            <w:tcW w:w="992" w:type="dxa"/>
            <w:shd w:val="clear" w:color="auto" w:fill="DAEEF3"/>
          </w:tcPr>
          <w:p w:rsidR="00D4086A" w:rsidRPr="00594535" w:rsidRDefault="00D4086A" w:rsidP="00880E32">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10</w:t>
            </w:r>
          </w:p>
        </w:tc>
        <w:tc>
          <w:tcPr>
            <w:tcW w:w="993" w:type="dxa"/>
            <w:shd w:val="clear" w:color="auto" w:fill="DAEEF3"/>
          </w:tcPr>
          <w:p w:rsidR="00D4086A" w:rsidRPr="00594535" w:rsidRDefault="00D4086A" w:rsidP="00880E32">
            <w:pPr>
              <w:pStyle w:val="Style8"/>
              <w:widowControl/>
              <w:spacing w:line="240" w:lineRule="auto"/>
              <w:ind w:firstLine="0"/>
              <w:jc w:val="center"/>
              <w:rPr>
                <w:rStyle w:val="FontStyle22"/>
                <w:rFonts w:ascii="Arial" w:eastAsia="Calibri" w:hAnsi="Arial" w:cs="Arial"/>
                <w:spacing w:val="-4"/>
              </w:rPr>
            </w:pPr>
            <w:r w:rsidRPr="00594535">
              <w:rPr>
                <w:rStyle w:val="FontStyle22"/>
                <w:rFonts w:ascii="Arial" w:eastAsia="Calibri" w:hAnsi="Arial" w:cs="Arial"/>
                <w:spacing w:val="-4"/>
              </w:rPr>
              <w:t>10</w:t>
            </w:r>
          </w:p>
        </w:tc>
        <w:tc>
          <w:tcPr>
            <w:tcW w:w="992" w:type="dxa"/>
            <w:shd w:val="clear" w:color="auto" w:fill="DAEEF3"/>
          </w:tcPr>
          <w:p w:rsidR="00D4086A" w:rsidRPr="00594535" w:rsidRDefault="00D4086A" w:rsidP="00880E32">
            <w:pPr>
              <w:pStyle w:val="Style8"/>
              <w:widowControl/>
              <w:spacing w:line="240" w:lineRule="auto"/>
              <w:ind w:firstLine="0"/>
              <w:jc w:val="center"/>
              <w:rPr>
                <w:rStyle w:val="FontStyle22"/>
                <w:rFonts w:ascii="Arial" w:eastAsia="Calibri" w:hAnsi="Arial" w:cs="Arial"/>
                <w:spacing w:val="-4"/>
              </w:rPr>
            </w:pPr>
            <w:r>
              <w:rPr>
                <w:rStyle w:val="FontStyle22"/>
                <w:rFonts w:ascii="Arial" w:eastAsia="Calibri" w:hAnsi="Arial" w:cs="Arial"/>
                <w:spacing w:val="-4"/>
              </w:rPr>
              <w:t>10</w:t>
            </w:r>
          </w:p>
        </w:tc>
      </w:tr>
    </w:tbl>
    <w:p w:rsidR="00D4086A" w:rsidRPr="00594535" w:rsidRDefault="00D4086A" w:rsidP="00D4086A">
      <w:pPr>
        <w:tabs>
          <w:tab w:val="left" w:leader="dot" w:pos="8640"/>
        </w:tabs>
        <w:ind w:right="360"/>
        <w:jc w:val="both"/>
        <w:rPr>
          <w:rFonts w:ascii="Arial" w:hAnsi="Arial" w:cs="Arial"/>
          <w:b/>
          <w:sz w:val="24"/>
          <w:szCs w:val="24"/>
        </w:rPr>
      </w:pPr>
    </w:p>
    <w:p w:rsidR="008914B8" w:rsidRPr="004E720D" w:rsidRDefault="008914B8" w:rsidP="004E720D">
      <w:pPr>
        <w:pStyle w:val="Default"/>
        <w:rPr>
          <w:rFonts w:ascii="Arial" w:hAnsi="Arial" w:cs="Arial"/>
          <w:b/>
          <w:sz w:val="28"/>
          <w:szCs w:val="28"/>
        </w:rPr>
      </w:pPr>
      <w:r w:rsidRPr="00C625DB">
        <w:rPr>
          <w:rFonts w:ascii="Arial" w:hAnsi="Arial" w:cs="Arial"/>
        </w:rPr>
        <w:t xml:space="preserve"> </w:t>
      </w:r>
      <w:r w:rsidRPr="004E720D">
        <w:rPr>
          <w:rFonts w:ascii="Arial" w:hAnsi="Arial" w:cs="Arial"/>
          <w:sz w:val="28"/>
          <w:szCs w:val="28"/>
        </w:rPr>
        <w:t xml:space="preserve"> </w:t>
      </w:r>
      <w:r w:rsidRPr="004E720D">
        <w:rPr>
          <w:rFonts w:ascii="Arial" w:hAnsi="Arial" w:cs="Arial"/>
          <w:b/>
          <w:sz w:val="28"/>
          <w:szCs w:val="28"/>
        </w:rPr>
        <w:t>IX.  RADIOACTIVITATEA MEDIULUI</w:t>
      </w:r>
    </w:p>
    <w:p w:rsidR="0033527B" w:rsidRPr="00594535" w:rsidRDefault="008914B8" w:rsidP="0033527B">
      <w:pPr>
        <w:tabs>
          <w:tab w:val="left" w:pos="8505"/>
        </w:tabs>
        <w:ind w:right="1276"/>
        <w:jc w:val="both"/>
        <w:rPr>
          <w:rFonts w:ascii="Arial" w:hAnsi="Arial" w:cs="Arial"/>
          <w:b/>
          <w:sz w:val="24"/>
          <w:szCs w:val="24"/>
        </w:rPr>
      </w:pPr>
      <w:r w:rsidRPr="00C625DB">
        <w:rPr>
          <w:rFonts w:ascii="Arial" w:hAnsi="Arial" w:cs="Arial"/>
          <w:b/>
          <w:sz w:val="24"/>
          <w:szCs w:val="24"/>
        </w:rPr>
        <w:t xml:space="preserve">    </w:t>
      </w:r>
      <w:r w:rsidR="0033527B" w:rsidRPr="00594535">
        <w:rPr>
          <w:rFonts w:ascii="Arial" w:hAnsi="Arial" w:cs="Arial"/>
          <w:b/>
          <w:sz w:val="24"/>
          <w:szCs w:val="24"/>
        </w:rPr>
        <w:t xml:space="preserve">    IX.1. Monitorizarea radioactivității factorilor de mediu</w:t>
      </w:r>
    </w:p>
    <w:p w:rsidR="0033527B" w:rsidRDefault="0033527B" w:rsidP="0033527B">
      <w:pPr>
        <w:tabs>
          <w:tab w:val="left" w:pos="8505"/>
        </w:tabs>
        <w:ind w:right="1276"/>
        <w:jc w:val="both"/>
        <w:rPr>
          <w:rFonts w:ascii="Arial" w:hAnsi="Arial" w:cs="Arial"/>
          <w:b/>
          <w:i/>
          <w:sz w:val="24"/>
          <w:szCs w:val="24"/>
        </w:rPr>
      </w:pPr>
      <w:r w:rsidRPr="00594535">
        <w:rPr>
          <w:rFonts w:ascii="Arial" w:hAnsi="Arial" w:cs="Arial"/>
          <w:b/>
          <w:sz w:val="24"/>
          <w:szCs w:val="24"/>
        </w:rPr>
        <w:t xml:space="preserve">           IX.1.1. </w:t>
      </w:r>
      <w:r w:rsidRPr="00594535">
        <w:rPr>
          <w:rFonts w:ascii="Arial" w:hAnsi="Arial" w:cs="Arial"/>
          <w:b/>
          <w:i/>
          <w:sz w:val="24"/>
          <w:szCs w:val="24"/>
        </w:rPr>
        <w:t>Radioactivitatea aerului</w:t>
      </w:r>
    </w:p>
    <w:p w:rsidR="0033527B" w:rsidRPr="00594535" w:rsidRDefault="0033527B" w:rsidP="0033527B">
      <w:pPr>
        <w:tabs>
          <w:tab w:val="left" w:pos="8505"/>
        </w:tabs>
        <w:ind w:right="1276"/>
        <w:jc w:val="both"/>
        <w:rPr>
          <w:rFonts w:ascii="Arial" w:hAnsi="Arial" w:cs="Arial"/>
          <w:b/>
          <w:sz w:val="24"/>
          <w:szCs w:val="24"/>
        </w:rPr>
      </w:pPr>
      <w:r w:rsidRPr="00594535">
        <w:rPr>
          <w:rFonts w:ascii="Arial" w:hAnsi="Arial" w:cs="Arial"/>
          <w:b/>
          <w:sz w:val="24"/>
          <w:szCs w:val="24"/>
        </w:rPr>
        <w:t xml:space="preserve">    Debitul dozei gamma absorbită în aer</w:t>
      </w:r>
    </w:p>
    <w:p w:rsidR="0033527B" w:rsidRPr="00594535" w:rsidRDefault="0033527B" w:rsidP="00387899">
      <w:pPr>
        <w:pStyle w:val="BodyTextIndent3"/>
        <w:spacing w:after="0"/>
        <w:ind w:left="0" w:firstLine="708"/>
        <w:jc w:val="both"/>
        <w:rPr>
          <w:rFonts w:ascii="Arial" w:hAnsi="Arial" w:cs="Arial"/>
          <w:sz w:val="24"/>
          <w:szCs w:val="24"/>
        </w:rPr>
      </w:pPr>
      <w:r w:rsidRPr="00594535">
        <w:rPr>
          <w:rFonts w:ascii="Arial" w:hAnsi="Arial" w:cs="Arial"/>
          <w:sz w:val="24"/>
          <w:szCs w:val="24"/>
        </w:rPr>
        <w:t>Reţeaua Naţională de Supraveghere a Radioactivităţii Mediului (RNSRM) face parte din Sistemul Integrat de Supraveghere a Poluării Mediului pe teritoriul României, din cadrul Ministerului Mediului, Apelor și Pădurilor. Coordonarea ştiinţifică, tehnică şi metodologică a RNSRM este asigurată de Laboratorul Naţional de Referinţă pentru Radioactivitate din cadrul Agenţiei Naţionale pentru Protecţia Mediului București.</w:t>
      </w:r>
    </w:p>
    <w:p w:rsidR="0033527B" w:rsidRPr="00594535" w:rsidRDefault="0033527B" w:rsidP="00387899">
      <w:pPr>
        <w:spacing w:line="240" w:lineRule="auto"/>
        <w:ind w:firstLine="284"/>
        <w:jc w:val="both"/>
        <w:rPr>
          <w:rFonts w:ascii="Arial" w:hAnsi="Arial" w:cs="Arial"/>
          <w:sz w:val="24"/>
          <w:szCs w:val="24"/>
        </w:rPr>
      </w:pPr>
      <w:r w:rsidRPr="00594535">
        <w:rPr>
          <w:rFonts w:ascii="Arial" w:hAnsi="Arial" w:cs="Arial"/>
          <w:sz w:val="24"/>
          <w:szCs w:val="24"/>
        </w:rPr>
        <w:t>Staţia automată de monitorizare a debitului de doză gama absorbită în aer în timp real, achiziționată prin proiectul Proiectului PHARE RO2003/005-551.04.11.01 ,,Procurement of the Necessary Equipament for an Adequate Enviromental Radioactivity Monitoring and Reporting System”, face parte din RNSRM. Obiectivul principal al staţiei este detectarea oricăror creşteri cu semnificaţie radiologică a nivelelor de radioactivitate din mediu.</w:t>
      </w:r>
    </w:p>
    <w:p w:rsidR="0033527B" w:rsidRPr="004E720D" w:rsidRDefault="0033527B" w:rsidP="00387899">
      <w:pPr>
        <w:spacing w:line="240" w:lineRule="auto"/>
        <w:ind w:firstLine="708"/>
        <w:jc w:val="both"/>
        <w:rPr>
          <w:rFonts w:ascii="Arial" w:hAnsi="Arial" w:cs="Arial"/>
          <w:sz w:val="24"/>
          <w:szCs w:val="24"/>
        </w:rPr>
      </w:pPr>
      <w:r w:rsidRPr="00594535">
        <w:rPr>
          <w:rFonts w:ascii="Arial" w:hAnsi="Arial" w:cs="Arial"/>
          <w:sz w:val="24"/>
          <w:szCs w:val="24"/>
        </w:rPr>
        <w:t xml:space="preserve">Monitorizarea dozei gama în aer se realizează în mod continuu, la distanţă de </w:t>
      </w:r>
      <w:smartTag w:uri="urn:schemas-microsoft-com:office:smarttags" w:element="metricconverter">
        <w:smartTagPr>
          <w:attr w:name="ProductID" w:val="1 metru"/>
        </w:smartTagPr>
        <w:r w:rsidRPr="00594535">
          <w:rPr>
            <w:rFonts w:ascii="Arial" w:hAnsi="Arial" w:cs="Arial"/>
            <w:sz w:val="24"/>
            <w:szCs w:val="24"/>
          </w:rPr>
          <w:t>1 metru</w:t>
        </w:r>
      </w:smartTag>
      <w:r w:rsidRPr="00594535">
        <w:rPr>
          <w:rFonts w:ascii="Arial" w:hAnsi="Arial" w:cs="Arial"/>
          <w:sz w:val="24"/>
          <w:szCs w:val="24"/>
        </w:rPr>
        <w:t xml:space="preserve"> faţă de sol, prin măsurătorile debitului echivalentului de doză, înregistrate cu o frecvenţă de 60 minute, stabilită de către Laboratorul Naţional de Referinţă pentru Radioactivitate. Datele achiziţionate de staţie sunt transmise în timp real, printr-un sistem de comunicaţie GPRS/GSM, la serverul ANPM din Laboratorul de Radioactivitatea Mediului unde acestea sunt validate și </w:t>
      </w:r>
      <w:r w:rsidRPr="004E720D">
        <w:rPr>
          <w:rFonts w:ascii="Arial" w:hAnsi="Arial" w:cs="Arial"/>
          <w:sz w:val="24"/>
          <w:szCs w:val="24"/>
        </w:rPr>
        <w:t xml:space="preserve">apoi la severul Agenţiei pentru Protecţia Mediului </w:t>
      </w:r>
      <w:r w:rsidR="00217620" w:rsidRPr="004E720D">
        <w:rPr>
          <w:rFonts w:ascii="Arial" w:hAnsi="Arial" w:cs="Arial"/>
          <w:sz w:val="24"/>
          <w:szCs w:val="24"/>
        </w:rPr>
        <w:t>Brăila</w:t>
      </w:r>
      <w:r w:rsidRPr="004E720D">
        <w:rPr>
          <w:rFonts w:ascii="Arial" w:hAnsi="Arial" w:cs="Arial"/>
          <w:sz w:val="24"/>
          <w:szCs w:val="24"/>
        </w:rPr>
        <w:t>.</w:t>
      </w:r>
    </w:p>
    <w:p w:rsidR="0033527B" w:rsidRPr="004E720D" w:rsidRDefault="0033527B" w:rsidP="00387899">
      <w:pPr>
        <w:tabs>
          <w:tab w:val="left" w:pos="315"/>
          <w:tab w:val="center" w:pos="1080"/>
        </w:tabs>
        <w:spacing w:line="240" w:lineRule="auto"/>
        <w:jc w:val="both"/>
        <w:rPr>
          <w:rFonts w:ascii="Arial" w:hAnsi="Arial" w:cs="Arial"/>
          <w:bCs/>
          <w:iCs/>
          <w:sz w:val="24"/>
          <w:szCs w:val="24"/>
        </w:rPr>
      </w:pPr>
      <w:r w:rsidRPr="004E720D">
        <w:rPr>
          <w:rFonts w:ascii="Arial" w:hAnsi="Arial" w:cs="Arial"/>
          <w:bCs/>
          <w:iCs/>
          <w:sz w:val="24"/>
          <w:szCs w:val="24"/>
        </w:rPr>
        <w:lastRenderedPageBreak/>
        <w:tab/>
        <w:t>Rezultatele programului de supraveghere a debitului dozei gama în decursul anului 2017 sunt prezentate în tabelul IX.1.1.1. și tabelul IX.1.1.2.</w:t>
      </w:r>
      <w:r w:rsidRPr="004E720D">
        <w:rPr>
          <w:rFonts w:ascii="Arial" w:hAnsi="Arial" w:cs="Arial"/>
          <w:bCs/>
          <w:iCs/>
          <w:sz w:val="24"/>
          <w:szCs w:val="24"/>
        </w:rPr>
        <w:tab/>
      </w:r>
    </w:p>
    <w:p w:rsidR="0033527B" w:rsidRPr="00594535" w:rsidRDefault="0033527B" w:rsidP="0033527B">
      <w:pPr>
        <w:tabs>
          <w:tab w:val="left" w:pos="315"/>
          <w:tab w:val="center" w:pos="1080"/>
        </w:tabs>
        <w:jc w:val="both"/>
        <w:rPr>
          <w:rFonts w:ascii="Arial" w:hAnsi="Arial" w:cs="Arial"/>
          <w:b/>
          <w:bCs/>
          <w:iCs/>
          <w:sz w:val="24"/>
          <w:szCs w:val="24"/>
        </w:rPr>
      </w:pPr>
      <w:r w:rsidRPr="004E720D">
        <w:rPr>
          <w:rFonts w:ascii="Arial" w:hAnsi="Arial" w:cs="Arial"/>
          <w:bCs/>
          <w:iCs/>
          <w:sz w:val="24"/>
          <w:szCs w:val="24"/>
        </w:rPr>
        <w:t xml:space="preserve">   Tabel IX.1.1.1</w:t>
      </w:r>
      <w:r w:rsidRPr="00594535">
        <w:rPr>
          <w:rFonts w:ascii="Arial" w:hAnsi="Arial" w:cs="Arial"/>
          <w:b/>
          <w:bCs/>
          <w:iCs/>
          <w:sz w:val="24"/>
          <w:szCs w:val="24"/>
        </w:rPr>
        <w:t xml:space="preserve"> </w:t>
      </w:r>
      <w:r w:rsidRPr="00594535">
        <w:rPr>
          <w:rFonts w:ascii="Arial" w:hAnsi="Arial" w:cs="Arial"/>
          <w:bCs/>
          <w:iCs/>
          <w:sz w:val="24"/>
          <w:szCs w:val="24"/>
        </w:rPr>
        <w:t>Maxima și media anuală 201</w:t>
      </w:r>
      <w:r>
        <w:rPr>
          <w:rFonts w:ascii="Arial" w:hAnsi="Arial" w:cs="Arial"/>
          <w:bCs/>
          <w:iCs/>
          <w:sz w:val="24"/>
          <w:szCs w:val="24"/>
        </w:rPr>
        <w:t xml:space="preserve">6 </w:t>
      </w:r>
      <w:r w:rsidRPr="00594535">
        <w:rPr>
          <w:rFonts w:ascii="Arial" w:hAnsi="Arial" w:cs="Arial"/>
          <w:bCs/>
          <w:iCs/>
          <w:sz w:val="24"/>
          <w:szCs w:val="24"/>
        </w:rPr>
        <w:t xml:space="preserve">la nivelul județului </w:t>
      </w:r>
      <w:r w:rsidR="00217620">
        <w:rPr>
          <w:rFonts w:ascii="Arial" w:hAnsi="Arial" w:cs="Arial"/>
          <w:bCs/>
          <w:iCs/>
          <w:sz w:val="24"/>
          <w:szCs w:val="24"/>
        </w:rPr>
        <w:t>Brăila</w:t>
      </w:r>
      <w:r w:rsidRPr="00594535">
        <w:rPr>
          <w:rFonts w:ascii="Arial" w:hAnsi="Arial" w:cs="Arial"/>
          <w:b/>
          <w:bCs/>
          <w:iCs/>
          <w:sz w:val="24"/>
          <w:szCs w:val="24"/>
        </w:rPr>
        <w:tab/>
      </w:r>
    </w:p>
    <w:tbl>
      <w:tblPr>
        <w:tblpPr w:leftFromText="180" w:rightFromText="180" w:vertAnchor="text" w:horzAnchor="margin" w:tblpXSpec="center" w:tblpY="2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7"/>
        <w:gridCol w:w="985"/>
        <w:gridCol w:w="1701"/>
        <w:gridCol w:w="1134"/>
        <w:gridCol w:w="1276"/>
        <w:gridCol w:w="1275"/>
      </w:tblGrid>
      <w:tr w:rsidR="0033527B" w:rsidRPr="00594535" w:rsidTr="0033527B">
        <w:trPr>
          <w:trHeight w:val="298"/>
        </w:trPr>
        <w:tc>
          <w:tcPr>
            <w:tcW w:w="3127" w:type="dxa"/>
            <w:shd w:val="clear" w:color="auto" w:fill="E6E6E6"/>
            <w:vAlign w:val="center"/>
          </w:tcPr>
          <w:p w:rsidR="0033527B" w:rsidRPr="00594535" w:rsidRDefault="0033527B" w:rsidP="00880E32">
            <w:pPr>
              <w:pStyle w:val="Heading2"/>
              <w:spacing w:before="0" w:after="0"/>
              <w:jc w:val="both"/>
              <w:rPr>
                <w:rFonts w:ascii="Arial" w:hAnsi="Arial" w:cs="Arial"/>
                <w:b w:val="0"/>
                <w:bCs w:val="0"/>
                <w:sz w:val="24"/>
                <w:szCs w:val="24"/>
              </w:rPr>
            </w:pPr>
            <w:r w:rsidRPr="00594535">
              <w:rPr>
                <w:rFonts w:ascii="Arial" w:hAnsi="Arial" w:cs="Arial"/>
                <w:sz w:val="24"/>
                <w:szCs w:val="24"/>
              </w:rPr>
              <w:t>Factor  de mediu</w:t>
            </w:r>
          </w:p>
        </w:tc>
        <w:tc>
          <w:tcPr>
            <w:tcW w:w="985" w:type="dxa"/>
            <w:shd w:val="clear" w:color="auto" w:fill="E6E6E6"/>
            <w:vAlign w:val="center"/>
          </w:tcPr>
          <w:p w:rsidR="0033527B" w:rsidRPr="00594535" w:rsidRDefault="0033527B" w:rsidP="00880E32">
            <w:pPr>
              <w:spacing w:line="240" w:lineRule="auto"/>
              <w:jc w:val="both"/>
              <w:rPr>
                <w:rFonts w:ascii="Arial" w:hAnsi="Arial" w:cs="Arial"/>
                <w:b/>
                <w:bCs/>
                <w:sz w:val="24"/>
                <w:szCs w:val="24"/>
              </w:rPr>
            </w:pPr>
            <w:r w:rsidRPr="00594535">
              <w:rPr>
                <w:rFonts w:ascii="Arial" w:hAnsi="Arial" w:cs="Arial"/>
                <w:b/>
                <w:bCs/>
                <w:sz w:val="24"/>
                <w:szCs w:val="24"/>
              </w:rPr>
              <w:t>U.M.</w:t>
            </w:r>
          </w:p>
        </w:tc>
        <w:tc>
          <w:tcPr>
            <w:tcW w:w="1701" w:type="dxa"/>
            <w:shd w:val="clear" w:color="auto" w:fill="E6E6E6"/>
            <w:vAlign w:val="center"/>
          </w:tcPr>
          <w:p w:rsidR="0033527B" w:rsidRPr="00594535" w:rsidRDefault="0033527B" w:rsidP="00880E32">
            <w:pPr>
              <w:spacing w:line="240" w:lineRule="auto"/>
              <w:jc w:val="both"/>
              <w:rPr>
                <w:rFonts w:ascii="Arial" w:hAnsi="Arial" w:cs="Arial"/>
                <w:b/>
                <w:bCs/>
                <w:sz w:val="24"/>
                <w:szCs w:val="24"/>
              </w:rPr>
            </w:pPr>
            <w:r w:rsidRPr="00594535">
              <w:rPr>
                <w:rFonts w:ascii="Arial" w:hAnsi="Arial" w:cs="Arial"/>
                <w:b/>
                <w:bCs/>
                <w:sz w:val="24"/>
                <w:szCs w:val="24"/>
              </w:rPr>
              <w:t>Limita atenţionare/avertizare</w:t>
            </w:r>
          </w:p>
        </w:tc>
        <w:tc>
          <w:tcPr>
            <w:tcW w:w="1134" w:type="dxa"/>
            <w:shd w:val="clear" w:color="auto" w:fill="E6E6E6"/>
            <w:vAlign w:val="center"/>
          </w:tcPr>
          <w:p w:rsidR="0033527B" w:rsidRPr="00594535" w:rsidRDefault="0033527B" w:rsidP="00880E32">
            <w:pPr>
              <w:spacing w:line="240" w:lineRule="auto"/>
              <w:jc w:val="both"/>
              <w:rPr>
                <w:rFonts w:ascii="Arial" w:hAnsi="Arial" w:cs="Arial"/>
                <w:b/>
                <w:bCs/>
                <w:sz w:val="24"/>
                <w:szCs w:val="24"/>
              </w:rPr>
            </w:pPr>
            <w:r w:rsidRPr="00594535">
              <w:rPr>
                <w:rFonts w:ascii="Arial" w:hAnsi="Arial" w:cs="Arial"/>
                <w:b/>
                <w:bCs/>
                <w:sz w:val="24"/>
                <w:szCs w:val="24"/>
              </w:rPr>
              <w:t>Media anuală</w:t>
            </w:r>
          </w:p>
        </w:tc>
        <w:tc>
          <w:tcPr>
            <w:tcW w:w="1276" w:type="dxa"/>
            <w:shd w:val="clear" w:color="auto" w:fill="E6E6E6"/>
            <w:vAlign w:val="center"/>
          </w:tcPr>
          <w:p w:rsidR="0033527B" w:rsidRPr="00594535" w:rsidRDefault="0033527B" w:rsidP="00880E32">
            <w:pPr>
              <w:spacing w:line="240" w:lineRule="auto"/>
              <w:jc w:val="both"/>
              <w:rPr>
                <w:rFonts w:ascii="Arial" w:hAnsi="Arial" w:cs="Arial"/>
                <w:b/>
                <w:bCs/>
                <w:sz w:val="24"/>
                <w:szCs w:val="24"/>
              </w:rPr>
            </w:pPr>
            <w:r w:rsidRPr="00594535">
              <w:rPr>
                <w:rFonts w:ascii="Arial" w:hAnsi="Arial" w:cs="Arial"/>
                <w:b/>
                <w:bCs/>
                <w:sz w:val="24"/>
                <w:szCs w:val="24"/>
              </w:rPr>
              <w:t>Maxima lunară</w:t>
            </w:r>
          </w:p>
        </w:tc>
        <w:tc>
          <w:tcPr>
            <w:tcW w:w="1275" w:type="dxa"/>
            <w:shd w:val="clear" w:color="auto" w:fill="E6E6E6"/>
            <w:vAlign w:val="center"/>
          </w:tcPr>
          <w:p w:rsidR="0033527B" w:rsidRPr="00594535" w:rsidRDefault="0033527B" w:rsidP="00880E32">
            <w:pPr>
              <w:spacing w:line="240" w:lineRule="auto"/>
              <w:jc w:val="both"/>
              <w:rPr>
                <w:rFonts w:ascii="Arial" w:hAnsi="Arial" w:cs="Arial"/>
                <w:b/>
                <w:bCs/>
                <w:sz w:val="24"/>
                <w:szCs w:val="24"/>
              </w:rPr>
            </w:pPr>
            <w:r w:rsidRPr="00594535">
              <w:rPr>
                <w:rFonts w:ascii="Arial" w:hAnsi="Arial" w:cs="Arial"/>
                <w:b/>
                <w:bCs/>
                <w:sz w:val="24"/>
                <w:szCs w:val="24"/>
              </w:rPr>
              <w:t>Luna maximei</w:t>
            </w:r>
          </w:p>
        </w:tc>
      </w:tr>
      <w:tr w:rsidR="0033527B" w:rsidRPr="00594535" w:rsidTr="0033527B">
        <w:trPr>
          <w:trHeight w:val="314"/>
        </w:trPr>
        <w:tc>
          <w:tcPr>
            <w:tcW w:w="3127" w:type="dxa"/>
            <w:vAlign w:val="center"/>
          </w:tcPr>
          <w:p w:rsidR="0033527B" w:rsidRPr="00594535" w:rsidRDefault="0033527B" w:rsidP="00880E32">
            <w:pPr>
              <w:spacing w:line="240" w:lineRule="auto"/>
              <w:jc w:val="both"/>
              <w:rPr>
                <w:rFonts w:ascii="Arial" w:hAnsi="Arial" w:cs="Arial"/>
                <w:sz w:val="24"/>
                <w:szCs w:val="24"/>
              </w:rPr>
            </w:pPr>
            <w:r w:rsidRPr="00594535">
              <w:rPr>
                <w:rFonts w:ascii="Arial" w:hAnsi="Arial" w:cs="Arial"/>
                <w:sz w:val="24"/>
                <w:szCs w:val="24"/>
              </w:rPr>
              <w:t>Debit doză gamma în aer</w:t>
            </w:r>
          </w:p>
        </w:tc>
        <w:tc>
          <w:tcPr>
            <w:tcW w:w="985" w:type="dxa"/>
            <w:vAlign w:val="center"/>
          </w:tcPr>
          <w:p w:rsidR="0033527B" w:rsidRPr="00594535" w:rsidRDefault="0033527B" w:rsidP="00880E32">
            <w:pPr>
              <w:spacing w:line="240" w:lineRule="auto"/>
              <w:jc w:val="both"/>
              <w:rPr>
                <w:rFonts w:ascii="Arial" w:hAnsi="Arial" w:cs="Arial"/>
                <w:sz w:val="24"/>
                <w:szCs w:val="24"/>
              </w:rPr>
            </w:pPr>
            <w:r w:rsidRPr="00594535">
              <w:rPr>
                <w:rFonts w:ascii="Arial" w:hAnsi="Arial" w:cs="Arial"/>
                <w:sz w:val="24"/>
                <w:szCs w:val="24"/>
              </w:rPr>
              <w:t>µSv/h</w:t>
            </w:r>
          </w:p>
        </w:tc>
        <w:tc>
          <w:tcPr>
            <w:tcW w:w="1701" w:type="dxa"/>
            <w:vAlign w:val="center"/>
          </w:tcPr>
          <w:p w:rsidR="0033527B" w:rsidRPr="00594535" w:rsidRDefault="0033527B" w:rsidP="00880E32">
            <w:pPr>
              <w:spacing w:line="240" w:lineRule="auto"/>
              <w:jc w:val="both"/>
              <w:rPr>
                <w:rFonts w:ascii="Arial" w:hAnsi="Arial" w:cs="Arial"/>
                <w:sz w:val="24"/>
                <w:szCs w:val="24"/>
              </w:rPr>
            </w:pPr>
            <w:r w:rsidRPr="00594535">
              <w:rPr>
                <w:rFonts w:ascii="Arial" w:hAnsi="Arial" w:cs="Arial"/>
                <w:sz w:val="24"/>
                <w:szCs w:val="24"/>
              </w:rPr>
              <w:t>0,250/1,0</w:t>
            </w:r>
          </w:p>
        </w:tc>
        <w:tc>
          <w:tcPr>
            <w:tcW w:w="1134" w:type="dxa"/>
            <w:vAlign w:val="center"/>
          </w:tcPr>
          <w:p w:rsidR="0033527B" w:rsidRPr="00594535" w:rsidRDefault="0033527B" w:rsidP="00880E32">
            <w:pPr>
              <w:spacing w:line="240" w:lineRule="auto"/>
              <w:jc w:val="both"/>
              <w:rPr>
                <w:rFonts w:ascii="Arial" w:hAnsi="Arial" w:cs="Arial"/>
                <w:sz w:val="24"/>
                <w:szCs w:val="24"/>
              </w:rPr>
            </w:pPr>
            <w:r w:rsidRPr="00594535">
              <w:rPr>
                <w:rFonts w:ascii="Arial" w:hAnsi="Arial" w:cs="Arial"/>
                <w:sz w:val="24"/>
                <w:szCs w:val="24"/>
              </w:rPr>
              <w:t>0,</w:t>
            </w:r>
            <w:r>
              <w:rPr>
                <w:rFonts w:ascii="Arial" w:hAnsi="Arial" w:cs="Arial"/>
                <w:sz w:val="24"/>
                <w:szCs w:val="24"/>
              </w:rPr>
              <w:t>104</w:t>
            </w:r>
          </w:p>
        </w:tc>
        <w:tc>
          <w:tcPr>
            <w:tcW w:w="1276" w:type="dxa"/>
            <w:vAlign w:val="center"/>
          </w:tcPr>
          <w:p w:rsidR="0033527B" w:rsidRPr="00594535" w:rsidRDefault="0033527B" w:rsidP="00880E32">
            <w:pPr>
              <w:spacing w:line="240" w:lineRule="auto"/>
              <w:jc w:val="both"/>
              <w:rPr>
                <w:rFonts w:ascii="Arial" w:hAnsi="Arial" w:cs="Arial"/>
                <w:sz w:val="24"/>
                <w:szCs w:val="24"/>
              </w:rPr>
            </w:pPr>
            <w:r>
              <w:rPr>
                <w:rFonts w:ascii="Arial" w:hAnsi="Arial" w:cs="Arial"/>
                <w:sz w:val="24"/>
                <w:szCs w:val="24"/>
              </w:rPr>
              <w:t>0,169</w:t>
            </w:r>
          </w:p>
        </w:tc>
        <w:tc>
          <w:tcPr>
            <w:tcW w:w="1275" w:type="dxa"/>
            <w:vAlign w:val="center"/>
          </w:tcPr>
          <w:p w:rsidR="0033527B" w:rsidRPr="00594535" w:rsidRDefault="0033527B" w:rsidP="00880E32">
            <w:pPr>
              <w:spacing w:line="240" w:lineRule="auto"/>
              <w:jc w:val="both"/>
              <w:rPr>
                <w:rFonts w:ascii="Arial" w:hAnsi="Arial" w:cs="Arial"/>
                <w:sz w:val="24"/>
                <w:szCs w:val="24"/>
              </w:rPr>
            </w:pPr>
            <w:r w:rsidRPr="00594535">
              <w:rPr>
                <w:rFonts w:ascii="Arial" w:hAnsi="Arial" w:cs="Arial"/>
                <w:sz w:val="24"/>
                <w:szCs w:val="24"/>
              </w:rPr>
              <w:t>1</w:t>
            </w:r>
            <w:r>
              <w:rPr>
                <w:rFonts w:ascii="Arial" w:hAnsi="Arial" w:cs="Arial"/>
                <w:sz w:val="24"/>
                <w:szCs w:val="24"/>
              </w:rPr>
              <w:t>0</w:t>
            </w:r>
          </w:p>
        </w:tc>
      </w:tr>
    </w:tbl>
    <w:p w:rsidR="00387899" w:rsidRDefault="0033527B" w:rsidP="0033527B">
      <w:pPr>
        <w:tabs>
          <w:tab w:val="left" w:pos="315"/>
          <w:tab w:val="center" w:pos="1080"/>
        </w:tabs>
        <w:jc w:val="both"/>
        <w:rPr>
          <w:rFonts w:ascii="Arial" w:hAnsi="Arial" w:cs="Arial"/>
          <w:b/>
          <w:bCs/>
          <w:iCs/>
          <w:sz w:val="24"/>
          <w:szCs w:val="24"/>
        </w:rPr>
      </w:pPr>
      <w:r w:rsidRPr="00594535">
        <w:rPr>
          <w:rFonts w:ascii="Arial" w:hAnsi="Arial" w:cs="Arial"/>
          <w:b/>
          <w:bCs/>
          <w:iCs/>
          <w:sz w:val="24"/>
          <w:szCs w:val="24"/>
        </w:rPr>
        <w:tab/>
      </w:r>
    </w:p>
    <w:p w:rsidR="0033527B" w:rsidRPr="004E720D" w:rsidRDefault="0033527B" w:rsidP="0033527B">
      <w:pPr>
        <w:tabs>
          <w:tab w:val="left" w:pos="315"/>
          <w:tab w:val="center" w:pos="1080"/>
        </w:tabs>
        <w:jc w:val="both"/>
        <w:rPr>
          <w:rFonts w:ascii="Arial" w:hAnsi="Arial" w:cs="Arial"/>
        </w:rPr>
      </w:pPr>
      <w:r w:rsidRPr="004E720D">
        <w:rPr>
          <w:rFonts w:ascii="Arial" w:hAnsi="Arial" w:cs="Arial"/>
          <w:sz w:val="24"/>
          <w:szCs w:val="24"/>
        </w:rPr>
        <w:t xml:space="preserve">Tabel </w:t>
      </w:r>
      <w:r w:rsidRPr="004E720D">
        <w:rPr>
          <w:rFonts w:ascii="Arial" w:hAnsi="Arial" w:cs="Arial"/>
          <w:bCs/>
          <w:iCs/>
          <w:sz w:val="24"/>
          <w:szCs w:val="24"/>
        </w:rPr>
        <w:t xml:space="preserve">IX.1.1.2. </w:t>
      </w:r>
      <w:r w:rsidRPr="004E720D">
        <w:rPr>
          <w:rFonts w:ascii="Arial" w:hAnsi="Arial" w:cs="Arial"/>
          <w:sz w:val="24"/>
          <w:szCs w:val="24"/>
        </w:rPr>
        <w:t>Valorile medii lunare de dozimetrie gamma</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87"/>
        <w:gridCol w:w="787"/>
        <w:gridCol w:w="787"/>
        <w:gridCol w:w="787"/>
        <w:gridCol w:w="788"/>
        <w:gridCol w:w="788"/>
        <w:gridCol w:w="788"/>
        <w:gridCol w:w="788"/>
        <w:gridCol w:w="788"/>
        <w:gridCol w:w="788"/>
        <w:gridCol w:w="788"/>
        <w:gridCol w:w="788"/>
      </w:tblGrid>
      <w:tr w:rsidR="0033527B" w:rsidRPr="00975662" w:rsidTr="0033527B">
        <w:trPr>
          <w:trHeight w:val="326"/>
        </w:trPr>
        <w:tc>
          <w:tcPr>
            <w:tcW w:w="800" w:type="dxa"/>
            <w:shd w:val="clear" w:color="auto" w:fill="D9D9D9"/>
          </w:tcPr>
          <w:p w:rsidR="0033527B" w:rsidRPr="00975662" w:rsidRDefault="0033527B" w:rsidP="00880E32">
            <w:pPr>
              <w:spacing w:after="0" w:line="240" w:lineRule="auto"/>
              <w:jc w:val="both"/>
              <w:rPr>
                <w:rFonts w:ascii="Arial" w:hAnsi="Arial" w:cs="Arial"/>
              </w:rPr>
            </w:pPr>
            <w:r w:rsidRPr="00975662">
              <w:rPr>
                <w:rFonts w:ascii="Arial" w:hAnsi="Arial" w:cs="Arial"/>
              </w:rPr>
              <w:t xml:space="preserve">  UNA</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Ian</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Feb</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Mar</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Apr</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Mai</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Iun</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Iul</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Aug</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Sep</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Oct</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Nov</w:t>
            </w:r>
          </w:p>
        </w:tc>
        <w:tc>
          <w:tcPr>
            <w:tcW w:w="790" w:type="dxa"/>
            <w:shd w:val="clear" w:color="auto" w:fill="D9D9D9"/>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Dec</w:t>
            </w:r>
          </w:p>
        </w:tc>
      </w:tr>
      <w:tr w:rsidR="0033527B" w:rsidRPr="00975662" w:rsidTr="0033527B">
        <w:trPr>
          <w:trHeight w:val="395"/>
        </w:trPr>
        <w:tc>
          <w:tcPr>
            <w:tcW w:w="800" w:type="dxa"/>
            <w:vAlign w:val="center"/>
          </w:tcPr>
          <w:p w:rsidR="0033527B" w:rsidRPr="00975662" w:rsidRDefault="0033527B" w:rsidP="00880E32">
            <w:pPr>
              <w:spacing w:after="0" w:line="240" w:lineRule="auto"/>
              <w:jc w:val="both"/>
              <w:rPr>
                <w:rFonts w:ascii="Arial" w:hAnsi="Arial" w:cs="Arial"/>
              </w:rPr>
            </w:pPr>
            <w:r w:rsidRPr="00975662">
              <w:rPr>
                <w:rFonts w:ascii="Arial" w:hAnsi="Arial" w:cs="Arial"/>
              </w:rPr>
              <w:t>Medii lunare</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0,104</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0,103</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0,105</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0,105</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0,104</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0,103</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0,103</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0,104</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0,105</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0,105</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0,101</w:t>
            </w:r>
          </w:p>
        </w:tc>
        <w:tc>
          <w:tcPr>
            <w:tcW w:w="790" w:type="dxa"/>
            <w:vAlign w:val="center"/>
          </w:tcPr>
          <w:p w:rsidR="0033527B" w:rsidRPr="00975662" w:rsidRDefault="0033527B" w:rsidP="00880E32">
            <w:pPr>
              <w:spacing w:after="0" w:line="240" w:lineRule="auto"/>
              <w:jc w:val="both"/>
              <w:rPr>
                <w:rFonts w:ascii="Arial" w:hAnsi="Arial" w:cs="Arial"/>
              </w:rPr>
            </w:pPr>
            <w:r>
              <w:rPr>
                <w:rFonts w:ascii="Arial" w:hAnsi="Arial" w:cs="Arial"/>
              </w:rPr>
              <w:t>0,955</w:t>
            </w:r>
          </w:p>
        </w:tc>
      </w:tr>
    </w:tbl>
    <w:p w:rsidR="0033527B" w:rsidRPr="00594535" w:rsidRDefault="0033527B" w:rsidP="0033527B">
      <w:pPr>
        <w:pStyle w:val="CharCaracterCharCharCharCaracter"/>
        <w:ind w:firstLine="708"/>
        <w:jc w:val="both"/>
        <w:rPr>
          <w:rFonts w:ascii="Arial" w:hAnsi="Arial" w:cs="Arial"/>
          <w:lang w:val="ro-RO"/>
        </w:rPr>
      </w:pPr>
    </w:p>
    <w:p w:rsidR="0033527B" w:rsidRPr="00594535" w:rsidRDefault="0033527B" w:rsidP="0033527B">
      <w:pPr>
        <w:pStyle w:val="CharCaracterCharCharCharCaracter"/>
        <w:ind w:firstLine="708"/>
        <w:jc w:val="both"/>
        <w:rPr>
          <w:rFonts w:ascii="Arial" w:hAnsi="Arial" w:cs="Arial"/>
          <w:noProof/>
        </w:rPr>
      </w:pPr>
      <w:r w:rsidRPr="00594535">
        <w:rPr>
          <w:rFonts w:ascii="Arial" w:hAnsi="Arial" w:cs="Arial"/>
          <w:lang w:val="ro-RO"/>
        </w:rPr>
        <w:t xml:space="preserve">Valorile orare de dozimetrie gamma nu au prezentat depăşiri ale limitei de atenţionare de 0,250 </w:t>
      </w:r>
      <w:r w:rsidRPr="00594535">
        <w:rPr>
          <w:rFonts w:ascii="Arial" w:hAnsi="Arial" w:cs="Arial"/>
        </w:rPr>
        <w:t>µSy/h</w:t>
      </w:r>
      <w:r w:rsidRPr="00594535">
        <w:rPr>
          <w:rFonts w:ascii="Arial" w:hAnsi="Arial" w:cs="Arial"/>
          <w:lang w:val="ro-RO"/>
        </w:rPr>
        <w:t>, media anuală fiind de 0,</w:t>
      </w:r>
      <w:r>
        <w:rPr>
          <w:rFonts w:ascii="Arial" w:hAnsi="Arial" w:cs="Arial"/>
          <w:lang w:val="ro-RO"/>
        </w:rPr>
        <w:t>104</w:t>
      </w:r>
      <w:r w:rsidRPr="00594535">
        <w:rPr>
          <w:rFonts w:ascii="Arial" w:hAnsi="Arial" w:cs="Arial"/>
          <w:lang w:val="ro-RO"/>
        </w:rPr>
        <w:t xml:space="preserve"> </w:t>
      </w:r>
      <w:r w:rsidRPr="00594535">
        <w:rPr>
          <w:rFonts w:ascii="Arial" w:hAnsi="Arial" w:cs="Arial"/>
        </w:rPr>
        <w:t>µSy/h</w:t>
      </w:r>
      <w:r w:rsidRPr="00594535">
        <w:rPr>
          <w:rFonts w:ascii="Arial" w:hAnsi="Arial" w:cs="Arial"/>
          <w:lang w:val="ro-RO"/>
        </w:rPr>
        <w:t>.</w:t>
      </w:r>
    </w:p>
    <w:p w:rsidR="0033527B" w:rsidRPr="00594535" w:rsidRDefault="0033527B" w:rsidP="0033527B">
      <w:pPr>
        <w:ind w:firstLine="708"/>
        <w:jc w:val="both"/>
        <w:rPr>
          <w:rFonts w:ascii="Arial" w:hAnsi="Arial" w:cs="Arial"/>
          <w:noProof/>
          <w:sz w:val="24"/>
          <w:szCs w:val="24"/>
        </w:rPr>
      </w:pPr>
      <w:r w:rsidRPr="00594535">
        <w:rPr>
          <w:rFonts w:ascii="Arial" w:hAnsi="Arial" w:cs="Arial"/>
          <w:noProof/>
          <w:sz w:val="24"/>
          <w:szCs w:val="24"/>
        </w:rPr>
        <w:t xml:space="preserve">Variația mediilor și maximelor anuale ale debitului dozei gama înregistrate în ultimii cinci ani este prezentată </w:t>
      </w:r>
      <w:r w:rsidRPr="00594535">
        <w:rPr>
          <w:rFonts w:ascii="Arial" w:hAnsi="Arial" w:cs="Arial"/>
          <w:b/>
          <w:noProof/>
          <w:sz w:val="24"/>
          <w:szCs w:val="24"/>
        </w:rPr>
        <w:t>în graficul IX.1.1.1</w:t>
      </w:r>
      <w:r w:rsidRPr="00594535">
        <w:rPr>
          <w:rFonts w:ascii="Arial" w:hAnsi="Arial" w:cs="Arial"/>
          <w:noProof/>
          <w:sz w:val="24"/>
          <w:szCs w:val="24"/>
        </w:rPr>
        <w:t xml:space="preserve">, după cum urmează.                                                                 </w:t>
      </w:r>
    </w:p>
    <w:p w:rsidR="0033527B" w:rsidRPr="00594535" w:rsidRDefault="0033527B" w:rsidP="0033527B">
      <w:pPr>
        <w:jc w:val="center"/>
        <w:rPr>
          <w:rFonts w:ascii="Arial" w:hAnsi="Arial" w:cs="Arial"/>
          <w:b/>
          <w:sz w:val="24"/>
          <w:szCs w:val="24"/>
        </w:rPr>
      </w:pPr>
      <w:r w:rsidRPr="00594535">
        <w:rPr>
          <w:rFonts w:ascii="Arial" w:hAnsi="Arial" w:cs="Arial"/>
          <w:b/>
          <w:noProof/>
          <w:sz w:val="24"/>
          <w:szCs w:val="24"/>
          <w:shd w:val="clear" w:color="auto" w:fill="FDE9D9"/>
          <w:lang w:eastAsia="ro-RO"/>
        </w:rPr>
        <w:drawing>
          <wp:inline distT="0" distB="0" distL="0" distR="0">
            <wp:extent cx="5353050" cy="3714750"/>
            <wp:effectExtent l="19050" t="0" r="19050" b="0"/>
            <wp:docPr id="237"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33527B" w:rsidRPr="004E720D" w:rsidRDefault="0033527B" w:rsidP="0033527B">
      <w:pPr>
        <w:jc w:val="center"/>
        <w:rPr>
          <w:rFonts w:ascii="Arial" w:hAnsi="Arial" w:cs="Arial"/>
          <w:sz w:val="24"/>
          <w:szCs w:val="24"/>
        </w:rPr>
      </w:pPr>
      <w:r w:rsidRPr="004E720D">
        <w:rPr>
          <w:rFonts w:ascii="Arial" w:hAnsi="Arial" w:cs="Arial"/>
          <w:sz w:val="24"/>
          <w:szCs w:val="24"/>
        </w:rPr>
        <w:t>Figura IX.1.1.1</w:t>
      </w:r>
    </w:p>
    <w:p w:rsidR="0033527B" w:rsidRPr="00594535" w:rsidRDefault="0033527B" w:rsidP="004E720D">
      <w:pPr>
        <w:autoSpaceDE w:val="0"/>
        <w:autoSpaceDN w:val="0"/>
        <w:adjustRightInd w:val="0"/>
        <w:spacing w:after="0" w:line="240" w:lineRule="auto"/>
        <w:ind w:firstLine="708"/>
        <w:jc w:val="both"/>
        <w:rPr>
          <w:rFonts w:ascii="Arial" w:hAnsi="Arial" w:cs="Arial"/>
          <w:sz w:val="24"/>
          <w:szCs w:val="24"/>
        </w:rPr>
      </w:pPr>
      <w:r w:rsidRPr="00594535">
        <w:rPr>
          <w:rFonts w:ascii="Arial" w:hAnsi="Arial" w:cs="Arial"/>
          <w:sz w:val="24"/>
          <w:szCs w:val="24"/>
        </w:rPr>
        <w:t>Determinările efectuate în ultimii cinci ani au evidenţiat faptul că valoarea medie anuală a debitul dozei gama s-a menținut în același domeniu de variație.</w:t>
      </w:r>
    </w:p>
    <w:p w:rsidR="0033527B" w:rsidRDefault="0033527B" w:rsidP="004E720D">
      <w:pPr>
        <w:spacing w:after="0" w:line="240" w:lineRule="auto"/>
        <w:jc w:val="both"/>
        <w:rPr>
          <w:rFonts w:ascii="Arial" w:hAnsi="Arial" w:cs="Arial"/>
          <w:i/>
          <w:sz w:val="24"/>
          <w:szCs w:val="24"/>
        </w:rPr>
      </w:pPr>
      <w:r w:rsidRPr="00594535">
        <w:rPr>
          <w:rFonts w:ascii="Arial" w:hAnsi="Arial" w:cs="Arial"/>
          <w:i/>
          <w:sz w:val="24"/>
          <w:szCs w:val="24"/>
        </w:rPr>
        <w:t>GLOSAR DE TERMENI</w:t>
      </w:r>
    </w:p>
    <w:p w:rsidR="0033527B" w:rsidRPr="00594535" w:rsidRDefault="0033527B" w:rsidP="004E720D">
      <w:pPr>
        <w:spacing w:after="0" w:line="240" w:lineRule="auto"/>
        <w:jc w:val="both"/>
        <w:rPr>
          <w:rFonts w:ascii="Arial" w:hAnsi="Arial" w:cs="Arial"/>
          <w:i/>
          <w:sz w:val="24"/>
          <w:szCs w:val="24"/>
        </w:rPr>
      </w:pPr>
      <w:r w:rsidRPr="00594535">
        <w:rPr>
          <w:rFonts w:ascii="Arial" w:hAnsi="Arial" w:cs="Arial"/>
          <w:b/>
          <w:i/>
          <w:sz w:val="24"/>
          <w:szCs w:val="24"/>
        </w:rPr>
        <w:t>Doza absorbită</w:t>
      </w:r>
      <w:r w:rsidRPr="00594535">
        <w:rPr>
          <w:rFonts w:ascii="Arial" w:hAnsi="Arial" w:cs="Arial"/>
          <w:i/>
          <w:sz w:val="24"/>
          <w:szCs w:val="24"/>
        </w:rPr>
        <w:t xml:space="preserve"> reprezintă energia cedată de radiaţia ionizantă unităţii de masă a substanţei prin care trece, unitatea de măsură fiind gray (Gy).</w:t>
      </w:r>
    </w:p>
    <w:p w:rsidR="0033527B" w:rsidRPr="00594535" w:rsidRDefault="0033527B" w:rsidP="004E720D">
      <w:pPr>
        <w:spacing w:after="0" w:line="240" w:lineRule="auto"/>
        <w:jc w:val="both"/>
        <w:rPr>
          <w:rFonts w:ascii="Arial" w:hAnsi="Arial" w:cs="Arial"/>
          <w:sz w:val="24"/>
          <w:szCs w:val="24"/>
        </w:rPr>
      </w:pPr>
      <w:r w:rsidRPr="00594535">
        <w:rPr>
          <w:rFonts w:ascii="Arial" w:hAnsi="Arial" w:cs="Arial"/>
          <w:b/>
          <w:i/>
          <w:sz w:val="24"/>
          <w:szCs w:val="24"/>
        </w:rPr>
        <w:lastRenderedPageBreak/>
        <w:t>Doza echivalentă</w:t>
      </w:r>
      <w:r w:rsidRPr="00594535">
        <w:rPr>
          <w:rFonts w:ascii="Arial" w:hAnsi="Arial" w:cs="Arial"/>
          <w:i/>
          <w:sz w:val="24"/>
          <w:szCs w:val="24"/>
        </w:rPr>
        <w:t xml:space="preserve"> constituie un indicator al riscului de expunere pentru un anumit ţesut la diferite radiaţii şi se defineşte ca fiind doza absorbită într-un ţesut supus la o radiaţie oarecare care produce acelaşi efect biologic ca o doză absorbită corespunzătoare unei radiaţii standard. Unitatea de măsură este sievert. (Sv).</w:t>
      </w:r>
    </w:p>
    <w:p w:rsidR="0033527B" w:rsidRPr="00594535" w:rsidRDefault="0033527B" w:rsidP="004E720D">
      <w:pPr>
        <w:spacing w:after="0"/>
        <w:ind w:firstLine="720"/>
        <w:jc w:val="both"/>
        <w:rPr>
          <w:rFonts w:ascii="Arial" w:hAnsi="Arial" w:cs="Arial"/>
          <w:b/>
          <w:sz w:val="24"/>
          <w:szCs w:val="24"/>
        </w:rPr>
      </w:pPr>
      <w:r w:rsidRPr="00594535">
        <w:rPr>
          <w:rFonts w:ascii="Arial" w:hAnsi="Arial" w:cs="Arial"/>
          <w:b/>
          <w:sz w:val="24"/>
          <w:szCs w:val="24"/>
        </w:rPr>
        <w:t xml:space="preserve">IX.1.2. </w:t>
      </w:r>
      <w:r w:rsidRPr="00594535">
        <w:rPr>
          <w:rFonts w:ascii="Arial" w:hAnsi="Arial" w:cs="Arial"/>
          <w:b/>
          <w:i/>
          <w:sz w:val="24"/>
          <w:szCs w:val="24"/>
        </w:rPr>
        <w:t>Radioactivitatea apelor</w:t>
      </w:r>
      <w:r w:rsidRPr="00594535">
        <w:rPr>
          <w:rFonts w:ascii="Arial" w:hAnsi="Arial" w:cs="Arial"/>
          <w:b/>
          <w:sz w:val="24"/>
          <w:szCs w:val="24"/>
        </w:rPr>
        <w:t xml:space="preserve"> </w:t>
      </w:r>
    </w:p>
    <w:p w:rsidR="0033527B" w:rsidRPr="00594535" w:rsidRDefault="0033527B" w:rsidP="0033527B">
      <w:pPr>
        <w:ind w:firstLine="720"/>
        <w:jc w:val="both"/>
        <w:rPr>
          <w:rFonts w:ascii="Arial" w:hAnsi="Arial" w:cs="Arial"/>
          <w:sz w:val="24"/>
          <w:szCs w:val="24"/>
        </w:rPr>
      </w:pPr>
      <w:r w:rsidRPr="00594535">
        <w:rPr>
          <w:rFonts w:ascii="Arial" w:hAnsi="Arial" w:cs="Arial"/>
          <w:sz w:val="24"/>
          <w:szCs w:val="24"/>
        </w:rPr>
        <w:t xml:space="preserve">La nivelul județului </w:t>
      </w:r>
      <w:r w:rsidR="00217620">
        <w:rPr>
          <w:rFonts w:ascii="Arial" w:hAnsi="Arial" w:cs="Arial"/>
          <w:sz w:val="24"/>
          <w:szCs w:val="24"/>
        </w:rPr>
        <w:t>Brăila</w:t>
      </w:r>
      <w:r w:rsidRPr="00594535">
        <w:rPr>
          <w:rFonts w:ascii="Arial" w:hAnsi="Arial" w:cs="Arial"/>
          <w:sz w:val="24"/>
          <w:szCs w:val="24"/>
        </w:rPr>
        <w:t xml:space="preserve"> nu este cazul.</w:t>
      </w:r>
    </w:p>
    <w:p w:rsidR="0033527B" w:rsidRPr="00594535" w:rsidRDefault="0033527B" w:rsidP="0033527B">
      <w:pPr>
        <w:ind w:firstLine="720"/>
        <w:jc w:val="both"/>
        <w:rPr>
          <w:rFonts w:ascii="Arial" w:hAnsi="Arial" w:cs="Arial"/>
          <w:b/>
          <w:sz w:val="24"/>
          <w:szCs w:val="24"/>
        </w:rPr>
      </w:pPr>
      <w:r w:rsidRPr="00594535">
        <w:rPr>
          <w:rFonts w:ascii="Arial" w:hAnsi="Arial" w:cs="Arial"/>
          <w:b/>
          <w:sz w:val="24"/>
          <w:szCs w:val="24"/>
        </w:rPr>
        <w:t xml:space="preserve">IX. 1.3. </w:t>
      </w:r>
      <w:r w:rsidRPr="00594535">
        <w:rPr>
          <w:rFonts w:ascii="Arial" w:hAnsi="Arial" w:cs="Arial"/>
          <w:b/>
          <w:i/>
          <w:sz w:val="24"/>
          <w:szCs w:val="24"/>
        </w:rPr>
        <w:t>Radioactivitatea solului</w:t>
      </w:r>
    </w:p>
    <w:p w:rsidR="0033527B" w:rsidRPr="00594535" w:rsidRDefault="0033527B" w:rsidP="0033527B">
      <w:pPr>
        <w:ind w:firstLine="720"/>
        <w:jc w:val="both"/>
        <w:rPr>
          <w:rFonts w:ascii="Arial" w:hAnsi="Arial" w:cs="Arial"/>
          <w:sz w:val="24"/>
          <w:szCs w:val="24"/>
        </w:rPr>
      </w:pPr>
      <w:r w:rsidRPr="00594535">
        <w:rPr>
          <w:rFonts w:ascii="Arial" w:hAnsi="Arial" w:cs="Arial"/>
          <w:sz w:val="24"/>
          <w:szCs w:val="24"/>
        </w:rPr>
        <w:t xml:space="preserve">La nivelul județului </w:t>
      </w:r>
      <w:r w:rsidR="00217620">
        <w:rPr>
          <w:rFonts w:ascii="Arial" w:hAnsi="Arial" w:cs="Arial"/>
          <w:sz w:val="24"/>
          <w:szCs w:val="24"/>
        </w:rPr>
        <w:t>Brăila</w:t>
      </w:r>
      <w:r w:rsidRPr="00594535">
        <w:rPr>
          <w:rFonts w:ascii="Arial" w:hAnsi="Arial" w:cs="Arial"/>
          <w:sz w:val="24"/>
          <w:szCs w:val="24"/>
        </w:rPr>
        <w:t xml:space="preserve"> nu este cazul.</w:t>
      </w:r>
    </w:p>
    <w:p w:rsidR="0033527B" w:rsidRPr="00594535" w:rsidRDefault="0033527B" w:rsidP="0033527B">
      <w:pPr>
        <w:ind w:firstLine="720"/>
        <w:jc w:val="both"/>
        <w:rPr>
          <w:rFonts w:ascii="Arial" w:hAnsi="Arial" w:cs="Arial"/>
          <w:b/>
          <w:sz w:val="24"/>
          <w:szCs w:val="24"/>
        </w:rPr>
      </w:pPr>
      <w:r w:rsidRPr="00594535">
        <w:rPr>
          <w:rFonts w:ascii="Arial" w:hAnsi="Arial" w:cs="Arial"/>
          <w:b/>
          <w:sz w:val="24"/>
          <w:szCs w:val="24"/>
        </w:rPr>
        <w:t>IX. 1.4</w:t>
      </w:r>
      <w:r w:rsidRPr="00594535">
        <w:rPr>
          <w:rFonts w:ascii="Arial" w:hAnsi="Arial" w:cs="Arial"/>
          <w:b/>
          <w:i/>
          <w:sz w:val="24"/>
          <w:szCs w:val="24"/>
        </w:rPr>
        <w:t>. Radioactivitatea vegetației</w:t>
      </w:r>
    </w:p>
    <w:p w:rsidR="0033527B" w:rsidRPr="00594535" w:rsidRDefault="0033527B" w:rsidP="0033527B">
      <w:pPr>
        <w:ind w:firstLine="720"/>
        <w:jc w:val="both"/>
        <w:rPr>
          <w:rFonts w:ascii="Arial" w:hAnsi="Arial" w:cs="Arial"/>
          <w:sz w:val="24"/>
          <w:szCs w:val="24"/>
        </w:rPr>
      </w:pPr>
      <w:r w:rsidRPr="00594535">
        <w:rPr>
          <w:rFonts w:ascii="Arial" w:hAnsi="Arial" w:cs="Arial"/>
          <w:sz w:val="24"/>
          <w:szCs w:val="24"/>
        </w:rPr>
        <w:t xml:space="preserve">La nivelul județului </w:t>
      </w:r>
      <w:r w:rsidR="00217620">
        <w:rPr>
          <w:rFonts w:ascii="Arial" w:hAnsi="Arial" w:cs="Arial"/>
          <w:sz w:val="24"/>
          <w:szCs w:val="24"/>
        </w:rPr>
        <w:t>Brăila</w:t>
      </w:r>
      <w:r w:rsidRPr="00594535">
        <w:rPr>
          <w:rFonts w:ascii="Arial" w:hAnsi="Arial" w:cs="Arial"/>
          <w:sz w:val="24"/>
          <w:szCs w:val="24"/>
        </w:rPr>
        <w:t xml:space="preserve"> nu este cazul.</w:t>
      </w:r>
    </w:p>
    <w:p w:rsidR="00F065B7" w:rsidRDefault="00F065B7" w:rsidP="00C625DB">
      <w:pPr>
        <w:tabs>
          <w:tab w:val="left" w:pos="1204"/>
          <w:tab w:val="left" w:leader="dot" w:pos="9356"/>
        </w:tabs>
        <w:spacing w:after="0" w:line="240" w:lineRule="auto"/>
        <w:ind w:left="426"/>
        <w:jc w:val="both"/>
        <w:rPr>
          <w:rFonts w:ascii="Arial" w:hAnsi="Arial" w:cs="Arial"/>
          <w:b/>
          <w:sz w:val="24"/>
          <w:szCs w:val="24"/>
        </w:rPr>
      </w:pPr>
    </w:p>
    <w:p w:rsidR="0033527B" w:rsidRPr="004E720D" w:rsidRDefault="003A3A15" w:rsidP="0033527B">
      <w:pPr>
        <w:rPr>
          <w:rFonts w:ascii="Arial" w:hAnsi="Arial" w:cs="Arial"/>
          <w:b/>
          <w:sz w:val="28"/>
          <w:szCs w:val="28"/>
        </w:rPr>
      </w:pPr>
      <w:r w:rsidRPr="00C625DB">
        <w:rPr>
          <w:rFonts w:ascii="Arial" w:hAnsi="Arial" w:cs="Arial"/>
          <w:b/>
          <w:sz w:val="32"/>
          <w:szCs w:val="32"/>
        </w:rPr>
        <w:t xml:space="preserve"> </w:t>
      </w:r>
      <w:r w:rsidR="0033527B" w:rsidRPr="004E720D">
        <w:rPr>
          <w:rFonts w:ascii="Arial" w:hAnsi="Arial" w:cs="Arial"/>
          <w:b/>
          <w:sz w:val="28"/>
          <w:szCs w:val="28"/>
        </w:rPr>
        <w:t>X. CONSUMUL ȘI MEDIUL ÎNCONJURĂTOR</w:t>
      </w:r>
    </w:p>
    <w:p w:rsidR="0033527B" w:rsidRPr="001C7ED6" w:rsidRDefault="0033527B" w:rsidP="0033527B">
      <w:pPr>
        <w:pStyle w:val="Default"/>
        <w:rPr>
          <w:rFonts w:ascii="Arial" w:hAnsi="Arial" w:cs="Arial"/>
          <w:b/>
          <w:color w:val="auto"/>
        </w:rPr>
      </w:pPr>
      <w:r w:rsidRPr="001C7ED6">
        <w:rPr>
          <w:rFonts w:ascii="Arial" w:hAnsi="Arial" w:cs="Arial"/>
          <w:b/>
          <w:bCs/>
          <w:iCs/>
          <w:color w:val="auto"/>
        </w:rPr>
        <w:t xml:space="preserve">     X.1. Tendinţe</w:t>
      </w:r>
      <w:r>
        <w:rPr>
          <w:rFonts w:ascii="Arial" w:hAnsi="Arial" w:cs="Arial"/>
          <w:b/>
          <w:bCs/>
          <w:iCs/>
          <w:color w:val="auto"/>
        </w:rPr>
        <w:t xml:space="preserve"> </w:t>
      </w:r>
      <w:r w:rsidRPr="001C7ED6">
        <w:rPr>
          <w:rFonts w:ascii="Arial" w:hAnsi="Arial" w:cs="Arial"/>
          <w:b/>
          <w:bCs/>
          <w:iCs/>
          <w:color w:val="auto"/>
        </w:rPr>
        <w:t>în</w:t>
      </w:r>
      <w:r>
        <w:rPr>
          <w:rFonts w:ascii="Arial" w:hAnsi="Arial" w:cs="Arial"/>
          <w:b/>
          <w:bCs/>
          <w:iCs/>
          <w:color w:val="auto"/>
        </w:rPr>
        <w:t xml:space="preserve"> </w:t>
      </w:r>
      <w:r w:rsidRPr="001C7ED6">
        <w:rPr>
          <w:rFonts w:ascii="Arial" w:hAnsi="Arial" w:cs="Arial"/>
          <w:b/>
          <w:bCs/>
          <w:iCs/>
          <w:color w:val="auto"/>
        </w:rPr>
        <w:t>consum</w:t>
      </w:r>
      <w:r w:rsidRPr="001C7ED6">
        <w:rPr>
          <w:rFonts w:ascii="Arial" w:hAnsi="Arial" w:cs="Arial"/>
          <w:b/>
          <w:color w:val="auto"/>
        </w:rPr>
        <w:t>la nivel</w:t>
      </w:r>
      <w:r>
        <w:rPr>
          <w:rFonts w:ascii="Arial" w:hAnsi="Arial" w:cs="Arial"/>
          <w:b/>
          <w:color w:val="auto"/>
        </w:rPr>
        <w:t xml:space="preserve"> </w:t>
      </w:r>
      <w:r w:rsidRPr="001C7ED6">
        <w:rPr>
          <w:rFonts w:ascii="Arial" w:hAnsi="Arial" w:cs="Arial"/>
          <w:b/>
          <w:color w:val="auto"/>
        </w:rPr>
        <w:t>judeţean</w:t>
      </w:r>
    </w:p>
    <w:p w:rsidR="0033527B" w:rsidRPr="008E1F89" w:rsidRDefault="0033527B" w:rsidP="0033527B">
      <w:pPr>
        <w:pStyle w:val="Default"/>
        <w:rPr>
          <w:rFonts w:ascii="Arial" w:hAnsi="Arial" w:cs="Arial"/>
          <w:b/>
          <w:bCs/>
          <w:iCs/>
          <w:color w:val="auto"/>
          <w:u w:val="single"/>
        </w:rPr>
      </w:pPr>
    </w:p>
    <w:p w:rsidR="0033527B" w:rsidRPr="008E1F89" w:rsidRDefault="0033527B" w:rsidP="0033527B">
      <w:pPr>
        <w:pStyle w:val="Default"/>
        <w:ind w:left="585"/>
        <w:rPr>
          <w:rFonts w:ascii="Arial" w:hAnsi="Arial" w:cs="Arial"/>
          <w:b/>
          <w:bCs/>
          <w:color w:val="auto"/>
        </w:rPr>
      </w:pPr>
      <w:r w:rsidRPr="008E1F89">
        <w:rPr>
          <w:rFonts w:ascii="Arial" w:hAnsi="Arial" w:cs="Arial"/>
          <w:b/>
          <w:bCs/>
          <w:iCs/>
          <w:color w:val="auto"/>
        </w:rPr>
        <w:t xml:space="preserve">X.1.1. </w:t>
      </w:r>
      <w:r w:rsidRPr="008E1F89">
        <w:rPr>
          <w:rFonts w:ascii="Arial" w:hAnsi="Arial" w:cs="Arial"/>
          <w:b/>
          <w:bCs/>
          <w:i/>
          <w:iCs/>
          <w:color w:val="auto"/>
        </w:rPr>
        <w:t>Alimente</w:t>
      </w:r>
      <w:r>
        <w:rPr>
          <w:rFonts w:ascii="Arial" w:hAnsi="Arial" w:cs="Arial"/>
          <w:b/>
          <w:bCs/>
          <w:i/>
          <w:iCs/>
          <w:color w:val="auto"/>
        </w:rPr>
        <w:t xml:space="preserve"> ș</w:t>
      </w:r>
      <w:r w:rsidRPr="008E1F89">
        <w:rPr>
          <w:rFonts w:ascii="Arial" w:hAnsi="Arial" w:cs="Arial"/>
          <w:b/>
          <w:bCs/>
          <w:i/>
          <w:iCs/>
          <w:color w:val="auto"/>
        </w:rPr>
        <w:t>i</w:t>
      </w:r>
      <w:r>
        <w:rPr>
          <w:rFonts w:ascii="Arial" w:hAnsi="Arial" w:cs="Arial"/>
          <w:b/>
          <w:bCs/>
          <w:i/>
          <w:iCs/>
          <w:color w:val="auto"/>
        </w:rPr>
        <w:t xml:space="preserve"> </w:t>
      </w:r>
      <w:r w:rsidRPr="008E1F89">
        <w:rPr>
          <w:rFonts w:ascii="Arial" w:hAnsi="Arial" w:cs="Arial"/>
          <w:b/>
          <w:bCs/>
          <w:i/>
          <w:iCs/>
          <w:color w:val="auto"/>
        </w:rPr>
        <w:t>băuturi</w:t>
      </w:r>
      <w:r w:rsidRPr="008E1F89">
        <w:rPr>
          <w:rFonts w:ascii="Arial" w:hAnsi="Arial" w:cs="Arial"/>
          <w:b/>
          <w:bCs/>
          <w:iCs/>
          <w:color w:val="auto"/>
        </w:rPr>
        <w:t xml:space="preserve"> – </w:t>
      </w:r>
      <w:r w:rsidRPr="008E1F89">
        <w:rPr>
          <w:rFonts w:ascii="Arial" w:hAnsi="Arial" w:cs="Arial"/>
          <w:bCs/>
          <w:iCs/>
          <w:color w:val="auto"/>
        </w:rPr>
        <w:t>nu sunt date statistice</w:t>
      </w:r>
      <w:r>
        <w:rPr>
          <w:rFonts w:ascii="Arial" w:hAnsi="Arial" w:cs="Arial"/>
          <w:bCs/>
          <w:iCs/>
          <w:color w:val="auto"/>
        </w:rPr>
        <w:t xml:space="preserve"> </w:t>
      </w:r>
      <w:r w:rsidRPr="008E1F89">
        <w:rPr>
          <w:rFonts w:ascii="Arial" w:hAnsi="Arial" w:cs="Arial"/>
          <w:bCs/>
          <w:iCs/>
          <w:color w:val="auto"/>
        </w:rPr>
        <w:t>agregate de nivel</w:t>
      </w:r>
      <w:r>
        <w:rPr>
          <w:rFonts w:ascii="Arial" w:hAnsi="Arial" w:cs="Arial"/>
          <w:bCs/>
          <w:iCs/>
          <w:color w:val="auto"/>
        </w:rPr>
        <w:t xml:space="preserve"> </w:t>
      </w:r>
      <w:r w:rsidRPr="008E1F89">
        <w:rPr>
          <w:rFonts w:ascii="Arial" w:hAnsi="Arial" w:cs="Arial"/>
          <w:bCs/>
          <w:iCs/>
          <w:color w:val="auto"/>
        </w:rPr>
        <w:t>județean</w:t>
      </w:r>
      <w:r>
        <w:rPr>
          <w:rFonts w:ascii="Arial" w:hAnsi="Arial" w:cs="Arial"/>
          <w:bCs/>
          <w:iCs/>
          <w:color w:val="auto"/>
        </w:rPr>
        <w:t xml:space="preserve"> (DirecțiaR</w:t>
      </w:r>
      <w:r w:rsidRPr="008E1F89">
        <w:rPr>
          <w:rFonts w:ascii="Arial" w:hAnsi="Arial" w:cs="Arial"/>
          <w:bCs/>
          <w:iCs/>
          <w:color w:val="auto"/>
        </w:rPr>
        <w:t>egional</w:t>
      </w:r>
      <w:r>
        <w:rPr>
          <w:rFonts w:ascii="Arial" w:hAnsi="Arial" w:cs="Arial"/>
          <w:bCs/>
          <w:iCs/>
          <w:color w:val="auto"/>
        </w:rPr>
        <w:t>ă</w:t>
      </w:r>
      <w:r w:rsidRPr="008E1F89">
        <w:rPr>
          <w:rFonts w:ascii="Arial" w:hAnsi="Arial" w:cs="Arial"/>
          <w:bCs/>
          <w:iCs/>
          <w:color w:val="auto"/>
        </w:rPr>
        <w:t xml:space="preserve"> de Statistică</w:t>
      </w:r>
      <w:r w:rsidR="00217620">
        <w:rPr>
          <w:rFonts w:ascii="Arial" w:hAnsi="Arial" w:cs="Arial"/>
          <w:bCs/>
          <w:iCs/>
          <w:color w:val="auto"/>
        </w:rPr>
        <w:t>Brăila</w:t>
      </w:r>
      <w:r w:rsidRPr="008E1F89">
        <w:rPr>
          <w:rFonts w:ascii="Arial" w:hAnsi="Arial" w:cs="Arial"/>
          <w:bCs/>
          <w:iCs/>
          <w:color w:val="auto"/>
        </w:rPr>
        <w:t>)</w:t>
      </w:r>
    </w:p>
    <w:p w:rsidR="0033527B" w:rsidRPr="008E1F89" w:rsidRDefault="0033527B" w:rsidP="0033527B">
      <w:pPr>
        <w:pStyle w:val="Default"/>
        <w:rPr>
          <w:rFonts w:ascii="Arial" w:hAnsi="Arial" w:cs="Arial"/>
          <w:b/>
          <w:bCs/>
          <w:color w:val="auto"/>
        </w:rPr>
      </w:pPr>
    </w:p>
    <w:p w:rsidR="0033527B" w:rsidRPr="00EB701B" w:rsidRDefault="0033527B" w:rsidP="0033527B">
      <w:pPr>
        <w:pStyle w:val="Default"/>
        <w:ind w:firstLine="585"/>
        <w:rPr>
          <w:rFonts w:ascii="Arial" w:hAnsi="Arial" w:cs="Arial"/>
          <w:b/>
          <w:bCs/>
          <w:i/>
          <w:color w:val="auto"/>
        </w:rPr>
      </w:pPr>
      <w:r w:rsidRPr="00EB701B">
        <w:rPr>
          <w:rFonts w:ascii="Arial" w:hAnsi="Arial" w:cs="Arial"/>
          <w:b/>
          <w:bCs/>
          <w:color w:val="auto"/>
        </w:rPr>
        <w:t>X.1.2</w:t>
      </w:r>
      <w:r w:rsidRPr="00EB701B">
        <w:rPr>
          <w:rFonts w:ascii="Arial" w:hAnsi="Arial" w:cs="Arial"/>
          <w:b/>
          <w:bCs/>
          <w:i/>
          <w:color w:val="auto"/>
        </w:rPr>
        <w:t>. Locuințe</w:t>
      </w:r>
    </w:p>
    <w:p w:rsidR="0033527B" w:rsidRPr="00EB701B" w:rsidRDefault="0033527B" w:rsidP="0033527B">
      <w:pPr>
        <w:pStyle w:val="Default"/>
        <w:rPr>
          <w:rFonts w:ascii="Arial" w:hAnsi="Arial" w:cs="Arial"/>
          <w:b/>
          <w:bCs/>
          <w:i/>
          <w:color w:val="auto"/>
          <w:u w:val="single"/>
        </w:rPr>
      </w:pPr>
    </w:p>
    <w:p w:rsidR="0033527B" w:rsidRPr="00EB701B" w:rsidRDefault="0033527B" w:rsidP="0033527B">
      <w:pPr>
        <w:pStyle w:val="Default"/>
        <w:rPr>
          <w:rFonts w:ascii="Arial" w:hAnsi="Arial" w:cs="Arial"/>
          <w:b/>
          <w:bCs/>
          <w:i/>
          <w:color w:val="auto"/>
          <w:u w:val="single"/>
        </w:rPr>
      </w:pPr>
      <w:r w:rsidRPr="00EB701B">
        <w:rPr>
          <w:rFonts w:ascii="Arial" w:hAnsi="Arial" w:cs="Arial"/>
          <w:b/>
          <w:color w:val="auto"/>
        </w:rPr>
        <w:t>Număr</w:t>
      </w:r>
      <w:r>
        <w:rPr>
          <w:rFonts w:ascii="Arial" w:hAnsi="Arial" w:cs="Arial"/>
          <w:b/>
          <w:color w:val="auto"/>
        </w:rPr>
        <w:t xml:space="preserve"> </w:t>
      </w:r>
      <w:r w:rsidRPr="00EB701B">
        <w:rPr>
          <w:rFonts w:ascii="Arial" w:hAnsi="Arial" w:cs="Arial"/>
          <w:b/>
          <w:color w:val="auto"/>
        </w:rPr>
        <w:t xml:space="preserve">mediu de </w:t>
      </w:r>
      <w:r>
        <w:rPr>
          <w:rFonts w:ascii="Arial" w:hAnsi="Arial" w:cs="Arial"/>
          <w:b/>
          <w:color w:val="auto"/>
        </w:rPr>
        <w:t xml:space="preserve">personae </w:t>
      </w:r>
      <w:r w:rsidRPr="00EB701B">
        <w:rPr>
          <w:rFonts w:ascii="Arial" w:hAnsi="Arial" w:cs="Arial"/>
          <w:b/>
          <w:color w:val="auto"/>
        </w:rPr>
        <w:t>pe</w:t>
      </w:r>
      <w:r>
        <w:rPr>
          <w:rFonts w:ascii="Arial" w:hAnsi="Arial" w:cs="Arial"/>
          <w:b/>
          <w:color w:val="auto"/>
        </w:rPr>
        <w:t xml:space="preserve"> </w:t>
      </w:r>
      <w:r w:rsidRPr="00EB701B">
        <w:rPr>
          <w:rFonts w:ascii="Arial" w:hAnsi="Arial" w:cs="Arial"/>
          <w:b/>
          <w:color w:val="auto"/>
        </w:rPr>
        <w:t>locuință</w:t>
      </w:r>
      <w:r w:rsidRPr="00EB701B">
        <w:rPr>
          <w:rFonts w:ascii="Arial" w:hAnsi="Arial" w:cs="Arial"/>
          <w:b/>
          <w:iCs/>
          <w:color w:val="auto"/>
        </w:rPr>
        <w:t>(persoane/gospodărie) în</w:t>
      </w:r>
      <w:r>
        <w:rPr>
          <w:rFonts w:ascii="Arial" w:hAnsi="Arial" w:cs="Arial"/>
          <w:b/>
          <w:iCs/>
          <w:color w:val="auto"/>
        </w:rPr>
        <w:t xml:space="preserve"> </w:t>
      </w:r>
      <w:r w:rsidRPr="00EB701B">
        <w:rPr>
          <w:rFonts w:ascii="Arial" w:hAnsi="Arial" w:cs="Arial"/>
          <w:b/>
          <w:iCs/>
          <w:color w:val="auto"/>
        </w:rPr>
        <w:t>județul</w:t>
      </w:r>
      <w:r w:rsidR="00217620">
        <w:rPr>
          <w:rFonts w:ascii="Arial" w:hAnsi="Arial" w:cs="Arial"/>
          <w:b/>
          <w:iCs/>
          <w:color w:val="auto"/>
        </w:rPr>
        <w:t>Brăila</w:t>
      </w:r>
    </w:p>
    <w:p w:rsidR="0033527B" w:rsidRPr="00EB701B" w:rsidRDefault="0033527B" w:rsidP="0033527B">
      <w:pPr>
        <w:pStyle w:val="Default"/>
        <w:rPr>
          <w:rFonts w:ascii="Arial" w:hAnsi="Arial" w:cs="Arial"/>
          <w:b/>
          <w:bCs/>
          <w:iCs/>
          <w:color w:val="auto"/>
          <w:u w:val="single"/>
        </w:rPr>
      </w:pPr>
    </w:p>
    <w:p w:rsidR="0033527B" w:rsidRDefault="0033527B" w:rsidP="004E720D">
      <w:pPr>
        <w:pStyle w:val="Default"/>
        <w:rPr>
          <w:rFonts w:ascii="Arial" w:hAnsi="Arial" w:cs="Arial"/>
          <w:bCs/>
        </w:rPr>
      </w:pPr>
      <w:r w:rsidRPr="004E720D">
        <w:rPr>
          <w:rFonts w:ascii="Arial" w:hAnsi="Arial" w:cs="Arial"/>
          <w:bCs/>
          <w:color w:val="auto"/>
        </w:rPr>
        <w:t>Tabelul nr. X.1.2. -1</w:t>
      </w:r>
      <w:r w:rsidRPr="00EB701B">
        <w:rPr>
          <w:rFonts w:ascii="Arial" w:hAnsi="Arial" w:cs="Arial"/>
          <w:b/>
          <w:bCs/>
          <w:color w:val="auto"/>
        </w:rPr>
        <w:t xml:space="preserve"> </w:t>
      </w:r>
      <w:r w:rsidRPr="00EB701B">
        <w:rPr>
          <w:rFonts w:ascii="Arial" w:hAnsi="Arial" w:cs="Arial"/>
          <w:color w:val="auto"/>
          <w:lang w:val="es-ES"/>
        </w:rPr>
        <w:t>Locuinţe existente la sfârşitul</w:t>
      </w:r>
      <w:r>
        <w:rPr>
          <w:rFonts w:ascii="Arial" w:hAnsi="Arial" w:cs="Arial"/>
          <w:color w:val="auto"/>
          <w:lang w:val="es-ES"/>
        </w:rPr>
        <w:t xml:space="preserve"> </w:t>
      </w:r>
      <w:r w:rsidRPr="00EB701B">
        <w:rPr>
          <w:rFonts w:ascii="Arial" w:hAnsi="Arial" w:cs="Arial"/>
          <w:color w:val="auto"/>
          <w:lang w:val="es-ES"/>
        </w:rPr>
        <w:t>anului</w:t>
      </w:r>
      <w:r>
        <w:rPr>
          <w:rFonts w:ascii="Arial" w:hAnsi="Arial" w:cs="Arial"/>
          <w:color w:val="auto"/>
          <w:lang w:val="es-ES"/>
        </w:rPr>
        <w:t xml:space="preserve"> </w:t>
      </w:r>
      <w:r w:rsidRPr="00182FAF">
        <w:rPr>
          <w:rFonts w:ascii="Arial" w:hAnsi="Arial" w:cs="Arial"/>
          <w:b/>
          <w:color w:val="auto"/>
          <w:lang w:val="es-ES"/>
        </w:rPr>
        <w:t>2016</w:t>
      </w:r>
      <w:r w:rsidRPr="00AE5913">
        <w:rPr>
          <w:rFonts w:ascii="Arial" w:hAnsi="Arial" w:cs="Arial"/>
          <w:color w:val="auto"/>
          <w:lang w:val="es-ES"/>
        </w:rPr>
        <w:t xml:space="preserve"> </w:t>
      </w:r>
      <w:r w:rsidRPr="00EB701B">
        <w:rPr>
          <w:rFonts w:ascii="Arial" w:hAnsi="Arial" w:cs="Arial"/>
          <w:color w:val="auto"/>
          <w:lang w:val="es-ES"/>
        </w:rPr>
        <w:t>, pe medii</w:t>
      </w:r>
      <w:r>
        <w:rPr>
          <w:rFonts w:ascii="Arial" w:hAnsi="Arial" w:cs="Arial"/>
          <w:bCs/>
        </w:rPr>
        <w:t xml:space="preserve">                                                  </w:t>
      </w:r>
      <w:r w:rsidRPr="00EB701B">
        <w:rPr>
          <w:rFonts w:ascii="Arial" w:hAnsi="Arial" w:cs="Arial"/>
          <w:bCs/>
        </w:rPr>
        <w:t>Număr locuințe</w:t>
      </w:r>
    </w:p>
    <w:p w:rsidR="00880E32" w:rsidRPr="00EB701B" w:rsidRDefault="00880E32" w:rsidP="004E720D">
      <w:pPr>
        <w:pStyle w:val="Default"/>
        <w:rPr>
          <w:rFonts w:ascii="Arial" w:hAnsi="Arial" w:cs="Arial"/>
        </w:rPr>
      </w:pPr>
    </w:p>
    <w:tbl>
      <w:tblPr>
        <w:tblW w:w="7465" w:type="dxa"/>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2"/>
        <w:gridCol w:w="1123"/>
        <w:gridCol w:w="1123"/>
        <w:gridCol w:w="1123"/>
        <w:gridCol w:w="1123"/>
        <w:gridCol w:w="1041"/>
      </w:tblGrid>
      <w:tr w:rsidR="0033527B" w:rsidRPr="008E1F89" w:rsidTr="00880E32">
        <w:trPr>
          <w:trHeight w:val="246"/>
          <w:jc w:val="center"/>
        </w:trPr>
        <w:tc>
          <w:tcPr>
            <w:tcW w:w="1932" w:type="dxa"/>
            <w:shd w:val="clear" w:color="auto" w:fill="F2DBDB" w:themeFill="accent2" w:themeFillTint="33"/>
            <w:noWrap/>
            <w:vAlign w:val="center"/>
          </w:tcPr>
          <w:p w:rsidR="0033527B" w:rsidRPr="008E1F89" w:rsidRDefault="0033527B" w:rsidP="0033527B">
            <w:pPr>
              <w:spacing w:after="0" w:line="240" w:lineRule="auto"/>
              <w:rPr>
                <w:rFonts w:ascii="Arial" w:hAnsi="Arial" w:cs="Arial"/>
                <w:color w:val="000000"/>
                <w:sz w:val="24"/>
                <w:szCs w:val="24"/>
                <w:lang w:val="it-IT"/>
              </w:rPr>
            </w:pPr>
            <w:r w:rsidRPr="008E1F89">
              <w:rPr>
                <w:rFonts w:ascii="Arial" w:hAnsi="Arial" w:cs="Arial"/>
                <w:b/>
                <w:bCs/>
                <w:color w:val="000000"/>
                <w:sz w:val="24"/>
                <w:szCs w:val="24"/>
              </w:rPr>
              <w:t xml:space="preserve">Judeţul </w:t>
            </w:r>
            <w:r w:rsidR="00217620">
              <w:rPr>
                <w:rFonts w:ascii="Arial" w:hAnsi="Arial" w:cs="Arial"/>
                <w:b/>
                <w:bCs/>
                <w:color w:val="000000"/>
                <w:sz w:val="24"/>
                <w:szCs w:val="24"/>
              </w:rPr>
              <w:t>Brăila</w:t>
            </w:r>
          </w:p>
        </w:tc>
        <w:tc>
          <w:tcPr>
            <w:tcW w:w="1123" w:type="dxa"/>
            <w:shd w:val="clear" w:color="auto" w:fill="F2DBDB" w:themeFill="accent2" w:themeFillTint="33"/>
            <w:noWrap/>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2012</w:t>
            </w:r>
          </w:p>
        </w:tc>
        <w:tc>
          <w:tcPr>
            <w:tcW w:w="1123" w:type="dxa"/>
            <w:shd w:val="clear" w:color="auto" w:fill="F2DBDB" w:themeFill="accent2" w:themeFillTint="33"/>
            <w:noWrap/>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2013</w:t>
            </w:r>
          </w:p>
        </w:tc>
        <w:tc>
          <w:tcPr>
            <w:tcW w:w="1123" w:type="dxa"/>
            <w:shd w:val="clear" w:color="auto" w:fill="F2DBDB" w:themeFill="accent2" w:themeFillTint="33"/>
            <w:noWrap/>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2014</w:t>
            </w:r>
          </w:p>
        </w:tc>
        <w:tc>
          <w:tcPr>
            <w:tcW w:w="1123" w:type="dxa"/>
            <w:shd w:val="clear" w:color="auto" w:fill="F2DBDB" w:themeFill="accent2" w:themeFillTint="33"/>
            <w:noWrap/>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2015</w:t>
            </w:r>
          </w:p>
        </w:tc>
        <w:tc>
          <w:tcPr>
            <w:tcW w:w="1041" w:type="dxa"/>
            <w:shd w:val="clear" w:color="auto" w:fill="F2DBDB" w:themeFill="accent2" w:themeFillTint="33"/>
          </w:tcPr>
          <w:p w:rsidR="0033527B" w:rsidRPr="00AE5913" w:rsidRDefault="0033527B" w:rsidP="0033527B">
            <w:pPr>
              <w:spacing w:after="0" w:line="240" w:lineRule="auto"/>
              <w:rPr>
                <w:rFonts w:ascii="Arial" w:hAnsi="Arial" w:cs="Arial"/>
                <w:b/>
                <w:bCs/>
                <w:sz w:val="24"/>
                <w:szCs w:val="24"/>
              </w:rPr>
            </w:pPr>
            <w:r w:rsidRPr="00AE5913">
              <w:rPr>
                <w:rFonts w:ascii="Arial" w:hAnsi="Arial" w:cs="Arial"/>
                <w:b/>
                <w:bCs/>
                <w:sz w:val="24"/>
                <w:szCs w:val="24"/>
              </w:rPr>
              <w:t>2016</w:t>
            </w:r>
          </w:p>
        </w:tc>
      </w:tr>
      <w:tr w:rsidR="0033527B" w:rsidRPr="008E1F89" w:rsidTr="00880E32">
        <w:trPr>
          <w:trHeight w:val="300"/>
          <w:jc w:val="center"/>
        </w:trPr>
        <w:tc>
          <w:tcPr>
            <w:tcW w:w="1932" w:type="dxa"/>
            <w:shd w:val="clear" w:color="auto" w:fill="DAEEF3" w:themeFill="accent5" w:themeFillTint="33"/>
            <w:noWrap/>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 xml:space="preserve">Total </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137311</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137474</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137698</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137883</w:t>
            </w:r>
          </w:p>
        </w:tc>
        <w:tc>
          <w:tcPr>
            <w:tcW w:w="1041" w:type="dxa"/>
            <w:shd w:val="clear" w:color="auto" w:fill="DAEEF3" w:themeFill="accent5" w:themeFillTint="33"/>
          </w:tcPr>
          <w:p w:rsidR="0033527B" w:rsidRPr="00AE5913" w:rsidRDefault="0033527B" w:rsidP="0033527B">
            <w:pPr>
              <w:spacing w:after="0" w:line="240" w:lineRule="auto"/>
              <w:rPr>
                <w:rFonts w:ascii="Arial" w:hAnsi="Arial" w:cs="Arial"/>
                <w:sz w:val="24"/>
                <w:szCs w:val="24"/>
              </w:rPr>
            </w:pPr>
            <w:r w:rsidRPr="00AE5913">
              <w:rPr>
                <w:rFonts w:ascii="Arial" w:hAnsi="Arial" w:cs="Arial"/>
                <w:sz w:val="24"/>
                <w:szCs w:val="24"/>
              </w:rPr>
              <w:t>138072</w:t>
            </w:r>
          </w:p>
        </w:tc>
      </w:tr>
      <w:tr w:rsidR="0033527B" w:rsidRPr="008E1F89" w:rsidTr="00880E32">
        <w:trPr>
          <w:trHeight w:val="300"/>
          <w:jc w:val="center"/>
        </w:trPr>
        <w:tc>
          <w:tcPr>
            <w:tcW w:w="1932" w:type="dxa"/>
            <w:shd w:val="clear" w:color="auto" w:fill="DAEEF3" w:themeFill="accent5" w:themeFillTint="33"/>
            <w:noWrap/>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Urban</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87393</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87381</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87500</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87539</w:t>
            </w:r>
          </w:p>
        </w:tc>
        <w:tc>
          <w:tcPr>
            <w:tcW w:w="1041" w:type="dxa"/>
            <w:shd w:val="clear" w:color="auto" w:fill="DAEEF3" w:themeFill="accent5" w:themeFillTint="33"/>
          </w:tcPr>
          <w:p w:rsidR="0033527B" w:rsidRPr="00AE5913" w:rsidRDefault="0033527B" w:rsidP="0033527B">
            <w:pPr>
              <w:spacing w:after="0" w:line="240" w:lineRule="auto"/>
              <w:rPr>
                <w:rFonts w:ascii="Arial" w:hAnsi="Arial" w:cs="Arial"/>
                <w:sz w:val="24"/>
                <w:szCs w:val="24"/>
              </w:rPr>
            </w:pPr>
            <w:r w:rsidRPr="00AE5913">
              <w:rPr>
                <w:rFonts w:ascii="Arial" w:hAnsi="Arial" w:cs="Arial"/>
                <w:sz w:val="24"/>
                <w:szCs w:val="24"/>
              </w:rPr>
              <w:t>87578</w:t>
            </w:r>
          </w:p>
        </w:tc>
      </w:tr>
      <w:tr w:rsidR="0033527B" w:rsidRPr="008E1F89" w:rsidTr="00880E32">
        <w:trPr>
          <w:trHeight w:val="300"/>
          <w:jc w:val="center"/>
        </w:trPr>
        <w:tc>
          <w:tcPr>
            <w:tcW w:w="1932" w:type="dxa"/>
            <w:shd w:val="clear" w:color="auto" w:fill="DAEEF3" w:themeFill="accent5" w:themeFillTint="33"/>
            <w:noWrap/>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Rural</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49918</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50093</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50198</w:t>
            </w:r>
          </w:p>
        </w:tc>
        <w:tc>
          <w:tcPr>
            <w:tcW w:w="1123"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50344</w:t>
            </w:r>
          </w:p>
        </w:tc>
        <w:tc>
          <w:tcPr>
            <w:tcW w:w="1041" w:type="dxa"/>
            <w:shd w:val="clear" w:color="auto" w:fill="DAEEF3" w:themeFill="accent5" w:themeFillTint="33"/>
          </w:tcPr>
          <w:p w:rsidR="0033527B" w:rsidRPr="00AE5913" w:rsidRDefault="0033527B" w:rsidP="0033527B">
            <w:pPr>
              <w:spacing w:after="0" w:line="240" w:lineRule="auto"/>
              <w:rPr>
                <w:rFonts w:ascii="Arial" w:hAnsi="Arial" w:cs="Arial"/>
                <w:sz w:val="24"/>
                <w:szCs w:val="24"/>
              </w:rPr>
            </w:pPr>
            <w:r w:rsidRPr="00AE5913">
              <w:rPr>
                <w:rFonts w:ascii="Arial" w:hAnsi="Arial" w:cs="Arial"/>
                <w:sz w:val="24"/>
                <w:szCs w:val="24"/>
              </w:rPr>
              <w:t>50494</w:t>
            </w:r>
          </w:p>
        </w:tc>
      </w:tr>
    </w:tbl>
    <w:p w:rsidR="0033527B" w:rsidRPr="00AE5913" w:rsidRDefault="0033527B" w:rsidP="0033527B">
      <w:pPr>
        <w:rPr>
          <w:rFonts w:ascii="Arial" w:hAnsi="Arial" w:cs="Arial"/>
          <w:b/>
          <w:bCs/>
          <w:sz w:val="20"/>
          <w:szCs w:val="20"/>
        </w:rPr>
      </w:pPr>
      <w:r>
        <w:rPr>
          <w:rFonts w:ascii="Arial" w:hAnsi="Arial" w:cs="Arial"/>
          <w:bCs/>
          <w:sz w:val="20"/>
          <w:szCs w:val="20"/>
        </w:rPr>
        <w:t xml:space="preserve">                      </w:t>
      </w:r>
      <w:r w:rsidRPr="00AE5913">
        <w:rPr>
          <w:rFonts w:ascii="Arial" w:hAnsi="Arial" w:cs="Arial"/>
          <w:bCs/>
          <w:sz w:val="20"/>
          <w:szCs w:val="20"/>
        </w:rPr>
        <w:t xml:space="preserve">Notă: Informații furnizate de către Direcția Regională de Statistică </w:t>
      </w:r>
      <w:r w:rsidR="00217620">
        <w:rPr>
          <w:rFonts w:ascii="Arial" w:hAnsi="Arial" w:cs="Arial"/>
          <w:bCs/>
          <w:sz w:val="20"/>
          <w:szCs w:val="20"/>
        </w:rPr>
        <w:t>Brăila</w:t>
      </w:r>
    </w:p>
    <w:p w:rsidR="0033527B" w:rsidRPr="00EB701B" w:rsidRDefault="0033527B" w:rsidP="0033527B">
      <w:pPr>
        <w:rPr>
          <w:rFonts w:ascii="Arial" w:hAnsi="Arial" w:cs="Arial"/>
          <w:sz w:val="24"/>
          <w:szCs w:val="24"/>
        </w:rPr>
      </w:pPr>
      <w:r w:rsidRPr="004E720D">
        <w:rPr>
          <w:rFonts w:ascii="Arial" w:hAnsi="Arial" w:cs="Arial"/>
          <w:bCs/>
          <w:sz w:val="24"/>
          <w:szCs w:val="24"/>
        </w:rPr>
        <w:t>Tabelul nr. X.1.2.- 2</w:t>
      </w:r>
      <w:r w:rsidRPr="00EB701B">
        <w:rPr>
          <w:rFonts w:ascii="Arial" w:hAnsi="Arial" w:cs="Arial"/>
          <w:b/>
          <w:bCs/>
          <w:sz w:val="24"/>
          <w:szCs w:val="24"/>
        </w:rPr>
        <w:t xml:space="preserve">  </w:t>
      </w:r>
      <w:r w:rsidRPr="00EB701B">
        <w:rPr>
          <w:rFonts w:ascii="Arial" w:hAnsi="Arial" w:cs="Arial"/>
          <w:sz w:val="24"/>
          <w:szCs w:val="24"/>
          <w:lang w:val="it-IT"/>
        </w:rPr>
        <w:t xml:space="preserve">Populaţia după domiciliu, pe medii </w:t>
      </w:r>
      <w:r w:rsidRPr="00EB701B">
        <w:rPr>
          <w:rFonts w:ascii="Arial" w:hAnsi="Arial" w:cs="Arial"/>
          <w:sz w:val="24"/>
          <w:szCs w:val="24"/>
        </w:rPr>
        <w:t xml:space="preserve">în perioada </w:t>
      </w:r>
      <w:r w:rsidRPr="00AE5913">
        <w:rPr>
          <w:rFonts w:ascii="Arial" w:hAnsi="Arial" w:cs="Arial"/>
          <w:b/>
          <w:sz w:val="24"/>
          <w:szCs w:val="24"/>
        </w:rPr>
        <w:t>2012 – 2016</w:t>
      </w:r>
      <w:r>
        <w:rPr>
          <w:rFonts w:ascii="Arial" w:hAnsi="Arial" w:cs="Arial"/>
          <w:bCs/>
          <w:sz w:val="24"/>
          <w:szCs w:val="24"/>
        </w:rPr>
        <w:t xml:space="preserve">                                                                                         </w:t>
      </w:r>
      <w:r w:rsidRPr="00EB701B">
        <w:rPr>
          <w:rFonts w:ascii="Arial" w:hAnsi="Arial" w:cs="Arial"/>
          <w:bCs/>
          <w:sz w:val="24"/>
          <w:szCs w:val="24"/>
        </w:rPr>
        <w:t>Număr persoane</w:t>
      </w:r>
    </w:p>
    <w:tbl>
      <w:tblPr>
        <w:tblW w:w="0" w:type="auto"/>
        <w:jc w:val="center"/>
        <w:tblInd w:w="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1"/>
        <w:gridCol w:w="1133"/>
        <w:gridCol w:w="1133"/>
        <w:gridCol w:w="1133"/>
        <w:gridCol w:w="1133"/>
        <w:gridCol w:w="1084"/>
      </w:tblGrid>
      <w:tr w:rsidR="0033527B" w:rsidRPr="008E1F89" w:rsidTr="0033527B">
        <w:trPr>
          <w:trHeight w:val="397"/>
          <w:jc w:val="center"/>
        </w:trPr>
        <w:tc>
          <w:tcPr>
            <w:tcW w:w="1901" w:type="dxa"/>
            <w:shd w:val="clear" w:color="auto" w:fill="F2DBDB" w:themeFill="accent2"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 xml:space="preserve">Judeţul </w:t>
            </w:r>
            <w:r w:rsidR="00217620">
              <w:rPr>
                <w:rFonts w:ascii="Arial" w:hAnsi="Arial" w:cs="Arial"/>
                <w:b/>
                <w:bCs/>
                <w:color w:val="000000"/>
                <w:sz w:val="24"/>
                <w:szCs w:val="24"/>
              </w:rPr>
              <w:t>Brăila</w:t>
            </w:r>
          </w:p>
        </w:tc>
        <w:tc>
          <w:tcPr>
            <w:tcW w:w="1133" w:type="dxa"/>
            <w:shd w:val="clear" w:color="auto" w:fill="F2DBDB" w:themeFill="accent2"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2012</w:t>
            </w:r>
          </w:p>
        </w:tc>
        <w:tc>
          <w:tcPr>
            <w:tcW w:w="1133" w:type="dxa"/>
            <w:shd w:val="clear" w:color="auto" w:fill="F2DBDB" w:themeFill="accent2"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2013</w:t>
            </w:r>
          </w:p>
        </w:tc>
        <w:tc>
          <w:tcPr>
            <w:tcW w:w="1133" w:type="dxa"/>
            <w:shd w:val="clear" w:color="auto" w:fill="F2DBDB" w:themeFill="accent2"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2014</w:t>
            </w:r>
          </w:p>
        </w:tc>
        <w:tc>
          <w:tcPr>
            <w:tcW w:w="1133" w:type="dxa"/>
            <w:shd w:val="clear" w:color="auto" w:fill="F2DBDB" w:themeFill="accent2"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2015</w:t>
            </w:r>
          </w:p>
        </w:tc>
        <w:tc>
          <w:tcPr>
            <w:tcW w:w="1084" w:type="dxa"/>
            <w:shd w:val="clear" w:color="auto" w:fill="F2DBDB" w:themeFill="accent2" w:themeFillTint="33"/>
          </w:tcPr>
          <w:p w:rsidR="0033527B" w:rsidRPr="00AE5913" w:rsidRDefault="0033527B" w:rsidP="0033527B">
            <w:pPr>
              <w:spacing w:after="0" w:line="240" w:lineRule="auto"/>
              <w:rPr>
                <w:rFonts w:ascii="Arial" w:hAnsi="Arial" w:cs="Arial"/>
                <w:b/>
                <w:bCs/>
                <w:sz w:val="24"/>
                <w:szCs w:val="24"/>
              </w:rPr>
            </w:pPr>
            <w:r w:rsidRPr="00AE5913">
              <w:rPr>
                <w:rFonts w:ascii="Arial" w:hAnsi="Arial" w:cs="Arial"/>
                <w:b/>
                <w:bCs/>
                <w:sz w:val="24"/>
                <w:szCs w:val="24"/>
              </w:rPr>
              <w:t>2016</w:t>
            </w:r>
          </w:p>
        </w:tc>
      </w:tr>
      <w:tr w:rsidR="0033527B" w:rsidRPr="008E1F89" w:rsidTr="0033527B">
        <w:trPr>
          <w:trHeight w:val="300"/>
          <w:jc w:val="center"/>
        </w:trPr>
        <w:tc>
          <w:tcPr>
            <w:tcW w:w="1901" w:type="dxa"/>
            <w:shd w:val="clear" w:color="auto" w:fill="EAF1DD" w:themeFill="accent3"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Total populaţie</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367</w:t>
            </w:r>
            <w:r>
              <w:rPr>
                <w:rFonts w:ascii="Arial" w:hAnsi="Arial" w:cs="Arial"/>
                <w:b/>
                <w:color w:val="000000"/>
                <w:sz w:val="24"/>
                <w:szCs w:val="24"/>
              </w:rPr>
              <w:t>.</w:t>
            </w:r>
            <w:r w:rsidRPr="008E1F89">
              <w:rPr>
                <w:rFonts w:ascii="Arial" w:hAnsi="Arial" w:cs="Arial"/>
                <w:b/>
                <w:color w:val="000000"/>
                <w:sz w:val="24"/>
                <w:szCs w:val="24"/>
              </w:rPr>
              <w:t>771</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364</w:t>
            </w:r>
            <w:r>
              <w:rPr>
                <w:rFonts w:ascii="Arial" w:hAnsi="Arial" w:cs="Arial"/>
                <w:b/>
                <w:color w:val="000000"/>
                <w:sz w:val="24"/>
                <w:szCs w:val="24"/>
              </w:rPr>
              <w:t>.</w:t>
            </w:r>
            <w:r w:rsidRPr="008E1F89">
              <w:rPr>
                <w:rFonts w:ascii="Arial" w:hAnsi="Arial" w:cs="Arial"/>
                <w:b/>
                <w:color w:val="000000"/>
                <w:sz w:val="24"/>
                <w:szCs w:val="24"/>
              </w:rPr>
              <w:t>644</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361</w:t>
            </w:r>
            <w:r>
              <w:rPr>
                <w:rFonts w:ascii="Arial" w:hAnsi="Arial" w:cs="Arial"/>
                <w:b/>
                <w:color w:val="000000"/>
                <w:sz w:val="24"/>
                <w:szCs w:val="24"/>
              </w:rPr>
              <w:t>.</w:t>
            </w:r>
            <w:r w:rsidRPr="008E1F89">
              <w:rPr>
                <w:rFonts w:ascii="Arial" w:hAnsi="Arial" w:cs="Arial"/>
                <w:b/>
                <w:color w:val="000000"/>
                <w:sz w:val="24"/>
                <w:szCs w:val="24"/>
              </w:rPr>
              <w:t>218</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357</w:t>
            </w:r>
            <w:r>
              <w:rPr>
                <w:rFonts w:ascii="Arial" w:hAnsi="Arial" w:cs="Arial"/>
                <w:b/>
                <w:color w:val="000000"/>
                <w:sz w:val="24"/>
                <w:szCs w:val="24"/>
              </w:rPr>
              <w:t>.</w:t>
            </w:r>
            <w:r w:rsidRPr="008E1F89">
              <w:rPr>
                <w:rFonts w:ascii="Arial" w:hAnsi="Arial" w:cs="Arial"/>
                <w:b/>
                <w:color w:val="000000"/>
                <w:sz w:val="24"/>
                <w:szCs w:val="24"/>
              </w:rPr>
              <w:t>752</w:t>
            </w:r>
          </w:p>
        </w:tc>
        <w:tc>
          <w:tcPr>
            <w:tcW w:w="1084" w:type="dxa"/>
            <w:shd w:val="clear" w:color="auto" w:fill="EAF1DD" w:themeFill="accent3" w:themeFillTint="33"/>
            <w:vAlign w:val="center"/>
          </w:tcPr>
          <w:p w:rsidR="0033527B" w:rsidRPr="00AE5913" w:rsidRDefault="0033527B" w:rsidP="0033527B">
            <w:pPr>
              <w:spacing w:after="0" w:line="240" w:lineRule="auto"/>
              <w:jc w:val="center"/>
              <w:rPr>
                <w:rFonts w:ascii="Arial" w:hAnsi="Arial" w:cs="Arial"/>
                <w:b/>
                <w:sz w:val="24"/>
                <w:szCs w:val="24"/>
              </w:rPr>
            </w:pPr>
            <w:r w:rsidRPr="00AE5913">
              <w:rPr>
                <w:rFonts w:ascii="Arial" w:hAnsi="Arial" w:cs="Arial"/>
                <w:b/>
                <w:sz w:val="24"/>
                <w:szCs w:val="24"/>
              </w:rPr>
              <w:t>354.275</w:t>
            </w:r>
          </w:p>
        </w:tc>
      </w:tr>
      <w:tr w:rsidR="0033527B" w:rsidRPr="008E1F89" w:rsidTr="0033527B">
        <w:trPr>
          <w:trHeight w:val="300"/>
          <w:jc w:val="center"/>
        </w:trPr>
        <w:tc>
          <w:tcPr>
            <w:tcW w:w="1901" w:type="dxa"/>
            <w:shd w:val="clear" w:color="auto" w:fill="EAF1DD" w:themeFill="accent3"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Urban</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241</w:t>
            </w:r>
            <w:r>
              <w:rPr>
                <w:rFonts w:ascii="Arial" w:hAnsi="Arial" w:cs="Arial"/>
                <w:color w:val="000000"/>
                <w:sz w:val="24"/>
                <w:szCs w:val="24"/>
              </w:rPr>
              <w:t>.</w:t>
            </w:r>
            <w:r w:rsidRPr="008E1F89">
              <w:rPr>
                <w:rFonts w:ascii="Arial" w:hAnsi="Arial" w:cs="Arial"/>
                <w:color w:val="000000"/>
                <w:sz w:val="24"/>
                <w:szCs w:val="24"/>
              </w:rPr>
              <w:t>431</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239</w:t>
            </w:r>
            <w:r>
              <w:rPr>
                <w:rFonts w:ascii="Arial" w:hAnsi="Arial" w:cs="Arial"/>
                <w:color w:val="000000"/>
                <w:sz w:val="24"/>
                <w:szCs w:val="24"/>
              </w:rPr>
              <w:t>.</w:t>
            </w:r>
            <w:r w:rsidRPr="008E1F89">
              <w:rPr>
                <w:rFonts w:ascii="Arial" w:hAnsi="Arial" w:cs="Arial"/>
                <w:color w:val="000000"/>
                <w:sz w:val="24"/>
                <w:szCs w:val="24"/>
              </w:rPr>
              <w:t>119</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236</w:t>
            </w:r>
            <w:r>
              <w:rPr>
                <w:rFonts w:ascii="Arial" w:hAnsi="Arial" w:cs="Arial"/>
                <w:color w:val="000000"/>
                <w:sz w:val="24"/>
                <w:szCs w:val="24"/>
              </w:rPr>
              <w:t>.</w:t>
            </w:r>
            <w:r w:rsidRPr="008E1F89">
              <w:rPr>
                <w:rFonts w:ascii="Arial" w:hAnsi="Arial" w:cs="Arial"/>
                <w:color w:val="000000"/>
                <w:sz w:val="24"/>
                <w:szCs w:val="24"/>
              </w:rPr>
              <w:t>557</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234</w:t>
            </w:r>
            <w:r>
              <w:rPr>
                <w:rFonts w:ascii="Arial" w:hAnsi="Arial" w:cs="Arial"/>
                <w:color w:val="000000"/>
                <w:sz w:val="24"/>
                <w:szCs w:val="24"/>
              </w:rPr>
              <w:t>.</w:t>
            </w:r>
            <w:r w:rsidRPr="008E1F89">
              <w:rPr>
                <w:rFonts w:ascii="Arial" w:hAnsi="Arial" w:cs="Arial"/>
                <w:color w:val="000000"/>
                <w:sz w:val="24"/>
                <w:szCs w:val="24"/>
              </w:rPr>
              <w:t>055</w:t>
            </w:r>
          </w:p>
        </w:tc>
        <w:tc>
          <w:tcPr>
            <w:tcW w:w="1084" w:type="dxa"/>
            <w:shd w:val="clear" w:color="auto" w:fill="EAF1DD" w:themeFill="accent3" w:themeFillTint="33"/>
          </w:tcPr>
          <w:p w:rsidR="0033527B" w:rsidRPr="00AE5913" w:rsidRDefault="0033527B" w:rsidP="0033527B">
            <w:pPr>
              <w:spacing w:after="0" w:line="240" w:lineRule="auto"/>
              <w:rPr>
                <w:rFonts w:ascii="Arial" w:hAnsi="Arial" w:cs="Arial"/>
                <w:sz w:val="24"/>
                <w:szCs w:val="24"/>
              </w:rPr>
            </w:pPr>
            <w:r w:rsidRPr="00AE5913">
              <w:rPr>
                <w:rFonts w:ascii="Arial" w:hAnsi="Arial" w:cs="Arial"/>
                <w:sz w:val="24"/>
                <w:szCs w:val="24"/>
              </w:rPr>
              <w:t>231.312</w:t>
            </w:r>
          </w:p>
        </w:tc>
      </w:tr>
      <w:tr w:rsidR="0033527B" w:rsidRPr="008E1F89" w:rsidTr="0033527B">
        <w:trPr>
          <w:trHeight w:val="300"/>
          <w:jc w:val="center"/>
        </w:trPr>
        <w:tc>
          <w:tcPr>
            <w:tcW w:w="1901" w:type="dxa"/>
            <w:shd w:val="clear" w:color="auto" w:fill="EAF1DD" w:themeFill="accent3"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Rural</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126</w:t>
            </w:r>
            <w:r>
              <w:rPr>
                <w:rFonts w:ascii="Arial" w:hAnsi="Arial" w:cs="Arial"/>
                <w:color w:val="000000"/>
                <w:sz w:val="24"/>
                <w:szCs w:val="24"/>
              </w:rPr>
              <w:t>.</w:t>
            </w:r>
            <w:r w:rsidRPr="008E1F89">
              <w:rPr>
                <w:rFonts w:ascii="Arial" w:hAnsi="Arial" w:cs="Arial"/>
                <w:color w:val="000000"/>
                <w:sz w:val="24"/>
                <w:szCs w:val="24"/>
              </w:rPr>
              <w:t>340</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125</w:t>
            </w:r>
            <w:r>
              <w:rPr>
                <w:rFonts w:ascii="Arial" w:hAnsi="Arial" w:cs="Arial"/>
                <w:color w:val="000000"/>
                <w:sz w:val="24"/>
                <w:szCs w:val="24"/>
              </w:rPr>
              <w:t>.</w:t>
            </w:r>
            <w:r w:rsidRPr="008E1F89">
              <w:rPr>
                <w:rFonts w:ascii="Arial" w:hAnsi="Arial" w:cs="Arial"/>
                <w:color w:val="000000"/>
                <w:sz w:val="24"/>
                <w:szCs w:val="24"/>
              </w:rPr>
              <w:t>525</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124</w:t>
            </w:r>
            <w:r>
              <w:rPr>
                <w:rFonts w:ascii="Arial" w:hAnsi="Arial" w:cs="Arial"/>
                <w:color w:val="000000"/>
                <w:sz w:val="24"/>
                <w:szCs w:val="24"/>
              </w:rPr>
              <w:t>.</w:t>
            </w:r>
            <w:r w:rsidRPr="008E1F89">
              <w:rPr>
                <w:rFonts w:ascii="Arial" w:hAnsi="Arial" w:cs="Arial"/>
                <w:color w:val="000000"/>
                <w:sz w:val="24"/>
                <w:szCs w:val="24"/>
              </w:rPr>
              <w:t>661</w:t>
            </w:r>
          </w:p>
        </w:tc>
        <w:tc>
          <w:tcPr>
            <w:tcW w:w="1133"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123</w:t>
            </w:r>
            <w:r>
              <w:rPr>
                <w:rFonts w:ascii="Arial" w:hAnsi="Arial" w:cs="Arial"/>
                <w:color w:val="000000"/>
                <w:sz w:val="24"/>
                <w:szCs w:val="24"/>
              </w:rPr>
              <w:t>.</w:t>
            </w:r>
            <w:r w:rsidRPr="008E1F89">
              <w:rPr>
                <w:rFonts w:ascii="Arial" w:hAnsi="Arial" w:cs="Arial"/>
                <w:color w:val="000000"/>
                <w:sz w:val="24"/>
                <w:szCs w:val="24"/>
              </w:rPr>
              <w:t>697</w:t>
            </w:r>
          </w:p>
        </w:tc>
        <w:tc>
          <w:tcPr>
            <w:tcW w:w="1084" w:type="dxa"/>
            <w:shd w:val="clear" w:color="auto" w:fill="EAF1DD" w:themeFill="accent3" w:themeFillTint="33"/>
          </w:tcPr>
          <w:p w:rsidR="0033527B" w:rsidRPr="00AE5913" w:rsidRDefault="0033527B" w:rsidP="0033527B">
            <w:pPr>
              <w:spacing w:after="0" w:line="240" w:lineRule="auto"/>
              <w:rPr>
                <w:rFonts w:ascii="Arial" w:hAnsi="Arial" w:cs="Arial"/>
                <w:sz w:val="24"/>
                <w:szCs w:val="24"/>
              </w:rPr>
            </w:pPr>
            <w:r w:rsidRPr="00AE5913">
              <w:rPr>
                <w:rFonts w:ascii="Arial" w:hAnsi="Arial" w:cs="Arial"/>
                <w:sz w:val="24"/>
                <w:szCs w:val="24"/>
              </w:rPr>
              <w:t>122.963</w:t>
            </w:r>
          </w:p>
        </w:tc>
      </w:tr>
    </w:tbl>
    <w:p w:rsidR="0033527B" w:rsidRPr="00AE5913" w:rsidRDefault="0033527B" w:rsidP="0033527B">
      <w:pPr>
        <w:rPr>
          <w:rFonts w:ascii="Arial" w:hAnsi="Arial" w:cs="Arial"/>
          <w:b/>
          <w:bCs/>
          <w:sz w:val="20"/>
          <w:szCs w:val="20"/>
        </w:rPr>
      </w:pPr>
      <w:r>
        <w:rPr>
          <w:rFonts w:ascii="Arial" w:hAnsi="Arial" w:cs="Arial"/>
          <w:bCs/>
          <w:sz w:val="20"/>
          <w:szCs w:val="20"/>
        </w:rPr>
        <w:t xml:space="preserve">                      </w:t>
      </w:r>
      <w:r w:rsidRPr="00AE5913">
        <w:rPr>
          <w:rFonts w:ascii="Arial" w:hAnsi="Arial" w:cs="Arial"/>
          <w:bCs/>
          <w:sz w:val="20"/>
          <w:szCs w:val="20"/>
        </w:rPr>
        <w:t xml:space="preserve">Notă: Informații furnizate de către Direcția Regională de Statistică </w:t>
      </w:r>
      <w:r w:rsidR="00217620">
        <w:rPr>
          <w:rFonts w:ascii="Arial" w:hAnsi="Arial" w:cs="Arial"/>
          <w:bCs/>
          <w:sz w:val="20"/>
          <w:szCs w:val="20"/>
        </w:rPr>
        <w:t>Brăila</w:t>
      </w:r>
    </w:p>
    <w:p w:rsidR="0033527B" w:rsidRPr="00AE5913" w:rsidRDefault="0033527B" w:rsidP="0033527B">
      <w:pPr>
        <w:rPr>
          <w:rFonts w:ascii="Arial" w:hAnsi="Arial" w:cs="Arial"/>
          <w:sz w:val="24"/>
          <w:szCs w:val="24"/>
        </w:rPr>
      </w:pPr>
      <w:r w:rsidRPr="004E720D">
        <w:rPr>
          <w:rFonts w:ascii="Arial" w:hAnsi="Arial" w:cs="Arial"/>
          <w:bCs/>
          <w:sz w:val="24"/>
          <w:szCs w:val="24"/>
        </w:rPr>
        <w:t>Tabelul nr. X.1.2.- 3</w:t>
      </w:r>
      <w:r w:rsidRPr="00B47216">
        <w:rPr>
          <w:rFonts w:ascii="Arial" w:hAnsi="Arial" w:cs="Arial"/>
          <w:b/>
          <w:bCs/>
          <w:sz w:val="24"/>
          <w:szCs w:val="24"/>
        </w:rPr>
        <w:t xml:space="preserve">  </w:t>
      </w:r>
      <w:r w:rsidRPr="00B47216">
        <w:rPr>
          <w:rFonts w:ascii="Arial" w:hAnsi="Arial" w:cs="Arial"/>
          <w:sz w:val="24"/>
          <w:szCs w:val="24"/>
        </w:rPr>
        <w:t xml:space="preserve">Populaţia totală stabilă raportată la numărul total de locuinţe, la nivelul  județului </w:t>
      </w:r>
      <w:r w:rsidR="00217620">
        <w:rPr>
          <w:rFonts w:ascii="Arial" w:hAnsi="Arial" w:cs="Arial"/>
          <w:sz w:val="24"/>
          <w:szCs w:val="24"/>
        </w:rPr>
        <w:t>Brăila</w:t>
      </w:r>
      <w:r w:rsidRPr="00B47216">
        <w:rPr>
          <w:rFonts w:ascii="Arial" w:hAnsi="Arial" w:cs="Arial"/>
          <w:sz w:val="24"/>
          <w:szCs w:val="24"/>
        </w:rPr>
        <w:t xml:space="preserve">, pentru perioada </w:t>
      </w:r>
      <w:r w:rsidRPr="00AE5913">
        <w:rPr>
          <w:rFonts w:ascii="Arial" w:hAnsi="Arial" w:cs="Arial"/>
          <w:sz w:val="24"/>
          <w:szCs w:val="24"/>
        </w:rPr>
        <w:t>2012 – 2016</w:t>
      </w:r>
      <w:r>
        <w:rPr>
          <w:rFonts w:ascii="Arial" w:hAnsi="Arial" w:cs="Arial"/>
          <w:sz w:val="24"/>
          <w:szCs w:val="24"/>
        </w:rPr>
        <w:t xml:space="preserve">                                                                                  Număr persoane/gospodărie</w:t>
      </w:r>
    </w:p>
    <w:tbl>
      <w:tblPr>
        <w:tblW w:w="0" w:type="auto"/>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82"/>
        <w:gridCol w:w="775"/>
        <w:gridCol w:w="847"/>
        <w:gridCol w:w="775"/>
        <w:gridCol w:w="775"/>
        <w:gridCol w:w="751"/>
      </w:tblGrid>
      <w:tr w:rsidR="0033527B" w:rsidRPr="008E1F89" w:rsidTr="0033527B">
        <w:trPr>
          <w:jc w:val="center"/>
        </w:trPr>
        <w:tc>
          <w:tcPr>
            <w:tcW w:w="3882" w:type="dxa"/>
            <w:shd w:val="clear" w:color="auto" w:fill="F2DBDB" w:themeFill="accent2" w:themeFillTint="33"/>
            <w:vAlign w:val="center"/>
          </w:tcPr>
          <w:p w:rsidR="0033527B" w:rsidRPr="008E1F89" w:rsidRDefault="0033527B" w:rsidP="0033527B">
            <w:pPr>
              <w:pStyle w:val="Default"/>
              <w:rPr>
                <w:rFonts w:ascii="Arial" w:hAnsi="Arial" w:cs="Arial"/>
                <w:b/>
                <w:iCs/>
                <w:color w:val="auto"/>
              </w:rPr>
            </w:pPr>
            <w:r w:rsidRPr="008E1F89">
              <w:rPr>
                <w:rFonts w:ascii="Arial" w:hAnsi="Arial" w:cs="Arial"/>
                <w:b/>
                <w:iCs/>
                <w:color w:val="auto"/>
              </w:rPr>
              <w:t>Județul</w:t>
            </w:r>
            <w:r w:rsidR="00217620">
              <w:rPr>
                <w:rFonts w:ascii="Arial" w:hAnsi="Arial" w:cs="Arial"/>
                <w:b/>
                <w:iCs/>
                <w:color w:val="auto"/>
              </w:rPr>
              <w:t>Brăila</w:t>
            </w:r>
          </w:p>
        </w:tc>
        <w:tc>
          <w:tcPr>
            <w:tcW w:w="775" w:type="dxa"/>
            <w:shd w:val="clear" w:color="auto" w:fill="F2DBDB" w:themeFill="accent2" w:themeFillTint="33"/>
            <w:vAlign w:val="center"/>
          </w:tcPr>
          <w:p w:rsidR="0033527B" w:rsidRPr="008E1F89" w:rsidRDefault="0033527B" w:rsidP="0033527B">
            <w:pPr>
              <w:pStyle w:val="Default"/>
              <w:rPr>
                <w:rFonts w:ascii="Arial" w:hAnsi="Arial" w:cs="Arial"/>
                <w:b/>
                <w:iCs/>
                <w:color w:val="auto"/>
              </w:rPr>
            </w:pPr>
            <w:r w:rsidRPr="008E1F89">
              <w:rPr>
                <w:rFonts w:ascii="Arial" w:hAnsi="Arial" w:cs="Arial"/>
                <w:b/>
                <w:iCs/>
                <w:color w:val="auto"/>
              </w:rPr>
              <w:t>2012</w:t>
            </w:r>
          </w:p>
        </w:tc>
        <w:tc>
          <w:tcPr>
            <w:tcW w:w="847" w:type="dxa"/>
            <w:shd w:val="clear" w:color="auto" w:fill="F2DBDB" w:themeFill="accent2" w:themeFillTint="33"/>
            <w:vAlign w:val="center"/>
          </w:tcPr>
          <w:p w:rsidR="0033527B" w:rsidRPr="008E1F89" w:rsidRDefault="0033527B" w:rsidP="0033527B">
            <w:pPr>
              <w:pStyle w:val="Default"/>
              <w:rPr>
                <w:rFonts w:ascii="Arial" w:hAnsi="Arial" w:cs="Arial"/>
                <w:b/>
                <w:iCs/>
                <w:color w:val="auto"/>
              </w:rPr>
            </w:pPr>
            <w:r w:rsidRPr="008E1F89">
              <w:rPr>
                <w:rFonts w:ascii="Arial" w:hAnsi="Arial" w:cs="Arial"/>
                <w:b/>
                <w:iCs/>
                <w:color w:val="auto"/>
              </w:rPr>
              <w:t>2013</w:t>
            </w:r>
          </w:p>
        </w:tc>
        <w:tc>
          <w:tcPr>
            <w:tcW w:w="775" w:type="dxa"/>
            <w:shd w:val="clear" w:color="auto" w:fill="F2DBDB" w:themeFill="accent2" w:themeFillTint="33"/>
            <w:vAlign w:val="center"/>
          </w:tcPr>
          <w:p w:rsidR="0033527B" w:rsidRPr="008E1F89" w:rsidRDefault="0033527B" w:rsidP="0033527B">
            <w:pPr>
              <w:pStyle w:val="Default"/>
              <w:rPr>
                <w:rFonts w:ascii="Arial" w:hAnsi="Arial" w:cs="Arial"/>
                <w:b/>
                <w:iCs/>
                <w:color w:val="auto"/>
              </w:rPr>
            </w:pPr>
            <w:r w:rsidRPr="008E1F89">
              <w:rPr>
                <w:rFonts w:ascii="Arial" w:hAnsi="Arial" w:cs="Arial"/>
                <w:b/>
                <w:iCs/>
                <w:color w:val="auto"/>
              </w:rPr>
              <w:t>2014</w:t>
            </w:r>
          </w:p>
        </w:tc>
        <w:tc>
          <w:tcPr>
            <w:tcW w:w="775" w:type="dxa"/>
            <w:shd w:val="clear" w:color="auto" w:fill="F2DBDB" w:themeFill="accent2" w:themeFillTint="33"/>
            <w:vAlign w:val="center"/>
          </w:tcPr>
          <w:p w:rsidR="0033527B" w:rsidRPr="008E1F89" w:rsidRDefault="0033527B" w:rsidP="0033527B">
            <w:pPr>
              <w:pStyle w:val="Default"/>
              <w:rPr>
                <w:rFonts w:ascii="Arial" w:hAnsi="Arial" w:cs="Arial"/>
                <w:b/>
                <w:iCs/>
                <w:color w:val="auto"/>
              </w:rPr>
            </w:pPr>
            <w:r w:rsidRPr="008E1F89">
              <w:rPr>
                <w:rFonts w:ascii="Arial" w:hAnsi="Arial" w:cs="Arial"/>
                <w:b/>
                <w:iCs/>
                <w:color w:val="auto"/>
              </w:rPr>
              <w:t>2015</w:t>
            </w:r>
          </w:p>
        </w:tc>
        <w:tc>
          <w:tcPr>
            <w:tcW w:w="751" w:type="dxa"/>
            <w:shd w:val="clear" w:color="auto" w:fill="F2DBDB" w:themeFill="accent2" w:themeFillTint="33"/>
          </w:tcPr>
          <w:p w:rsidR="0033527B" w:rsidRPr="00AE5913" w:rsidRDefault="0033527B" w:rsidP="0033527B">
            <w:pPr>
              <w:pStyle w:val="Default"/>
              <w:rPr>
                <w:rFonts w:ascii="Arial" w:hAnsi="Arial" w:cs="Arial"/>
                <w:b/>
                <w:iCs/>
                <w:color w:val="auto"/>
              </w:rPr>
            </w:pPr>
            <w:r w:rsidRPr="00AE5913">
              <w:rPr>
                <w:rFonts w:ascii="Arial" w:hAnsi="Arial" w:cs="Arial"/>
                <w:b/>
                <w:iCs/>
                <w:color w:val="auto"/>
              </w:rPr>
              <w:t>2016</w:t>
            </w:r>
          </w:p>
        </w:tc>
      </w:tr>
      <w:tr w:rsidR="0033527B" w:rsidRPr="008E1F89" w:rsidTr="0033527B">
        <w:trPr>
          <w:jc w:val="center"/>
        </w:trPr>
        <w:tc>
          <w:tcPr>
            <w:tcW w:w="3882"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Total populație</w:t>
            </w:r>
            <w:r>
              <w:rPr>
                <w:rFonts w:ascii="Arial" w:hAnsi="Arial" w:cs="Arial"/>
                <w:iCs/>
                <w:color w:val="auto"/>
              </w:rPr>
              <w:t xml:space="preserve"> </w:t>
            </w:r>
            <w:r w:rsidRPr="008E1F89">
              <w:rPr>
                <w:rFonts w:ascii="Arial" w:hAnsi="Arial" w:cs="Arial"/>
                <w:iCs/>
                <w:color w:val="auto"/>
              </w:rPr>
              <w:t xml:space="preserve">stabilă/Total </w:t>
            </w:r>
            <w:r w:rsidRPr="008E1F89">
              <w:rPr>
                <w:rFonts w:ascii="Arial" w:hAnsi="Arial" w:cs="Arial"/>
                <w:iCs/>
                <w:color w:val="auto"/>
              </w:rPr>
              <w:lastRenderedPageBreak/>
              <w:t>gospodării din care</w:t>
            </w:r>
          </w:p>
        </w:tc>
        <w:tc>
          <w:tcPr>
            <w:tcW w:w="775"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lastRenderedPageBreak/>
              <w:t>2,67</w:t>
            </w:r>
          </w:p>
        </w:tc>
        <w:tc>
          <w:tcPr>
            <w:tcW w:w="847"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2,65</w:t>
            </w:r>
          </w:p>
        </w:tc>
        <w:tc>
          <w:tcPr>
            <w:tcW w:w="775"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2,62</w:t>
            </w:r>
          </w:p>
        </w:tc>
        <w:tc>
          <w:tcPr>
            <w:tcW w:w="775"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2,59</w:t>
            </w:r>
          </w:p>
        </w:tc>
        <w:tc>
          <w:tcPr>
            <w:tcW w:w="751" w:type="dxa"/>
            <w:shd w:val="clear" w:color="auto" w:fill="E5DFEC" w:themeFill="accent4" w:themeFillTint="33"/>
            <w:vAlign w:val="center"/>
          </w:tcPr>
          <w:p w:rsidR="0033527B" w:rsidRPr="00AE5913" w:rsidRDefault="0033527B" w:rsidP="0033527B">
            <w:pPr>
              <w:pStyle w:val="Default"/>
              <w:jc w:val="center"/>
              <w:rPr>
                <w:rFonts w:ascii="Arial" w:hAnsi="Arial" w:cs="Arial"/>
                <w:iCs/>
                <w:color w:val="auto"/>
              </w:rPr>
            </w:pPr>
            <w:r w:rsidRPr="00AE5913">
              <w:rPr>
                <w:rFonts w:ascii="Arial" w:hAnsi="Arial" w:cs="Arial"/>
                <w:iCs/>
                <w:color w:val="auto"/>
              </w:rPr>
              <w:t>2,57</w:t>
            </w:r>
          </w:p>
        </w:tc>
      </w:tr>
      <w:tr w:rsidR="0033527B" w:rsidRPr="008E1F89" w:rsidTr="0033527B">
        <w:trPr>
          <w:jc w:val="center"/>
        </w:trPr>
        <w:tc>
          <w:tcPr>
            <w:tcW w:w="3882"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lastRenderedPageBreak/>
              <w:t>Total populație</w:t>
            </w:r>
            <w:r>
              <w:rPr>
                <w:rFonts w:ascii="Arial" w:hAnsi="Arial" w:cs="Arial"/>
                <w:iCs/>
                <w:color w:val="auto"/>
              </w:rPr>
              <w:t xml:space="preserve"> </w:t>
            </w:r>
            <w:r w:rsidRPr="008E1F89">
              <w:rPr>
                <w:rFonts w:ascii="Arial" w:hAnsi="Arial" w:cs="Arial"/>
                <w:iCs/>
                <w:color w:val="auto"/>
              </w:rPr>
              <w:t>stabilă/Total gospodării Urban</w:t>
            </w:r>
          </w:p>
        </w:tc>
        <w:tc>
          <w:tcPr>
            <w:tcW w:w="775"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2,76</w:t>
            </w:r>
          </w:p>
        </w:tc>
        <w:tc>
          <w:tcPr>
            <w:tcW w:w="847"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2,73</w:t>
            </w:r>
          </w:p>
        </w:tc>
        <w:tc>
          <w:tcPr>
            <w:tcW w:w="775"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2,70</w:t>
            </w:r>
          </w:p>
        </w:tc>
        <w:tc>
          <w:tcPr>
            <w:tcW w:w="775"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2,67</w:t>
            </w:r>
          </w:p>
        </w:tc>
        <w:tc>
          <w:tcPr>
            <w:tcW w:w="751" w:type="dxa"/>
            <w:shd w:val="clear" w:color="auto" w:fill="E5DFEC" w:themeFill="accent4" w:themeFillTint="33"/>
            <w:vAlign w:val="center"/>
          </w:tcPr>
          <w:p w:rsidR="0033527B" w:rsidRPr="00AE5913" w:rsidRDefault="0033527B" w:rsidP="0033527B">
            <w:pPr>
              <w:pStyle w:val="Default"/>
              <w:jc w:val="center"/>
              <w:rPr>
                <w:rFonts w:ascii="Arial" w:hAnsi="Arial" w:cs="Arial"/>
                <w:iCs/>
                <w:color w:val="auto"/>
              </w:rPr>
            </w:pPr>
            <w:r w:rsidRPr="00AE5913">
              <w:rPr>
                <w:rFonts w:ascii="Arial" w:hAnsi="Arial" w:cs="Arial"/>
                <w:iCs/>
                <w:color w:val="auto"/>
              </w:rPr>
              <w:t>2,64</w:t>
            </w:r>
          </w:p>
        </w:tc>
      </w:tr>
      <w:tr w:rsidR="0033527B" w:rsidRPr="008E1F89" w:rsidTr="0033527B">
        <w:trPr>
          <w:jc w:val="center"/>
        </w:trPr>
        <w:tc>
          <w:tcPr>
            <w:tcW w:w="3882"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Total populație</w:t>
            </w:r>
            <w:r>
              <w:rPr>
                <w:rFonts w:ascii="Arial" w:hAnsi="Arial" w:cs="Arial"/>
                <w:iCs/>
                <w:color w:val="auto"/>
              </w:rPr>
              <w:t xml:space="preserve"> </w:t>
            </w:r>
            <w:r w:rsidRPr="008E1F89">
              <w:rPr>
                <w:rFonts w:ascii="Arial" w:hAnsi="Arial" w:cs="Arial"/>
                <w:iCs/>
                <w:color w:val="auto"/>
              </w:rPr>
              <w:t>stabilă/Total gospodării Rural</w:t>
            </w:r>
          </w:p>
        </w:tc>
        <w:tc>
          <w:tcPr>
            <w:tcW w:w="775"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2,53</w:t>
            </w:r>
          </w:p>
        </w:tc>
        <w:tc>
          <w:tcPr>
            <w:tcW w:w="847"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2,50</w:t>
            </w:r>
          </w:p>
        </w:tc>
        <w:tc>
          <w:tcPr>
            <w:tcW w:w="775"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2,48</w:t>
            </w:r>
          </w:p>
        </w:tc>
        <w:tc>
          <w:tcPr>
            <w:tcW w:w="775" w:type="dxa"/>
            <w:shd w:val="clear" w:color="auto" w:fill="E5DFEC" w:themeFill="accent4" w:themeFillTint="33"/>
            <w:vAlign w:val="center"/>
          </w:tcPr>
          <w:p w:rsidR="0033527B" w:rsidRPr="008E1F89" w:rsidRDefault="0033527B" w:rsidP="0033527B">
            <w:pPr>
              <w:pStyle w:val="Default"/>
              <w:rPr>
                <w:rFonts w:ascii="Arial" w:hAnsi="Arial" w:cs="Arial"/>
                <w:iCs/>
                <w:color w:val="auto"/>
              </w:rPr>
            </w:pPr>
            <w:r w:rsidRPr="008E1F89">
              <w:rPr>
                <w:rFonts w:ascii="Arial" w:hAnsi="Arial" w:cs="Arial"/>
                <w:iCs/>
                <w:color w:val="auto"/>
              </w:rPr>
              <w:t>2,45</w:t>
            </w:r>
          </w:p>
        </w:tc>
        <w:tc>
          <w:tcPr>
            <w:tcW w:w="751" w:type="dxa"/>
            <w:shd w:val="clear" w:color="auto" w:fill="E5DFEC" w:themeFill="accent4" w:themeFillTint="33"/>
            <w:vAlign w:val="center"/>
          </w:tcPr>
          <w:p w:rsidR="0033527B" w:rsidRPr="00AE5913" w:rsidRDefault="0033527B" w:rsidP="0033527B">
            <w:pPr>
              <w:pStyle w:val="Default"/>
              <w:jc w:val="center"/>
              <w:rPr>
                <w:rFonts w:ascii="Arial" w:hAnsi="Arial" w:cs="Arial"/>
                <w:iCs/>
                <w:color w:val="auto"/>
              </w:rPr>
            </w:pPr>
            <w:r w:rsidRPr="00AE5913">
              <w:rPr>
                <w:rFonts w:ascii="Arial" w:hAnsi="Arial" w:cs="Arial"/>
                <w:iCs/>
                <w:color w:val="auto"/>
              </w:rPr>
              <w:t>2,44</w:t>
            </w:r>
          </w:p>
        </w:tc>
      </w:tr>
    </w:tbl>
    <w:p w:rsidR="0033527B" w:rsidRPr="00AE5913" w:rsidRDefault="0033527B" w:rsidP="0033527B">
      <w:pPr>
        <w:rPr>
          <w:rFonts w:ascii="Arial" w:hAnsi="Arial" w:cs="Arial"/>
          <w:b/>
          <w:bCs/>
          <w:sz w:val="20"/>
          <w:szCs w:val="20"/>
        </w:rPr>
      </w:pPr>
      <w:r>
        <w:rPr>
          <w:rFonts w:ascii="Arial" w:hAnsi="Arial" w:cs="Arial"/>
          <w:bCs/>
          <w:sz w:val="20"/>
          <w:szCs w:val="20"/>
        </w:rPr>
        <w:t xml:space="preserve">                     </w:t>
      </w:r>
      <w:r w:rsidRPr="00AE5913">
        <w:rPr>
          <w:rFonts w:ascii="Arial" w:hAnsi="Arial" w:cs="Arial"/>
          <w:bCs/>
          <w:sz w:val="20"/>
          <w:szCs w:val="20"/>
        </w:rPr>
        <w:t xml:space="preserve">Notă: Informații furnizate de către Direcția Regională de Statistică </w:t>
      </w:r>
      <w:r w:rsidR="00217620">
        <w:rPr>
          <w:rFonts w:ascii="Arial" w:hAnsi="Arial" w:cs="Arial"/>
          <w:bCs/>
          <w:sz w:val="20"/>
          <w:szCs w:val="20"/>
        </w:rPr>
        <w:t>Brăila</w:t>
      </w:r>
    </w:p>
    <w:p w:rsidR="0033527B" w:rsidRDefault="0033527B" w:rsidP="0033527B">
      <w:pPr>
        <w:ind w:firstLine="708"/>
      </w:pPr>
    </w:p>
    <w:p w:rsidR="0033527B" w:rsidRDefault="0033527B" w:rsidP="0033527B">
      <w:pPr>
        <w:jc w:val="center"/>
      </w:pPr>
      <w:r w:rsidRPr="008E1F89">
        <w:rPr>
          <w:rFonts w:ascii="Arial" w:hAnsi="Arial" w:cs="Arial"/>
          <w:noProof/>
          <w:sz w:val="24"/>
          <w:szCs w:val="24"/>
          <w:lang w:eastAsia="ro-RO"/>
        </w:rPr>
        <w:drawing>
          <wp:inline distT="0" distB="0" distL="0" distR="0">
            <wp:extent cx="4724400" cy="2828925"/>
            <wp:effectExtent l="19050" t="0" r="19050" b="0"/>
            <wp:docPr id="2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33527B" w:rsidRPr="007410EA" w:rsidRDefault="0033527B" w:rsidP="0033527B">
      <w:pPr>
        <w:pStyle w:val="Default"/>
        <w:rPr>
          <w:rFonts w:ascii="Arial" w:hAnsi="Arial" w:cs="Arial"/>
          <w:b/>
          <w:bCs/>
          <w:i/>
          <w:iCs/>
          <w:color w:val="auto"/>
        </w:rPr>
      </w:pPr>
    </w:p>
    <w:p w:rsidR="0033527B" w:rsidRPr="00C939DB" w:rsidRDefault="0033527B" w:rsidP="0033527B">
      <w:pPr>
        <w:pStyle w:val="Default"/>
        <w:rPr>
          <w:rFonts w:ascii="Arial" w:hAnsi="Arial" w:cs="Arial"/>
          <w:b/>
          <w:bCs/>
          <w:i/>
          <w:iCs/>
          <w:color w:val="auto"/>
        </w:rPr>
      </w:pPr>
      <w:r w:rsidRPr="00C939DB">
        <w:rPr>
          <w:rFonts w:ascii="Arial" w:hAnsi="Arial" w:cs="Arial"/>
          <w:b/>
          <w:bCs/>
          <w:i/>
          <w:iCs/>
          <w:color w:val="auto"/>
        </w:rPr>
        <w:t>X.1.3. Mobilitate</w:t>
      </w:r>
    </w:p>
    <w:p w:rsidR="0033527B" w:rsidRPr="00C939DB" w:rsidRDefault="0033527B" w:rsidP="0033527B">
      <w:pPr>
        <w:pStyle w:val="Default"/>
        <w:rPr>
          <w:rFonts w:ascii="Arial" w:hAnsi="Arial" w:cs="Arial"/>
          <w:b/>
          <w:bCs/>
          <w:i/>
          <w:iCs/>
          <w:color w:val="auto"/>
          <w:u w:val="single"/>
        </w:rPr>
      </w:pPr>
    </w:p>
    <w:p w:rsidR="0033527B" w:rsidRPr="00C939DB" w:rsidRDefault="0033527B" w:rsidP="0033527B">
      <w:pPr>
        <w:pStyle w:val="Default"/>
        <w:rPr>
          <w:rFonts w:ascii="Arial" w:hAnsi="Arial" w:cs="Arial"/>
          <w:b/>
          <w:bCs/>
          <w:i/>
          <w:iCs/>
          <w:color w:val="auto"/>
          <w:u w:val="single"/>
        </w:rPr>
      </w:pPr>
      <w:r w:rsidRPr="00C939DB">
        <w:rPr>
          <w:rFonts w:ascii="Arial" w:hAnsi="Arial" w:cs="Arial"/>
          <w:b/>
          <w:bCs/>
          <w:iCs/>
          <w:color w:val="auto"/>
        </w:rPr>
        <w:tab/>
        <w:t>XI.1.3.1. Transportul de pasageri</w:t>
      </w:r>
    </w:p>
    <w:p w:rsidR="0033527B" w:rsidRPr="00F14D33" w:rsidRDefault="0033527B" w:rsidP="0033527B">
      <w:pPr>
        <w:pStyle w:val="Default"/>
        <w:rPr>
          <w:rFonts w:ascii="Arial" w:hAnsi="Arial" w:cs="Arial"/>
          <w:b/>
          <w:bCs/>
          <w:iCs/>
          <w:color w:val="FF0000"/>
          <w:u w:val="single"/>
        </w:rPr>
      </w:pPr>
    </w:p>
    <w:p w:rsidR="0033527B" w:rsidRPr="00F14D33" w:rsidRDefault="0033527B" w:rsidP="0033527B">
      <w:pPr>
        <w:pStyle w:val="Default"/>
        <w:rPr>
          <w:rFonts w:ascii="Arial" w:hAnsi="Arial" w:cs="Arial"/>
          <w:b/>
          <w:color w:val="FF0000"/>
        </w:rPr>
      </w:pPr>
      <w:r w:rsidRPr="004E720D">
        <w:rPr>
          <w:rFonts w:ascii="Arial" w:hAnsi="Arial" w:cs="Arial"/>
          <w:color w:val="auto"/>
        </w:rPr>
        <w:t>Tabelul nr. X.1.3.1. - 1</w:t>
      </w:r>
      <w:r w:rsidRPr="0019521A">
        <w:rPr>
          <w:rFonts w:ascii="Arial" w:hAnsi="Arial" w:cs="Arial"/>
          <w:b/>
          <w:color w:val="auto"/>
        </w:rPr>
        <w:t xml:space="preserve"> </w:t>
      </w:r>
      <w:r w:rsidRPr="0019521A">
        <w:rPr>
          <w:rFonts w:ascii="Arial" w:hAnsi="Arial" w:cs="Arial"/>
          <w:color w:val="auto"/>
          <w:lang w:val="pt-BR"/>
        </w:rPr>
        <w:t xml:space="preserve">Numărul vehiculelor în inventar pentru transport public local  de pasageri, </w:t>
      </w:r>
      <w:r w:rsidRPr="0019521A">
        <w:rPr>
          <w:rFonts w:ascii="Arial" w:hAnsi="Arial" w:cs="Arial"/>
          <w:color w:val="auto"/>
        </w:rPr>
        <w:t>pe</w:t>
      </w:r>
      <w:r>
        <w:rPr>
          <w:rFonts w:ascii="Arial" w:hAnsi="Arial" w:cs="Arial"/>
          <w:color w:val="auto"/>
        </w:rPr>
        <w:t xml:space="preserve"> </w:t>
      </w:r>
      <w:r w:rsidRPr="0019521A">
        <w:rPr>
          <w:rFonts w:ascii="Arial" w:hAnsi="Arial" w:cs="Arial"/>
          <w:color w:val="auto"/>
        </w:rPr>
        <w:t>tipuri de vehicule</w:t>
      </w:r>
      <w:r>
        <w:rPr>
          <w:rFonts w:ascii="Arial" w:hAnsi="Arial" w:cs="Arial"/>
          <w:color w:val="auto"/>
        </w:rPr>
        <w:t xml:space="preserve"> </w:t>
      </w:r>
      <w:r w:rsidRPr="0019521A">
        <w:rPr>
          <w:rFonts w:ascii="Arial" w:hAnsi="Arial" w:cs="Arial"/>
          <w:color w:val="auto"/>
        </w:rPr>
        <w:t>pentru</w:t>
      </w:r>
      <w:r>
        <w:rPr>
          <w:rFonts w:ascii="Arial" w:hAnsi="Arial" w:cs="Arial"/>
          <w:color w:val="auto"/>
        </w:rPr>
        <w:t xml:space="preserve"> </w:t>
      </w:r>
      <w:r w:rsidRPr="0019521A">
        <w:rPr>
          <w:rFonts w:ascii="Arial" w:hAnsi="Arial" w:cs="Arial"/>
          <w:color w:val="auto"/>
        </w:rPr>
        <w:t>perioada</w:t>
      </w:r>
      <w:r>
        <w:rPr>
          <w:rFonts w:ascii="Arial" w:hAnsi="Arial" w:cs="Arial"/>
          <w:color w:val="auto"/>
        </w:rPr>
        <w:t xml:space="preserve"> </w:t>
      </w:r>
      <w:r w:rsidRPr="00DF78B0">
        <w:rPr>
          <w:rFonts w:ascii="Arial" w:hAnsi="Arial" w:cs="Arial"/>
          <w:b/>
          <w:color w:val="auto"/>
        </w:rPr>
        <w:t>2012 – 2016 :</w:t>
      </w:r>
    </w:p>
    <w:tbl>
      <w:tblPr>
        <w:tblW w:w="7908" w:type="dxa"/>
        <w:jc w:val="center"/>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7"/>
        <w:gridCol w:w="1120"/>
        <w:gridCol w:w="1120"/>
        <w:gridCol w:w="1120"/>
        <w:gridCol w:w="1120"/>
        <w:gridCol w:w="751"/>
      </w:tblGrid>
      <w:tr w:rsidR="0033527B" w:rsidRPr="008E1F89" w:rsidTr="0033527B">
        <w:trPr>
          <w:trHeight w:val="427"/>
          <w:jc w:val="center"/>
        </w:trPr>
        <w:tc>
          <w:tcPr>
            <w:tcW w:w="2677" w:type="dxa"/>
            <w:shd w:val="clear" w:color="auto" w:fill="F2DBDB" w:themeFill="accent2"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Cs/>
                <w:color w:val="000000"/>
              </w:rPr>
              <w:t xml:space="preserve">                                                                                     </w:t>
            </w:r>
            <w:r>
              <w:rPr>
                <w:rFonts w:ascii="Arial" w:hAnsi="Arial" w:cs="Arial"/>
                <w:bCs/>
                <w:color w:val="000000"/>
              </w:rPr>
              <w:t xml:space="preserve">                                                   </w:t>
            </w:r>
            <w:r w:rsidRPr="008E1F89">
              <w:rPr>
                <w:rFonts w:ascii="Arial" w:hAnsi="Arial" w:cs="Arial"/>
                <w:b/>
                <w:bCs/>
                <w:color w:val="000000"/>
                <w:sz w:val="24"/>
                <w:szCs w:val="24"/>
              </w:rPr>
              <w:t xml:space="preserve">Judeţul </w:t>
            </w:r>
            <w:r w:rsidR="00217620">
              <w:rPr>
                <w:rFonts w:ascii="Arial" w:hAnsi="Arial" w:cs="Arial"/>
                <w:b/>
                <w:bCs/>
                <w:color w:val="000000"/>
                <w:sz w:val="24"/>
                <w:szCs w:val="24"/>
              </w:rPr>
              <w:t>Brăila</w:t>
            </w:r>
          </w:p>
        </w:tc>
        <w:tc>
          <w:tcPr>
            <w:tcW w:w="1120" w:type="dxa"/>
            <w:shd w:val="clear" w:color="auto" w:fill="F2DBDB" w:themeFill="accent2"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2012</w:t>
            </w:r>
          </w:p>
        </w:tc>
        <w:tc>
          <w:tcPr>
            <w:tcW w:w="1120" w:type="dxa"/>
            <w:shd w:val="clear" w:color="auto" w:fill="F2DBDB" w:themeFill="accent2"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2013</w:t>
            </w:r>
          </w:p>
        </w:tc>
        <w:tc>
          <w:tcPr>
            <w:tcW w:w="1120" w:type="dxa"/>
            <w:shd w:val="clear" w:color="auto" w:fill="F2DBDB" w:themeFill="accent2"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2014</w:t>
            </w:r>
          </w:p>
        </w:tc>
        <w:tc>
          <w:tcPr>
            <w:tcW w:w="1120" w:type="dxa"/>
            <w:shd w:val="clear" w:color="auto" w:fill="F2DBDB" w:themeFill="accent2"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2015</w:t>
            </w:r>
          </w:p>
        </w:tc>
        <w:tc>
          <w:tcPr>
            <w:tcW w:w="751" w:type="dxa"/>
            <w:shd w:val="clear" w:color="auto" w:fill="F2DBDB" w:themeFill="accent2" w:themeFillTint="33"/>
            <w:vAlign w:val="center"/>
          </w:tcPr>
          <w:p w:rsidR="0033527B" w:rsidRPr="00DF78B0" w:rsidRDefault="0033527B" w:rsidP="0033527B">
            <w:pPr>
              <w:spacing w:after="0" w:line="240" w:lineRule="auto"/>
              <w:jc w:val="center"/>
              <w:rPr>
                <w:rFonts w:ascii="Arial" w:hAnsi="Arial" w:cs="Arial"/>
                <w:b/>
                <w:bCs/>
                <w:sz w:val="24"/>
                <w:szCs w:val="24"/>
              </w:rPr>
            </w:pPr>
            <w:r w:rsidRPr="00DF78B0">
              <w:rPr>
                <w:rFonts w:ascii="Arial" w:hAnsi="Arial" w:cs="Arial"/>
                <w:b/>
                <w:bCs/>
                <w:sz w:val="24"/>
                <w:szCs w:val="24"/>
              </w:rPr>
              <w:t>2016</w:t>
            </w:r>
          </w:p>
        </w:tc>
      </w:tr>
      <w:tr w:rsidR="0033527B" w:rsidRPr="008E1F89" w:rsidTr="0033527B">
        <w:trPr>
          <w:trHeight w:val="180"/>
          <w:jc w:val="center"/>
        </w:trPr>
        <w:tc>
          <w:tcPr>
            <w:tcW w:w="2677" w:type="dxa"/>
            <w:shd w:val="clear" w:color="auto" w:fill="FDE9D9" w:themeFill="accent6"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Tramvaie</w:t>
            </w:r>
          </w:p>
        </w:tc>
        <w:tc>
          <w:tcPr>
            <w:tcW w:w="1120" w:type="dxa"/>
            <w:shd w:val="clear" w:color="auto" w:fill="FDE9D9" w:themeFill="accent6" w:themeFillTint="33"/>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34</w:t>
            </w:r>
          </w:p>
        </w:tc>
        <w:tc>
          <w:tcPr>
            <w:tcW w:w="1120" w:type="dxa"/>
            <w:shd w:val="clear" w:color="auto" w:fill="FDE9D9" w:themeFill="accent6" w:themeFillTint="33"/>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31</w:t>
            </w:r>
          </w:p>
        </w:tc>
        <w:tc>
          <w:tcPr>
            <w:tcW w:w="1120" w:type="dxa"/>
            <w:shd w:val="clear" w:color="auto" w:fill="FDE9D9" w:themeFill="accent6" w:themeFillTint="33"/>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31</w:t>
            </w:r>
          </w:p>
        </w:tc>
        <w:tc>
          <w:tcPr>
            <w:tcW w:w="1120" w:type="dxa"/>
            <w:shd w:val="clear" w:color="auto" w:fill="FDE9D9" w:themeFill="accent6" w:themeFillTint="33"/>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31</w:t>
            </w:r>
          </w:p>
        </w:tc>
        <w:tc>
          <w:tcPr>
            <w:tcW w:w="751" w:type="dxa"/>
            <w:shd w:val="clear" w:color="auto" w:fill="FDE9D9" w:themeFill="accent6" w:themeFillTint="33"/>
            <w:vAlign w:val="bottom"/>
          </w:tcPr>
          <w:p w:rsidR="0033527B" w:rsidRPr="00DF78B0" w:rsidRDefault="0033527B" w:rsidP="0033527B">
            <w:pPr>
              <w:spacing w:after="0" w:line="240" w:lineRule="auto"/>
              <w:rPr>
                <w:rFonts w:ascii="Arial" w:hAnsi="Arial" w:cs="Arial"/>
              </w:rPr>
            </w:pPr>
            <w:r w:rsidRPr="00DF78B0">
              <w:rPr>
                <w:rFonts w:ascii="Arial" w:hAnsi="Arial" w:cs="Arial"/>
              </w:rPr>
              <w:t>38</w:t>
            </w:r>
          </w:p>
        </w:tc>
      </w:tr>
      <w:tr w:rsidR="0033527B" w:rsidRPr="008E1F89" w:rsidTr="0033527B">
        <w:trPr>
          <w:trHeight w:val="300"/>
          <w:jc w:val="center"/>
        </w:trPr>
        <w:tc>
          <w:tcPr>
            <w:tcW w:w="2677" w:type="dxa"/>
            <w:shd w:val="clear" w:color="auto" w:fill="FDE9D9" w:themeFill="accent6"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Autobuze si microbuze</w:t>
            </w:r>
          </w:p>
        </w:tc>
        <w:tc>
          <w:tcPr>
            <w:tcW w:w="1120" w:type="dxa"/>
            <w:shd w:val="clear" w:color="auto" w:fill="FDE9D9" w:themeFill="accent6" w:themeFillTint="33"/>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157</w:t>
            </w:r>
          </w:p>
        </w:tc>
        <w:tc>
          <w:tcPr>
            <w:tcW w:w="1120" w:type="dxa"/>
            <w:shd w:val="clear" w:color="auto" w:fill="FDE9D9" w:themeFill="accent6" w:themeFillTint="33"/>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164</w:t>
            </w:r>
          </w:p>
        </w:tc>
        <w:tc>
          <w:tcPr>
            <w:tcW w:w="1120" w:type="dxa"/>
            <w:shd w:val="clear" w:color="auto" w:fill="FDE9D9" w:themeFill="accent6" w:themeFillTint="33"/>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178</w:t>
            </w:r>
          </w:p>
        </w:tc>
        <w:tc>
          <w:tcPr>
            <w:tcW w:w="1120" w:type="dxa"/>
            <w:shd w:val="clear" w:color="auto" w:fill="FDE9D9" w:themeFill="accent6" w:themeFillTint="33"/>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176</w:t>
            </w:r>
          </w:p>
        </w:tc>
        <w:tc>
          <w:tcPr>
            <w:tcW w:w="751" w:type="dxa"/>
            <w:shd w:val="clear" w:color="auto" w:fill="FDE9D9" w:themeFill="accent6" w:themeFillTint="33"/>
            <w:vAlign w:val="bottom"/>
          </w:tcPr>
          <w:p w:rsidR="0033527B" w:rsidRPr="00DF78B0" w:rsidRDefault="0033527B" w:rsidP="0033527B">
            <w:pPr>
              <w:spacing w:after="0" w:line="240" w:lineRule="auto"/>
              <w:rPr>
                <w:rFonts w:ascii="Arial" w:hAnsi="Arial" w:cs="Arial"/>
              </w:rPr>
            </w:pPr>
            <w:r w:rsidRPr="00DF78B0">
              <w:rPr>
                <w:rFonts w:ascii="Arial" w:hAnsi="Arial" w:cs="Arial"/>
              </w:rPr>
              <w:t>135</w:t>
            </w:r>
          </w:p>
        </w:tc>
      </w:tr>
    </w:tbl>
    <w:p w:rsidR="0033527B" w:rsidRPr="00DF78B0" w:rsidRDefault="0033527B" w:rsidP="0033527B">
      <w:pPr>
        <w:rPr>
          <w:rFonts w:ascii="Arial" w:hAnsi="Arial" w:cs="Arial"/>
          <w:b/>
          <w:bCs/>
          <w:sz w:val="20"/>
          <w:szCs w:val="20"/>
        </w:rPr>
      </w:pPr>
      <w:r w:rsidRPr="00DF78B0">
        <w:rPr>
          <w:rFonts w:ascii="Arial" w:hAnsi="Arial" w:cs="Arial"/>
          <w:bCs/>
          <w:sz w:val="20"/>
          <w:szCs w:val="20"/>
        </w:rPr>
        <w:t xml:space="preserve">        </w:t>
      </w:r>
      <w:r>
        <w:rPr>
          <w:rFonts w:ascii="Arial" w:hAnsi="Arial" w:cs="Arial"/>
          <w:bCs/>
          <w:sz w:val="20"/>
          <w:szCs w:val="20"/>
        </w:rPr>
        <w:t xml:space="preserve">         </w:t>
      </w:r>
      <w:r w:rsidRPr="00DF78B0">
        <w:rPr>
          <w:rFonts w:ascii="Arial" w:hAnsi="Arial" w:cs="Arial"/>
          <w:bCs/>
          <w:sz w:val="20"/>
          <w:szCs w:val="20"/>
        </w:rPr>
        <w:t xml:space="preserve"> Notă: Informații furnizate de către Direcția Regională de Statistică </w:t>
      </w:r>
      <w:r w:rsidR="00217620">
        <w:rPr>
          <w:rFonts w:ascii="Arial" w:hAnsi="Arial" w:cs="Arial"/>
          <w:bCs/>
          <w:sz w:val="20"/>
          <w:szCs w:val="20"/>
        </w:rPr>
        <w:t>Brăila</w:t>
      </w:r>
    </w:p>
    <w:p w:rsidR="0033527B" w:rsidRPr="008E1F89" w:rsidRDefault="0033527B" w:rsidP="0033527B">
      <w:pPr>
        <w:pStyle w:val="Default"/>
        <w:rPr>
          <w:rFonts w:ascii="Arial" w:hAnsi="Arial" w:cs="Arial"/>
          <w:b/>
          <w:color w:val="auto"/>
        </w:rPr>
      </w:pPr>
    </w:p>
    <w:p w:rsidR="0033527B" w:rsidRDefault="0033527B" w:rsidP="0033527B">
      <w:pPr>
        <w:pStyle w:val="Default"/>
        <w:jc w:val="center"/>
        <w:rPr>
          <w:rFonts w:ascii="Arial" w:hAnsi="Arial" w:cs="Arial"/>
          <w:b/>
          <w:color w:val="auto"/>
        </w:rPr>
      </w:pPr>
      <w:r w:rsidRPr="008E1F89">
        <w:rPr>
          <w:rFonts w:ascii="Arial" w:hAnsi="Arial" w:cs="Arial"/>
          <w:b/>
          <w:noProof/>
          <w:color w:val="auto"/>
          <w:lang w:val="ro-RO" w:eastAsia="ro-RO"/>
        </w:rPr>
        <w:drawing>
          <wp:inline distT="0" distB="0" distL="0" distR="0">
            <wp:extent cx="4343400" cy="2209800"/>
            <wp:effectExtent l="19050" t="0" r="19050" b="0"/>
            <wp:docPr id="2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33527B" w:rsidRPr="008E1F89" w:rsidRDefault="0033527B" w:rsidP="0033527B">
      <w:pPr>
        <w:pStyle w:val="Default"/>
        <w:jc w:val="center"/>
        <w:rPr>
          <w:rFonts w:ascii="Arial" w:hAnsi="Arial" w:cs="Arial"/>
          <w:b/>
          <w:color w:val="auto"/>
        </w:rPr>
      </w:pPr>
    </w:p>
    <w:p w:rsidR="0033527B" w:rsidRPr="00E77ABE" w:rsidRDefault="0033527B" w:rsidP="0033527B">
      <w:pPr>
        <w:pStyle w:val="Default"/>
        <w:rPr>
          <w:rFonts w:ascii="Arial" w:hAnsi="Arial" w:cs="Arial"/>
          <w:b/>
          <w:iCs/>
          <w:color w:val="auto"/>
        </w:rPr>
      </w:pPr>
      <w:r w:rsidRPr="00E77ABE">
        <w:rPr>
          <w:rFonts w:ascii="Arial" w:hAnsi="Arial" w:cs="Arial"/>
          <w:b/>
          <w:color w:val="auto"/>
        </w:rPr>
        <w:lastRenderedPageBreak/>
        <w:t>Utilizarea</w:t>
      </w:r>
      <w:r>
        <w:rPr>
          <w:rFonts w:ascii="Arial" w:hAnsi="Arial" w:cs="Arial"/>
          <w:b/>
          <w:color w:val="auto"/>
        </w:rPr>
        <w:t xml:space="preserve"> </w:t>
      </w:r>
      <w:r w:rsidRPr="00E77ABE">
        <w:rPr>
          <w:rFonts w:ascii="Arial" w:hAnsi="Arial" w:cs="Arial"/>
          <w:b/>
          <w:color w:val="auto"/>
        </w:rPr>
        <w:t>transportului</w:t>
      </w:r>
      <w:r>
        <w:rPr>
          <w:rFonts w:ascii="Arial" w:hAnsi="Arial" w:cs="Arial"/>
          <w:b/>
          <w:color w:val="auto"/>
        </w:rPr>
        <w:t xml:space="preserve"> </w:t>
      </w:r>
      <w:r w:rsidRPr="00E77ABE">
        <w:rPr>
          <w:rFonts w:ascii="Arial" w:hAnsi="Arial" w:cs="Arial"/>
          <w:b/>
          <w:color w:val="auto"/>
        </w:rPr>
        <w:t>în</w:t>
      </w:r>
      <w:r>
        <w:rPr>
          <w:rFonts w:ascii="Arial" w:hAnsi="Arial" w:cs="Arial"/>
          <w:b/>
          <w:color w:val="auto"/>
        </w:rPr>
        <w:t xml:space="preserve"> </w:t>
      </w:r>
      <w:r w:rsidRPr="00E77ABE">
        <w:rPr>
          <w:rFonts w:ascii="Arial" w:hAnsi="Arial" w:cs="Arial"/>
          <w:b/>
          <w:color w:val="auto"/>
        </w:rPr>
        <w:t>comun</w:t>
      </w:r>
      <w:r w:rsidRPr="00E77ABE">
        <w:rPr>
          <w:rFonts w:ascii="Arial" w:hAnsi="Arial" w:cs="Arial"/>
          <w:b/>
          <w:iCs/>
          <w:color w:val="auto"/>
        </w:rPr>
        <w:t>(mii pasageri) /(mii pasageri/km) la nivelul</w:t>
      </w:r>
      <w:r>
        <w:rPr>
          <w:rFonts w:ascii="Arial" w:hAnsi="Arial" w:cs="Arial"/>
          <w:b/>
          <w:iCs/>
          <w:color w:val="auto"/>
        </w:rPr>
        <w:t xml:space="preserve"> </w:t>
      </w:r>
      <w:r w:rsidRPr="00E77ABE">
        <w:rPr>
          <w:rFonts w:ascii="Arial" w:hAnsi="Arial" w:cs="Arial"/>
          <w:b/>
          <w:iCs/>
          <w:color w:val="auto"/>
        </w:rPr>
        <w:t>județului</w:t>
      </w:r>
      <w:r>
        <w:rPr>
          <w:rFonts w:ascii="Arial" w:hAnsi="Arial" w:cs="Arial"/>
          <w:b/>
          <w:iCs/>
          <w:color w:val="auto"/>
        </w:rPr>
        <w:t xml:space="preserve"> </w:t>
      </w:r>
      <w:r w:rsidR="00217620">
        <w:rPr>
          <w:rFonts w:ascii="Arial" w:hAnsi="Arial" w:cs="Arial"/>
          <w:b/>
          <w:iCs/>
          <w:color w:val="auto"/>
        </w:rPr>
        <w:t>Brăila</w:t>
      </w:r>
      <w:r>
        <w:rPr>
          <w:rFonts w:ascii="Arial" w:hAnsi="Arial" w:cs="Arial"/>
          <w:b/>
          <w:iCs/>
          <w:color w:val="auto"/>
        </w:rPr>
        <w:t xml:space="preserve"> </w:t>
      </w:r>
      <w:r w:rsidRPr="00E77ABE">
        <w:rPr>
          <w:rFonts w:ascii="Arial" w:hAnsi="Arial" w:cs="Arial"/>
          <w:b/>
          <w:iCs/>
          <w:color w:val="auto"/>
        </w:rPr>
        <w:t>pentru</w:t>
      </w:r>
      <w:r>
        <w:rPr>
          <w:rFonts w:ascii="Arial" w:hAnsi="Arial" w:cs="Arial"/>
          <w:b/>
          <w:iCs/>
          <w:color w:val="auto"/>
        </w:rPr>
        <w:t xml:space="preserve"> </w:t>
      </w:r>
      <w:r w:rsidRPr="00E77ABE">
        <w:rPr>
          <w:rFonts w:ascii="Arial" w:hAnsi="Arial" w:cs="Arial"/>
          <w:b/>
          <w:iCs/>
          <w:color w:val="auto"/>
        </w:rPr>
        <w:t>perioada</w:t>
      </w:r>
      <w:r>
        <w:rPr>
          <w:rFonts w:ascii="Arial" w:hAnsi="Arial" w:cs="Arial"/>
          <w:b/>
          <w:iCs/>
          <w:color w:val="auto"/>
        </w:rPr>
        <w:t xml:space="preserve"> </w:t>
      </w:r>
      <w:r w:rsidRPr="005D6606">
        <w:rPr>
          <w:rFonts w:ascii="Arial" w:hAnsi="Arial" w:cs="Arial"/>
          <w:b/>
          <w:iCs/>
          <w:color w:val="auto"/>
        </w:rPr>
        <w:t>2012 - 2016</w:t>
      </w:r>
      <w:r w:rsidRPr="00E77ABE">
        <w:rPr>
          <w:rFonts w:ascii="Arial" w:hAnsi="Arial" w:cs="Arial"/>
          <w:b/>
          <w:iCs/>
          <w:color w:val="auto"/>
        </w:rPr>
        <w:t xml:space="preserve">: </w:t>
      </w:r>
      <w:r w:rsidRPr="00E77ABE">
        <w:rPr>
          <w:rFonts w:ascii="Arial" w:hAnsi="Arial" w:cs="Arial"/>
          <w:b/>
          <w:iCs/>
          <w:color w:val="auto"/>
        </w:rPr>
        <w:tab/>
      </w:r>
    </w:p>
    <w:p w:rsidR="0033527B" w:rsidRPr="00E77ABE" w:rsidRDefault="0033527B" w:rsidP="0033527B">
      <w:pPr>
        <w:pStyle w:val="Default"/>
        <w:rPr>
          <w:rFonts w:ascii="Arial" w:hAnsi="Arial" w:cs="Arial"/>
          <w:b/>
          <w:iCs/>
          <w:color w:val="auto"/>
        </w:rPr>
      </w:pPr>
    </w:p>
    <w:p w:rsidR="0033527B" w:rsidRPr="00E77ABE" w:rsidRDefault="0033527B" w:rsidP="0033527B">
      <w:pPr>
        <w:pStyle w:val="Default"/>
        <w:rPr>
          <w:rFonts w:ascii="Arial" w:hAnsi="Arial" w:cs="Arial"/>
          <w:color w:val="auto"/>
        </w:rPr>
      </w:pPr>
      <w:r w:rsidRPr="004E720D">
        <w:rPr>
          <w:rFonts w:ascii="Arial" w:hAnsi="Arial" w:cs="Arial"/>
          <w:color w:val="auto"/>
        </w:rPr>
        <w:t>Tabelul nr. X.1.3.1.- 2</w:t>
      </w:r>
      <w:r>
        <w:rPr>
          <w:rFonts w:ascii="Arial" w:hAnsi="Arial" w:cs="Arial"/>
          <w:b/>
          <w:color w:val="auto"/>
        </w:rPr>
        <w:t xml:space="preserve"> </w:t>
      </w:r>
      <w:r w:rsidRPr="00E77ABE">
        <w:rPr>
          <w:rFonts w:ascii="Arial" w:hAnsi="Arial" w:cs="Arial"/>
          <w:color w:val="auto"/>
        </w:rPr>
        <w:t>Numărul</w:t>
      </w:r>
      <w:r>
        <w:rPr>
          <w:rFonts w:ascii="Arial" w:hAnsi="Arial" w:cs="Arial"/>
          <w:color w:val="auto"/>
        </w:rPr>
        <w:t xml:space="preserve"> </w:t>
      </w:r>
      <w:r w:rsidRPr="00E77ABE">
        <w:rPr>
          <w:rFonts w:ascii="Arial" w:hAnsi="Arial" w:cs="Arial"/>
          <w:color w:val="auto"/>
        </w:rPr>
        <w:t>pasagerilor</w:t>
      </w:r>
      <w:r>
        <w:rPr>
          <w:rFonts w:ascii="Arial" w:hAnsi="Arial" w:cs="Arial"/>
          <w:color w:val="auto"/>
        </w:rPr>
        <w:t xml:space="preserve"> </w:t>
      </w:r>
      <w:r w:rsidRPr="00E77ABE">
        <w:rPr>
          <w:rFonts w:ascii="Arial" w:hAnsi="Arial" w:cs="Arial"/>
          <w:color w:val="auto"/>
        </w:rPr>
        <w:t>transportaţi</w:t>
      </w:r>
      <w:r>
        <w:rPr>
          <w:rFonts w:ascii="Arial" w:hAnsi="Arial" w:cs="Arial"/>
          <w:color w:val="auto"/>
        </w:rPr>
        <w:t xml:space="preserve"> </w:t>
      </w:r>
      <w:r w:rsidRPr="00E77ABE">
        <w:rPr>
          <w:rFonts w:ascii="Arial" w:hAnsi="Arial" w:cs="Arial"/>
          <w:color w:val="auto"/>
        </w:rPr>
        <w:t>în</w:t>
      </w:r>
      <w:r>
        <w:rPr>
          <w:rFonts w:ascii="Arial" w:hAnsi="Arial" w:cs="Arial"/>
          <w:color w:val="auto"/>
        </w:rPr>
        <w:t xml:space="preserve"> </w:t>
      </w:r>
      <w:r w:rsidRPr="00E77ABE">
        <w:rPr>
          <w:rFonts w:ascii="Arial" w:hAnsi="Arial" w:cs="Arial"/>
          <w:color w:val="auto"/>
        </w:rPr>
        <w:t>transportul public local, pe</w:t>
      </w:r>
      <w:r>
        <w:rPr>
          <w:rFonts w:ascii="Arial" w:hAnsi="Arial" w:cs="Arial"/>
          <w:color w:val="auto"/>
        </w:rPr>
        <w:t xml:space="preserve"> </w:t>
      </w:r>
      <w:r w:rsidRPr="00E77ABE">
        <w:rPr>
          <w:rFonts w:ascii="Arial" w:hAnsi="Arial" w:cs="Arial"/>
          <w:color w:val="auto"/>
        </w:rPr>
        <w:t>tipuri de vehicule</w:t>
      </w:r>
      <w:r>
        <w:rPr>
          <w:rFonts w:ascii="Arial" w:hAnsi="Arial" w:cs="Arial"/>
          <w:color w:val="auto"/>
        </w:rPr>
        <w:t>:</w:t>
      </w:r>
    </w:p>
    <w:p w:rsidR="0033527B" w:rsidRPr="008E1F89" w:rsidRDefault="0033527B" w:rsidP="0033527B">
      <w:pPr>
        <w:pStyle w:val="Default"/>
        <w:rPr>
          <w:rFonts w:ascii="Arial" w:hAnsi="Arial" w:cs="Arial"/>
        </w:rPr>
      </w:pPr>
    </w:p>
    <w:tbl>
      <w:tblPr>
        <w:tblW w:w="8366" w:type="dxa"/>
        <w:jc w:val="center"/>
        <w:tblInd w:w="1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1"/>
        <w:gridCol w:w="1552"/>
        <w:gridCol w:w="1276"/>
        <w:gridCol w:w="1275"/>
        <w:gridCol w:w="1276"/>
        <w:gridCol w:w="1276"/>
      </w:tblGrid>
      <w:tr w:rsidR="0033527B" w:rsidRPr="008E1F89" w:rsidTr="0033527B">
        <w:trPr>
          <w:trHeight w:val="601"/>
          <w:jc w:val="center"/>
        </w:trPr>
        <w:tc>
          <w:tcPr>
            <w:tcW w:w="1711" w:type="dxa"/>
            <w:shd w:val="clear" w:color="auto" w:fill="E5DFEC" w:themeFill="accent4"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 xml:space="preserve">Judeţul </w:t>
            </w:r>
            <w:r w:rsidR="00217620">
              <w:rPr>
                <w:rFonts w:ascii="Arial" w:hAnsi="Arial" w:cs="Arial"/>
                <w:b/>
                <w:bCs/>
                <w:color w:val="000000"/>
                <w:sz w:val="24"/>
                <w:szCs w:val="24"/>
              </w:rPr>
              <w:t>Brăila</w:t>
            </w:r>
          </w:p>
        </w:tc>
        <w:tc>
          <w:tcPr>
            <w:tcW w:w="1552" w:type="dxa"/>
            <w:shd w:val="clear" w:color="auto" w:fill="E5DFEC" w:themeFill="accent4"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2012</w:t>
            </w:r>
          </w:p>
        </w:tc>
        <w:tc>
          <w:tcPr>
            <w:tcW w:w="1276" w:type="dxa"/>
            <w:shd w:val="clear" w:color="auto" w:fill="E5DFEC" w:themeFill="accent4"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2013</w:t>
            </w:r>
          </w:p>
        </w:tc>
        <w:tc>
          <w:tcPr>
            <w:tcW w:w="1275" w:type="dxa"/>
            <w:shd w:val="clear" w:color="auto" w:fill="E5DFEC" w:themeFill="accent4"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2014</w:t>
            </w:r>
          </w:p>
        </w:tc>
        <w:tc>
          <w:tcPr>
            <w:tcW w:w="1276" w:type="dxa"/>
            <w:shd w:val="clear" w:color="auto" w:fill="E5DFEC" w:themeFill="accent4"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2015</w:t>
            </w:r>
          </w:p>
        </w:tc>
        <w:tc>
          <w:tcPr>
            <w:tcW w:w="1276" w:type="dxa"/>
            <w:shd w:val="clear" w:color="auto" w:fill="E5DFEC" w:themeFill="accent4" w:themeFillTint="33"/>
            <w:vAlign w:val="center"/>
          </w:tcPr>
          <w:p w:rsidR="0033527B" w:rsidRPr="005D6606" w:rsidRDefault="0033527B" w:rsidP="0033527B">
            <w:pPr>
              <w:spacing w:after="0" w:line="240" w:lineRule="auto"/>
              <w:jc w:val="center"/>
              <w:rPr>
                <w:rFonts w:ascii="Arial" w:hAnsi="Arial" w:cs="Arial"/>
                <w:b/>
                <w:bCs/>
                <w:sz w:val="24"/>
                <w:szCs w:val="24"/>
              </w:rPr>
            </w:pPr>
            <w:r w:rsidRPr="005D6606">
              <w:rPr>
                <w:rFonts w:ascii="Arial" w:hAnsi="Arial" w:cs="Arial"/>
                <w:b/>
                <w:bCs/>
                <w:sz w:val="24"/>
                <w:szCs w:val="24"/>
              </w:rPr>
              <w:t>2016</w:t>
            </w:r>
          </w:p>
        </w:tc>
      </w:tr>
      <w:tr w:rsidR="0033527B" w:rsidRPr="008E1F89" w:rsidTr="0033527B">
        <w:trPr>
          <w:trHeight w:val="300"/>
          <w:jc w:val="center"/>
        </w:trPr>
        <w:tc>
          <w:tcPr>
            <w:tcW w:w="1711" w:type="dxa"/>
            <w:shd w:val="clear" w:color="auto" w:fill="FFC000"/>
            <w:vAlign w:val="center"/>
          </w:tcPr>
          <w:p w:rsidR="0033527B" w:rsidRPr="008E1F89" w:rsidRDefault="0033527B" w:rsidP="0033527B">
            <w:pPr>
              <w:spacing w:after="0" w:line="240" w:lineRule="auto"/>
              <w:rPr>
                <w:rFonts w:ascii="Arial" w:hAnsi="Arial" w:cs="Arial"/>
                <w:b/>
                <w:bCs/>
                <w:color w:val="000000"/>
                <w:sz w:val="24"/>
                <w:szCs w:val="24"/>
              </w:rPr>
            </w:pPr>
          </w:p>
        </w:tc>
        <w:tc>
          <w:tcPr>
            <w:tcW w:w="5379" w:type="dxa"/>
            <w:gridSpan w:val="4"/>
            <w:shd w:val="clear" w:color="auto" w:fill="FFC000"/>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b/>
                <w:bCs/>
                <w:color w:val="000000"/>
                <w:sz w:val="24"/>
                <w:szCs w:val="24"/>
              </w:rPr>
              <w:t>Mii pasageri</w:t>
            </w:r>
          </w:p>
        </w:tc>
        <w:tc>
          <w:tcPr>
            <w:tcW w:w="1276" w:type="dxa"/>
            <w:shd w:val="clear" w:color="auto" w:fill="FFC000"/>
          </w:tcPr>
          <w:p w:rsidR="0033527B" w:rsidRPr="005D6606" w:rsidRDefault="0033527B" w:rsidP="0033527B">
            <w:pPr>
              <w:spacing w:after="0" w:line="240" w:lineRule="auto"/>
              <w:rPr>
                <w:rFonts w:ascii="Arial" w:hAnsi="Arial" w:cs="Arial"/>
                <w:b/>
                <w:bCs/>
                <w:sz w:val="24"/>
                <w:szCs w:val="24"/>
              </w:rPr>
            </w:pPr>
          </w:p>
        </w:tc>
      </w:tr>
      <w:tr w:rsidR="0033527B" w:rsidRPr="008E1F89" w:rsidTr="0033527B">
        <w:trPr>
          <w:trHeight w:val="300"/>
          <w:jc w:val="center"/>
        </w:trPr>
        <w:tc>
          <w:tcPr>
            <w:tcW w:w="1711" w:type="dxa"/>
            <w:shd w:val="clear" w:color="auto" w:fill="FDE9D9" w:themeFill="accent6"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Tramvaie</w:t>
            </w:r>
          </w:p>
        </w:tc>
        <w:tc>
          <w:tcPr>
            <w:tcW w:w="1552"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1807,0</w:t>
            </w:r>
          </w:p>
        </w:tc>
        <w:tc>
          <w:tcPr>
            <w:tcW w:w="1276"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4898,0</w:t>
            </w:r>
          </w:p>
        </w:tc>
        <w:tc>
          <w:tcPr>
            <w:tcW w:w="1275"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6082,0</w:t>
            </w:r>
          </w:p>
        </w:tc>
        <w:tc>
          <w:tcPr>
            <w:tcW w:w="1276"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11564</w:t>
            </w:r>
          </w:p>
        </w:tc>
        <w:tc>
          <w:tcPr>
            <w:tcW w:w="1276" w:type="dxa"/>
            <w:shd w:val="clear" w:color="auto" w:fill="FDE9D9" w:themeFill="accent6" w:themeFillTint="33"/>
            <w:vAlign w:val="center"/>
          </w:tcPr>
          <w:p w:rsidR="0033527B" w:rsidRPr="005D6606" w:rsidRDefault="0033527B" w:rsidP="0033527B">
            <w:pPr>
              <w:spacing w:after="0" w:line="240" w:lineRule="auto"/>
              <w:jc w:val="center"/>
              <w:rPr>
                <w:rFonts w:ascii="Arial" w:hAnsi="Arial" w:cs="Arial"/>
                <w:sz w:val="24"/>
                <w:szCs w:val="24"/>
              </w:rPr>
            </w:pPr>
            <w:r w:rsidRPr="005D6606">
              <w:rPr>
                <w:rFonts w:ascii="Arial" w:hAnsi="Arial" w:cs="Arial"/>
                <w:sz w:val="24"/>
                <w:szCs w:val="24"/>
              </w:rPr>
              <w:t>11174,0</w:t>
            </w:r>
          </w:p>
        </w:tc>
      </w:tr>
      <w:tr w:rsidR="0033527B" w:rsidRPr="008E1F89" w:rsidTr="0033527B">
        <w:trPr>
          <w:trHeight w:val="300"/>
          <w:jc w:val="center"/>
        </w:trPr>
        <w:tc>
          <w:tcPr>
            <w:tcW w:w="1711" w:type="dxa"/>
            <w:shd w:val="clear" w:color="auto" w:fill="FDE9D9" w:themeFill="accent6"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Autobuze si microbuze</w:t>
            </w:r>
          </w:p>
        </w:tc>
        <w:tc>
          <w:tcPr>
            <w:tcW w:w="1552"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29791,9</w:t>
            </w:r>
          </w:p>
        </w:tc>
        <w:tc>
          <w:tcPr>
            <w:tcW w:w="1276"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27369,8</w:t>
            </w:r>
          </w:p>
        </w:tc>
        <w:tc>
          <w:tcPr>
            <w:tcW w:w="1275"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27069,5</w:t>
            </w:r>
          </w:p>
        </w:tc>
        <w:tc>
          <w:tcPr>
            <w:tcW w:w="1276"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24088</w:t>
            </w:r>
          </w:p>
        </w:tc>
        <w:tc>
          <w:tcPr>
            <w:tcW w:w="1276" w:type="dxa"/>
            <w:shd w:val="clear" w:color="auto" w:fill="FDE9D9" w:themeFill="accent6" w:themeFillTint="33"/>
            <w:vAlign w:val="center"/>
          </w:tcPr>
          <w:p w:rsidR="0033527B" w:rsidRPr="005D6606" w:rsidRDefault="0033527B" w:rsidP="0033527B">
            <w:pPr>
              <w:spacing w:after="0" w:line="240" w:lineRule="auto"/>
              <w:jc w:val="center"/>
              <w:rPr>
                <w:rFonts w:ascii="Arial" w:hAnsi="Arial" w:cs="Arial"/>
                <w:sz w:val="24"/>
                <w:szCs w:val="24"/>
              </w:rPr>
            </w:pPr>
            <w:r w:rsidRPr="005D6606">
              <w:rPr>
                <w:rFonts w:ascii="Arial" w:hAnsi="Arial" w:cs="Arial"/>
                <w:sz w:val="24"/>
                <w:szCs w:val="24"/>
              </w:rPr>
              <w:t>24017,4</w:t>
            </w:r>
          </w:p>
        </w:tc>
      </w:tr>
      <w:tr w:rsidR="0033527B" w:rsidRPr="008E1F89" w:rsidTr="0033527B">
        <w:trPr>
          <w:trHeight w:val="300"/>
          <w:jc w:val="center"/>
        </w:trPr>
        <w:tc>
          <w:tcPr>
            <w:tcW w:w="1711" w:type="dxa"/>
            <w:shd w:val="clear" w:color="auto" w:fill="FFC000"/>
            <w:vAlign w:val="center"/>
          </w:tcPr>
          <w:p w:rsidR="0033527B" w:rsidRPr="008E1F89" w:rsidRDefault="0033527B" w:rsidP="0033527B">
            <w:pPr>
              <w:spacing w:after="0" w:line="240" w:lineRule="auto"/>
              <w:rPr>
                <w:rFonts w:ascii="Arial" w:hAnsi="Arial" w:cs="Arial"/>
                <w:b/>
                <w:bCs/>
                <w:color w:val="000000"/>
                <w:sz w:val="24"/>
                <w:szCs w:val="24"/>
              </w:rPr>
            </w:pPr>
          </w:p>
        </w:tc>
        <w:tc>
          <w:tcPr>
            <w:tcW w:w="5379" w:type="dxa"/>
            <w:gridSpan w:val="4"/>
            <w:shd w:val="clear" w:color="auto" w:fill="FFC000"/>
            <w:vAlign w:val="bottom"/>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b/>
                <w:bCs/>
                <w:color w:val="000000"/>
                <w:sz w:val="24"/>
                <w:szCs w:val="24"/>
              </w:rPr>
              <w:t>Mii pasageri-km</w:t>
            </w:r>
          </w:p>
        </w:tc>
        <w:tc>
          <w:tcPr>
            <w:tcW w:w="1276" w:type="dxa"/>
            <w:shd w:val="clear" w:color="auto" w:fill="FFC000"/>
          </w:tcPr>
          <w:p w:rsidR="0033527B" w:rsidRPr="005D6606" w:rsidRDefault="0033527B" w:rsidP="0033527B">
            <w:pPr>
              <w:spacing w:after="0" w:line="240" w:lineRule="auto"/>
              <w:rPr>
                <w:rFonts w:ascii="Arial" w:hAnsi="Arial" w:cs="Arial"/>
                <w:b/>
                <w:bCs/>
                <w:sz w:val="24"/>
                <w:szCs w:val="24"/>
              </w:rPr>
            </w:pPr>
          </w:p>
        </w:tc>
      </w:tr>
      <w:tr w:rsidR="0033527B" w:rsidRPr="008E1F89" w:rsidTr="0033527B">
        <w:trPr>
          <w:trHeight w:val="300"/>
          <w:jc w:val="center"/>
        </w:trPr>
        <w:tc>
          <w:tcPr>
            <w:tcW w:w="1711" w:type="dxa"/>
            <w:shd w:val="clear" w:color="auto" w:fill="FDE9D9" w:themeFill="accent6"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Tramvaie</w:t>
            </w:r>
          </w:p>
        </w:tc>
        <w:tc>
          <w:tcPr>
            <w:tcW w:w="1552"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3975,0</w:t>
            </w:r>
          </w:p>
        </w:tc>
        <w:tc>
          <w:tcPr>
            <w:tcW w:w="1276"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10775,0</w:t>
            </w:r>
          </w:p>
        </w:tc>
        <w:tc>
          <w:tcPr>
            <w:tcW w:w="1275"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13379,0</w:t>
            </w:r>
          </w:p>
        </w:tc>
        <w:tc>
          <w:tcPr>
            <w:tcW w:w="1276"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25440</w:t>
            </w:r>
          </w:p>
        </w:tc>
        <w:tc>
          <w:tcPr>
            <w:tcW w:w="1276" w:type="dxa"/>
            <w:shd w:val="clear" w:color="auto" w:fill="FDE9D9" w:themeFill="accent6" w:themeFillTint="33"/>
            <w:vAlign w:val="center"/>
          </w:tcPr>
          <w:p w:rsidR="0033527B" w:rsidRPr="005D6606" w:rsidRDefault="0033527B" w:rsidP="0033527B">
            <w:pPr>
              <w:spacing w:after="0" w:line="240" w:lineRule="auto"/>
              <w:jc w:val="center"/>
              <w:rPr>
                <w:rFonts w:ascii="Arial" w:hAnsi="Arial" w:cs="Arial"/>
                <w:sz w:val="24"/>
                <w:szCs w:val="24"/>
              </w:rPr>
            </w:pPr>
            <w:r w:rsidRPr="005D6606">
              <w:rPr>
                <w:rFonts w:ascii="Arial" w:hAnsi="Arial" w:cs="Arial"/>
                <w:sz w:val="24"/>
                <w:szCs w:val="24"/>
              </w:rPr>
              <w:t>24582,0</w:t>
            </w:r>
          </w:p>
        </w:tc>
      </w:tr>
      <w:tr w:rsidR="0033527B" w:rsidRPr="008E1F89" w:rsidTr="0033527B">
        <w:trPr>
          <w:trHeight w:val="300"/>
          <w:jc w:val="center"/>
        </w:trPr>
        <w:tc>
          <w:tcPr>
            <w:tcW w:w="1711" w:type="dxa"/>
            <w:shd w:val="clear" w:color="auto" w:fill="FDE9D9" w:themeFill="accent6"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Autobuze si microbuze</w:t>
            </w:r>
          </w:p>
        </w:tc>
        <w:tc>
          <w:tcPr>
            <w:tcW w:w="1552"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144459,7</w:t>
            </w:r>
          </w:p>
        </w:tc>
        <w:tc>
          <w:tcPr>
            <w:tcW w:w="1276"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131755,2</w:t>
            </w:r>
          </w:p>
        </w:tc>
        <w:tc>
          <w:tcPr>
            <w:tcW w:w="1275"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131151,0</w:t>
            </w:r>
          </w:p>
        </w:tc>
        <w:tc>
          <w:tcPr>
            <w:tcW w:w="1276" w:type="dxa"/>
            <w:shd w:val="clear" w:color="auto" w:fill="FDE9D9" w:themeFill="accent6" w:themeFillTint="33"/>
            <w:vAlign w:val="center"/>
          </w:tcPr>
          <w:p w:rsidR="0033527B" w:rsidRPr="008E1F89" w:rsidRDefault="0033527B" w:rsidP="0033527B">
            <w:pPr>
              <w:spacing w:after="0" w:line="240" w:lineRule="auto"/>
              <w:jc w:val="center"/>
              <w:rPr>
                <w:rFonts w:ascii="Arial" w:hAnsi="Arial" w:cs="Arial"/>
                <w:color w:val="000000"/>
                <w:sz w:val="24"/>
                <w:szCs w:val="24"/>
              </w:rPr>
            </w:pPr>
            <w:r w:rsidRPr="008E1F89">
              <w:rPr>
                <w:rFonts w:ascii="Arial" w:hAnsi="Arial" w:cs="Arial"/>
                <w:color w:val="000000"/>
                <w:sz w:val="24"/>
                <w:szCs w:val="24"/>
              </w:rPr>
              <w:t>118027</w:t>
            </w:r>
          </w:p>
        </w:tc>
        <w:tc>
          <w:tcPr>
            <w:tcW w:w="1276" w:type="dxa"/>
            <w:shd w:val="clear" w:color="auto" w:fill="FDE9D9" w:themeFill="accent6" w:themeFillTint="33"/>
            <w:vAlign w:val="center"/>
          </w:tcPr>
          <w:p w:rsidR="0033527B" w:rsidRPr="005D6606" w:rsidRDefault="0033527B" w:rsidP="0033527B">
            <w:pPr>
              <w:spacing w:after="0" w:line="240" w:lineRule="auto"/>
              <w:jc w:val="center"/>
              <w:rPr>
                <w:rFonts w:ascii="Arial" w:hAnsi="Arial" w:cs="Arial"/>
                <w:sz w:val="24"/>
                <w:szCs w:val="24"/>
              </w:rPr>
            </w:pPr>
            <w:r w:rsidRPr="005D6606">
              <w:rPr>
                <w:rFonts w:ascii="Arial" w:hAnsi="Arial" w:cs="Arial"/>
                <w:sz w:val="24"/>
                <w:szCs w:val="24"/>
              </w:rPr>
              <w:t>116097,1</w:t>
            </w:r>
          </w:p>
        </w:tc>
      </w:tr>
    </w:tbl>
    <w:p w:rsidR="0033527B" w:rsidRPr="005D6606" w:rsidRDefault="0033527B" w:rsidP="0033527B">
      <w:pPr>
        <w:rPr>
          <w:rFonts w:ascii="Arial" w:hAnsi="Arial" w:cs="Arial"/>
          <w:b/>
          <w:bCs/>
          <w:sz w:val="20"/>
          <w:szCs w:val="20"/>
        </w:rPr>
      </w:pPr>
      <w:r>
        <w:rPr>
          <w:rFonts w:ascii="Arial" w:hAnsi="Arial" w:cs="Arial"/>
          <w:bCs/>
          <w:color w:val="00B0F0"/>
          <w:sz w:val="20"/>
          <w:szCs w:val="20"/>
        </w:rPr>
        <w:t xml:space="preserve">                </w:t>
      </w:r>
      <w:r w:rsidRPr="005D6606">
        <w:rPr>
          <w:rFonts w:ascii="Arial" w:hAnsi="Arial" w:cs="Arial"/>
          <w:bCs/>
          <w:sz w:val="20"/>
          <w:szCs w:val="20"/>
        </w:rPr>
        <w:t xml:space="preserve">Notă: Informații furnizate de către Direcția Regională de Statistică </w:t>
      </w:r>
      <w:r w:rsidR="00217620">
        <w:rPr>
          <w:rFonts w:ascii="Arial" w:hAnsi="Arial" w:cs="Arial"/>
          <w:bCs/>
          <w:sz w:val="20"/>
          <w:szCs w:val="20"/>
        </w:rPr>
        <w:t>Brăila</w:t>
      </w:r>
    </w:p>
    <w:p w:rsidR="0033527B" w:rsidRPr="008E1F89" w:rsidRDefault="0033527B" w:rsidP="0033527B">
      <w:pPr>
        <w:pStyle w:val="Default"/>
        <w:rPr>
          <w:rFonts w:ascii="Arial" w:hAnsi="Arial" w:cs="Arial"/>
          <w:color w:val="auto"/>
        </w:rPr>
      </w:pPr>
    </w:p>
    <w:p w:rsidR="0033527B" w:rsidRPr="005A4261" w:rsidRDefault="0033527B" w:rsidP="0033527B">
      <w:pPr>
        <w:pStyle w:val="Default"/>
        <w:rPr>
          <w:rFonts w:ascii="Arial" w:hAnsi="Arial" w:cs="Arial"/>
          <w:color w:val="auto"/>
        </w:rPr>
      </w:pPr>
      <w:r w:rsidRPr="005A4261">
        <w:rPr>
          <w:rFonts w:ascii="Arial" w:hAnsi="Arial" w:cs="Arial"/>
          <w:color w:val="auto"/>
        </w:rPr>
        <w:t>Transportul public local de</w:t>
      </w:r>
      <w:r>
        <w:rPr>
          <w:rFonts w:ascii="Arial" w:hAnsi="Arial" w:cs="Arial"/>
          <w:color w:val="auto"/>
        </w:rPr>
        <w:t xml:space="preserve"> </w:t>
      </w:r>
      <w:r w:rsidRPr="005A4261">
        <w:rPr>
          <w:rFonts w:ascii="Arial" w:hAnsi="Arial" w:cs="Arial"/>
          <w:color w:val="auto"/>
        </w:rPr>
        <w:t>pasageri</w:t>
      </w:r>
      <w:r>
        <w:rPr>
          <w:rFonts w:ascii="Arial" w:hAnsi="Arial" w:cs="Arial"/>
          <w:color w:val="auto"/>
        </w:rPr>
        <w:t xml:space="preserve"> </w:t>
      </w:r>
      <w:r w:rsidRPr="005A4261">
        <w:rPr>
          <w:rFonts w:ascii="Arial" w:hAnsi="Arial" w:cs="Arial"/>
          <w:color w:val="auto"/>
        </w:rPr>
        <w:t>cuprinde</w:t>
      </w:r>
      <w:r>
        <w:rPr>
          <w:rFonts w:ascii="Arial" w:hAnsi="Arial" w:cs="Arial"/>
          <w:color w:val="auto"/>
        </w:rPr>
        <w:t xml:space="preserve"> </w:t>
      </w:r>
      <w:r w:rsidRPr="005A4261">
        <w:rPr>
          <w:rFonts w:ascii="Arial" w:hAnsi="Arial" w:cs="Arial"/>
          <w:color w:val="auto"/>
        </w:rPr>
        <w:t>transportul, în</w:t>
      </w:r>
      <w:r>
        <w:rPr>
          <w:rFonts w:ascii="Arial" w:hAnsi="Arial" w:cs="Arial"/>
          <w:color w:val="auto"/>
        </w:rPr>
        <w:t xml:space="preserve"> </w:t>
      </w:r>
      <w:r w:rsidRPr="005A4261">
        <w:rPr>
          <w:rFonts w:ascii="Arial" w:hAnsi="Arial" w:cs="Arial"/>
          <w:color w:val="auto"/>
        </w:rPr>
        <w:t>interiorul</w:t>
      </w:r>
      <w:r>
        <w:rPr>
          <w:rFonts w:ascii="Arial" w:hAnsi="Arial" w:cs="Arial"/>
          <w:color w:val="auto"/>
        </w:rPr>
        <w:t xml:space="preserve"> </w:t>
      </w:r>
      <w:r w:rsidRPr="005A4261">
        <w:rPr>
          <w:rFonts w:ascii="Arial" w:hAnsi="Arial" w:cs="Arial"/>
          <w:color w:val="auto"/>
        </w:rPr>
        <w:t>zonei</w:t>
      </w:r>
      <w:r>
        <w:rPr>
          <w:rFonts w:ascii="Arial" w:hAnsi="Arial" w:cs="Arial"/>
          <w:color w:val="auto"/>
        </w:rPr>
        <w:t xml:space="preserve"> </w:t>
      </w:r>
      <w:r w:rsidRPr="005A4261">
        <w:rPr>
          <w:rFonts w:ascii="Arial" w:hAnsi="Arial" w:cs="Arial"/>
          <w:color w:val="auto"/>
        </w:rPr>
        <w:t>administrativ -teritoriale a unei</w:t>
      </w:r>
      <w:r>
        <w:rPr>
          <w:rFonts w:ascii="Arial" w:hAnsi="Arial" w:cs="Arial"/>
          <w:color w:val="auto"/>
        </w:rPr>
        <w:t xml:space="preserve"> </w:t>
      </w:r>
      <w:r w:rsidRPr="005A4261">
        <w:rPr>
          <w:rFonts w:ascii="Arial" w:hAnsi="Arial" w:cs="Arial"/>
          <w:color w:val="auto"/>
        </w:rPr>
        <w:t>localităţi, fără a depăşi</w:t>
      </w:r>
      <w:r>
        <w:rPr>
          <w:rFonts w:ascii="Arial" w:hAnsi="Arial" w:cs="Arial"/>
          <w:color w:val="auto"/>
        </w:rPr>
        <w:t xml:space="preserve"> </w:t>
      </w:r>
      <w:r w:rsidRPr="005A4261">
        <w:rPr>
          <w:rFonts w:ascii="Arial" w:hAnsi="Arial" w:cs="Arial"/>
          <w:color w:val="auto"/>
        </w:rPr>
        <w:t>limitele</w:t>
      </w:r>
      <w:r>
        <w:rPr>
          <w:rFonts w:ascii="Arial" w:hAnsi="Arial" w:cs="Arial"/>
          <w:color w:val="auto"/>
        </w:rPr>
        <w:t xml:space="preserve"> </w:t>
      </w:r>
      <w:r w:rsidRPr="005A4261">
        <w:rPr>
          <w:rFonts w:ascii="Arial" w:hAnsi="Arial" w:cs="Arial"/>
          <w:color w:val="auto"/>
        </w:rPr>
        <w:t>acesteia.</w:t>
      </w:r>
    </w:p>
    <w:p w:rsidR="0033527B" w:rsidRPr="008E1F89" w:rsidRDefault="0033527B" w:rsidP="0033527B">
      <w:pPr>
        <w:pStyle w:val="Default"/>
        <w:rPr>
          <w:rFonts w:ascii="Arial" w:hAnsi="Arial" w:cs="Arial"/>
          <w:color w:val="auto"/>
        </w:rPr>
      </w:pPr>
    </w:p>
    <w:p w:rsidR="0033527B" w:rsidRPr="008E1F89" w:rsidRDefault="0033527B" w:rsidP="0033527B">
      <w:pPr>
        <w:pStyle w:val="Default"/>
        <w:rPr>
          <w:rFonts w:ascii="Arial" w:hAnsi="Arial" w:cs="Arial"/>
          <w:color w:val="auto"/>
        </w:rPr>
      </w:pPr>
    </w:p>
    <w:p w:rsidR="0033527B" w:rsidRPr="008E1F89" w:rsidRDefault="0033527B" w:rsidP="0033527B">
      <w:pPr>
        <w:jc w:val="center"/>
        <w:rPr>
          <w:rFonts w:ascii="Arial" w:hAnsi="Arial" w:cs="Arial"/>
          <w:sz w:val="24"/>
          <w:szCs w:val="24"/>
        </w:rPr>
      </w:pPr>
      <w:r w:rsidRPr="008E1F89">
        <w:rPr>
          <w:rFonts w:ascii="Arial" w:hAnsi="Arial" w:cs="Arial"/>
          <w:noProof/>
          <w:sz w:val="24"/>
          <w:szCs w:val="24"/>
          <w:lang w:eastAsia="ro-RO"/>
        </w:rPr>
        <w:drawing>
          <wp:inline distT="0" distB="0" distL="0" distR="0">
            <wp:extent cx="4610100" cy="2371725"/>
            <wp:effectExtent l="19050" t="0" r="19050" b="0"/>
            <wp:docPr id="2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33527B" w:rsidRPr="008E1F89" w:rsidRDefault="0033527B" w:rsidP="0033527B">
      <w:pPr>
        <w:pStyle w:val="Default"/>
        <w:rPr>
          <w:rFonts w:ascii="Arial" w:hAnsi="Arial" w:cs="Arial"/>
          <w:color w:val="auto"/>
        </w:rPr>
      </w:pPr>
    </w:p>
    <w:p w:rsidR="0033527B" w:rsidRPr="008E1F89" w:rsidRDefault="0033527B" w:rsidP="0033527B">
      <w:pPr>
        <w:jc w:val="center"/>
        <w:rPr>
          <w:rFonts w:ascii="Arial" w:hAnsi="Arial" w:cs="Arial"/>
          <w:sz w:val="24"/>
          <w:szCs w:val="24"/>
        </w:rPr>
      </w:pPr>
      <w:r w:rsidRPr="008E1F89">
        <w:rPr>
          <w:rFonts w:ascii="Arial" w:hAnsi="Arial" w:cs="Arial"/>
          <w:noProof/>
          <w:sz w:val="24"/>
          <w:szCs w:val="24"/>
          <w:highlight w:val="yellow"/>
          <w:lang w:eastAsia="ro-RO"/>
        </w:rPr>
        <w:drawing>
          <wp:inline distT="0" distB="0" distL="0" distR="0">
            <wp:extent cx="4762500" cy="2305050"/>
            <wp:effectExtent l="19050" t="0" r="19050" b="0"/>
            <wp:docPr id="24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33527B" w:rsidRPr="00C56C96" w:rsidRDefault="0033527B" w:rsidP="0033527B">
      <w:pPr>
        <w:ind w:firstLine="708"/>
        <w:rPr>
          <w:rFonts w:ascii="Arial" w:hAnsi="Arial" w:cs="Arial"/>
          <w:b/>
          <w:sz w:val="24"/>
          <w:szCs w:val="24"/>
        </w:rPr>
      </w:pPr>
      <w:r w:rsidRPr="00C56C96">
        <w:rPr>
          <w:rFonts w:ascii="Arial" w:hAnsi="Arial" w:cs="Arial"/>
          <w:b/>
          <w:sz w:val="24"/>
          <w:szCs w:val="24"/>
        </w:rPr>
        <w:lastRenderedPageBreak/>
        <w:t xml:space="preserve">X.1.3.2. Transportul de mărfuri </w:t>
      </w:r>
    </w:p>
    <w:p w:rsidR="0033527B" w:rsidRPr="00C56C96" w:rsidRDefault="0033527B" w:rsidP="0033527B">
      <w:pPr>
        <w:rPr>
          <w:rFonts w:ascii="Arial" w:hAnsi="Arial" w:cs="Arial"/>
          <w:b/>
          <w:sz w:val="24"/>
          <w:szCs w:val="24"/>
        </w:rPr>
      </w:pPr>
      <w:r w:rsidRPr="00C56C96">
        <w:rPr>
          <w:rFonts w:ascii="Arial" w:hAnsi="Arial" w:cs="Arial"/>
          <w:b/>
          <w:sz w:val="24"/>
          <w:szCs w:val="24"/>
        </w:rPr>
        <w:t>Vehicule rutiere înmatriculate în circulaţie, pe categorii de vehicule</w:t>
      </w:r>
    </w:p>
    <w:p w:rsidR="0033527B" w:rsidRPr="001C7ED6" w:rsidRDefault="0033527B" w:rsidP="004E720D">
      <w:pPr>
        <w:spacing w:line="240" w:lineRule="auto"/>
        <w:rPr>
          <w:rFonts w:ascii="Arial" w:hAnsi="Arial" w:cs="Arial"/>
          <w:b/>
          <w:sz w:val="24"/>
          <w:szCs w:val="24"/>
        </w:rPr>
      </w:pPr>
      <w:r w:rsidRPr="004E720D">
        <w:rPr>
          <w:rFonts w:ascii="Arial" w:hAnsi="Arial" w:cs="Arial"/>
          <w:sz w:val="24"/>
          <w:szCs w:val="24"/>
        </w:rPr>
        <w:t>Tabelul nr. X.1.3.2. -1</w:t>
      </w:r>
      <w:r>
        <w:rPr>
          <w:rFonts w:ascii="Arial" w:hAnsi="Arial" w:cs="Arial"/>
          <w:b/>
          <w:sz w:val="24"/>
          <w:szCs w:val="24"/>
        </w:rPr>
        <w:t xml:space="preserve"> </w:t>
      </w:r>
      <w:r w:rsidRPr="00C56C96">
        <w:rPr>
          <w:rFonts w:ascii="Arial" w:hAnsi="Arial" w:cs="Arial"/>
          <w:sz w:val="24"/>
          <w:szCs w:val="24"/>
        </w:rPr>
        <w:t xml:space="preserve">Vehicule rutiere înmatriculate în circulaţie, pe categorii de vehicule în perioada </w:t>
      </w:r>
      <w:r w:rsidRPr="00CA3B8A">
        <w:rPr>
          <w:rFonts w:ascii="Arial" w:hAnsi="Arial" w:cs="Arial"/>
          <w:b/>
          <w:sz w:val="24"/>
          <w:szCs w:val="24"/>
        </w:rPr>
        <w:t>2012 – 2016</w:t>
      </w:r>
      <w:r>
        <w:rPr>
          <w:rFonts w:ascii="Arial" w:hAnsi="Arial" w:cs="Arial"/>
          <w:b/>
          <w:bCs/>
          <w:color w:val="000000"/>
          <w:sz w:val="24"/>
          <w:szCs w:val="24"/>
        </w:rPr>
        <w:t xml:space="preserve"> (</w:t>
      </w:r>
      <w:r w:rsidRPr="001C7ED6">
        <w:rPr>
          <w:rFonts w:ascii="Arial" w:hAnsi="Arial" w:cs="Arial"/>
          <w:b/>
          <w:bCs/>
          <w:color w:val="000000"/>
          <w:sz w:val="24"/>
          <w:szCs w:val="24"/>
        </w:rPr>
        <w:t xml:space="preserve"> număr</w:t>
      </w:r>
      <w:r>
        <w:rPr>
          <w:rFonts w:ascii="Arial" w:hAnsi="Arial" w:cs="Arial"/>
          <w:b/>
          <w:bCs/>
          <w:color w:val="000000"/>
          <w:sz w:val="24"/>
          <w:szCs w:val="24"/>
        </w:rPr>
        <w:t xml:space="preserve">)                                                                            </w:t>
      </w:r>
    </w:p>
    <w:tbl>
      <w:tblPr>
        <w:tblW w:w="8067"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9"/>
        <w:gridCol w:w="910"/>
        <w:gridCol w:w="993"/>
        <w:gridCol w:w="992"/>
        <w:gridCol w:w="992"/>
        <w:gridCol w:w="851"/>
      </w:tblGrid>
      <w:tr w:rsidR="0033527B" w:rsidRPr="008E1F89" w:rsidTr="0033527B">
        <w:trPr>
          <w:trHeight w:val="383"/>
          <w:jc w:val="center"/>
        </w:trPr>
        <w:tc>
          <w:tcPr>
            <w:tcW w:w="3329" w:type="dxa"/>
            <w:shd w:val="clear" w:color="auto" w:fill="FABF8F" w:themeFill="accent6" w:themeFillTint="99"/>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 xml:space="preserve">Judeţul </w:t>
            </w:r>
            <w:r w:rsidR="00217620">
              <w:rPr>
                <w:rFonts w:ascii="Arial" w:hAnsi="Arial" w:cs="Arial"/>
                <w:b/>
                <w:bCs/>
                <w:color w:val="000000"/>
                <w:sz w:val="24"/>
                <w:szCs w:val="24"/>
              </w:rPr>
              <w:t>Brăila</w:t>
            </w:r>
          </w:p>
        </w:tc>
        <w:tc>
          <w:tcPr>
            <w:tcW w:w="910" w:type="dxa"/>
            <w:shd w:val="clear" w:color="auto" w:fill="FABF8F" w:themeFill="accent6" w:themeFillTint="99"/>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2012</w:t>
            </w:r>
          </w:p>
        </w:tc>
        <w:tc>
          <w:tcPr>
            <w:tcW w:w="993" w:type="dxa"/>
            <w:shd w:val="clear" w:color="auto" w:fill="FABF8F" w:themeFill="accent6" w:themeFillTint="99"/>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2013</w:t>
            </w:r>
          </w:p>
        </w:tc>
        <w:tc>
          <w:tcPr>
            <w:tcW w:w="992" w:type="dxa"/>
            <w:shd w:val="clear" w:color="auto" w:fill="FABF8F" w:themeFill="accent6" w:themeFillTint="99"/>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2014</w:t>
            </w:r>
          </w:p>
        </w:tc>
        <w:tc>
          <w:tcPr>
            <w:tcW w:w="992" w:type="dxa"/>
            <w:shd w:val="clear" w:color="auto" w:fill="FABF8F" w:themeFill="accent6" w:themeFillTint="99"/>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2015</w:t>
            </w:r>
          </w:p>
        </w:tc>
        <w:tc>
          <w:tcPr>
            <w:tcW w:w="851" w:type="dxa"/>
            <w:shd w:val="clear" w:color="auto" w:fill="FABF8F" w:themeFill="accent6" w:themeFillTint="99"/>
          </w:tcPr>
          <w:p w:rsidR="0033527B" w:rsidRPr="0033527B" w:rsidRDefault="0033527B" w:rsidP="0033527B">
            <w:pPr>
              <w:spacing w:after="0" w:line="240" w:lineRule="auto"/>
              <w:rPr>
                <w:rFonts w:ascii="Arial" w:hAnsi="Arial" w:cs="Arial"/>
                <w:b/>
                <w:bCs/>
                <w:sz w:val="24"/>
                <w:szCs w:val="24"/>
              </w:rPr>
            </w:pPr>
            <w:r w:rsidRPr="0033527B">
              <w:rPr>
                <w:rFonts w:ascii="Arial" w:hAnsi="Arial" w:cs="Arial"/>
                <w:b/>
                <w:bCs/>
                <w:sz w:val="24"/>
                <w:szCs w:val="24"/>
              </w:rPr>
              <w:t>2016</w:t>
            </w:r>
          </w:p>
        </w:tc>
      </w:tr>
      <w:tr w:rsidR="0033527B" w:rsidRPr="008E1F89" w:rsidTr="0033527B">
        <w:trPr>
          <w:trHeight w:val="284"/>
          <w:jc w:val="center"/>
        </w:trPr>
        <w:tc>
          <w:tcPr>
            <w:tcW w:w="3329"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Autobuze şi microbuze</w:t>
            </w:r>
          </w:p>
        </w:tc>
        <w:tc>
          <w:tcPr>
            <w:tcW w:w="910"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644</w:t>
            </w:r>
          </w:p>
        </w:tc>
        <w:tc>
          <w:tcPr>
            <w:tcW w:w="993"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695</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735</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755</w:t>
            </w:r>
          </w:p>
        </w:tc>
        <w:tc>
          <w:tcPr>
            <w:tcW w:w="851" w:type="dxa"/>
            <w:shd w:val="clear" w:color="auto" w:fill="DAEEF3" w:themeFill="accent5" w:themeFillTint="33"/>
            <w:vAlign w:val="center"/>
          </w:tcPr>
          <w:p w:rsidR="0033527B" w:rsidRPr="0033527B" w:rsidRDefault="0033527B" w:rsidP="0033527B">
            <w:pPr>
              <w:spacing w:after="0" w:line="240" w:lineRule="auto"/>
              <w:rPr>
                <w:rFonts w:ascii="Arial" w:hAnsi="Arial" w:cs="Arial"/>
              </w:rPr>
            </w:pPr>
            <w:r w:rsidRPr="0033527B">
              <w:rPr>
                <w:rFonts w:ascii="Arial" w:hAnsi="Arial" w:cs="Arial"/>
              </w:rPr>
              <w:t>787</w:t>
            </w:r>
          </w:p>
        </w:tc>
      </w:tr>
      <w:tr w:rsidR="0033527B" w:rsidRPr="008E1F89" w:rsidTr="0033527B">
        <w:trPr>
          <w:trHeight w:val="284"/>
          <w:jc w:val="center"/>
        </w:trPr>
        <w:tc>
          <w:tcPr>
            <w:tcW w:w="3329"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Autoturisme</w:t>
            </w:r>
          </w:p>
        </w:tc>
        <w:tc>
          <w:tcPr>
            <w:tcW w:w="910"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56372</w:t>
            </w:r>
          </w:p>
        </w:tc>
        <w:tc>
          <w:tcPr>
            <w:tcW w:w="993"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59206</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62117</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65294</w:t>
            </w:r>
          </w:p>
        </w:tc>
        <w:tc>
          <w:tcPr>
            <w:tcW w:w="851" w:type="dxa"/>
            <w:shd w:val="clear" w:color="auto" w:fill="DAEEF3" w:themeFill="accent5" w:themeFillTint="33"/>
            <w:vAlign w:val="center"/>
          </w:tcPr>
          <w:p w:rsidR="0033527B" w:rsidRPr="0033527B" w:rsidRDefault="0033527B" w:rsidP="0033527B">
            <w:pPr>
              <w:spacing w:after="0" w:line="240" w:lineRule="auto"/>
              <w:rPr>
                <w:rFonts w:ascii="Arial" w:hAnsi="Arial" w:cs="Arial"/>
              </w:rPr>
            </w:pPr>
            <w:r w:rsidRPr="0033527B">
              <w:rPr>
                <w:rFonts w:ascii="Arial" w:hAnsi="Arial" w:cs="Arial"/>
              </w:rPr>
              <w:t>69287</w:t>
            </w:r>
          </w:p>
        </w:tc>
      </w:tr>
      <w:tr w:rsidR="0033527B" w:rsidRPr="008E1F89" w:rsidTr="0033527B">
        <w:trPr>
          <w:trHeight w:val="284"/>
          <w:jc w:val="center"/>
        </w:trPr>
        <w:tc>
          <w:tcPr>
            <w:tcW w:w="3329"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Mopede şi motociclete (inclusiv mototricicluri şi cvadricicluri)</w:t>
            </w:r>
          </w:p>
        </w:tc>
        <w:tc>
          <w:tcPr>
            <w:tcW w:w="910"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836</w:t>
            </w:r>
          </w:p>
        </w:tc>
        <w:tc>
          <w:tcPr>
            <w:tcW w:w="993"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874</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921</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961</w:t>
            </w:r>
          </w:p>
        </w:tc>
        <w:tc>
          <w:tcPr>
            <w:tcW w:w="851" w:type="dxa"/>
            <w:shd w:val="clear" w:color="auto" w:fill="DAEEF3" w:themeFill="accent5" w:themeFillTint="33"/>
            <w:vAlign w:val="center"/>
          </w:tcPr>
          <w:p w:rsidR="0033527B" w:rsidRPr="0033527B" w:rsidRDefault="0033527B" w:rsidP="0033527B">
            <w:pPr>
              <w:spacing w:after="0" w:line="240" w:lineRule="auto"/>
              <w:rPr>
                <w:rFonts w:ascii="Arial" w:hAnsi="Arial" w:cs="Arial"/>
              </w:rPr>
            </w:pPr>
            <w:r w:rsidRPr="0033527B">
              <w:rPr>
                <w:rFonts w:ascii="Arial" w:hAnsi="Arial" w:cs="Arial"/>
              </w:rPr>
              <w:t>1004</w:t>
            </w:r>
          </w:p>
        </w:tc>
      </w:tr>
      <w:tr w:rsidR="0033527B" w:rsidRPr="008E1F89" w:rsidTr="0033527B">
        <w:trPr>
          <w:trHeight w:val="284"/>
          <w:jc w:val="center"/>
        </w:trPr>
        <w:tc>
          <w:tcPr>
            <w:tcW w:w="3329"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Autovehicule de marfă din care:</w:t>
            </w:r>
          </w:p>
        </w:tc>
        <w:tc>
          <w:tcPr>
            <w:tcW w:w="910"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8247</w:t>
            </w:r>
          </w:p>
        </w:tc>
        <w:tc>
          <w:tcPr>
            <w:tcW w:w="993"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8764</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9409</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9961</w:t>
            </w:r>
          </w:p>
        </w:tc>
        <w:tc>
          <w:tcPr>
            <w:tcW w:w="851" w:type="dxa"/>
            <w:shd w:val="clear" w:color="auto" w:fill="DAEEF3" w:themeFill="accent5" w:themeFillTint="33"/>
            <w:vAlign w:val="center"/>
          </w:tcPr>
          <w:p w:rsidR="0033527B" w:rsidRPr="0033527B" w:rsidRDefault="0033527B" w:rsidP="0033527B">
            <w:pPr>
              <w:spacing w:after="0" w:line="240" w:lineRule="auto"/>
              <w:rPr>
                <w:rFonts w:ascii="Arial" w:hAnsi="Arial" w:cs="Arial"/>
              </w:rPr>
            </w:pPr>
            <w:r w:rsidRPr="0033527B">
              <w:rPr>
                <w:rFonts w:ascii="Arial" w:hAnsi="Arial" w:cs="Arial"/>
              </w:rPr>
              <w:t>10396</w:t>
            </w:r>
          </w:p>
        </w:tc>
      </w:tr>
      <w:tr w:rsidR="0033527B" w:rsidRPr="008E1F89" w:rsidTr="0033527B">
        <w:trPr>
          <w:trHeight w:val="284"/>
          <w:jc w:val="center"/>
        </w:trPr>
        <w:tc>
          <w:tcPr>
            <w:tcW w:w="3329"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 Autocamioane</w:t>
            </w:r>
          </w:p>
        </w:tc>
        <w:tc>
          <w:tcPr>
            <w:tcW w:w="910"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7395</w:t>
            </w:r>
          </w:p>
        </w:tc>
        <w:tc>
          <w:tcPr>
            <w:tcW w:w="993"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7830</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8348</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8765</w:t>
            </w:r>
          </w:p>
        </w:tc>
        <w:tc>
          <w:tcPr>
            <w:tcW w:w="851" w:type="dxa"/>
            <w:shd w:val="clear" w:color="auto" w:fill="DAEEF3" w:themeFill="accent5" w:themeFillTint="33"/>
            <w:vAlign w:val="center"/>
          </w:tcPr>
          <w:p w:rsidR="0033527B" w:rsidRPr="0033527B" w:rsidRDefault="0033527B" w:rsidP="0033527B">
            <w:pPr>
              <w:spacing w:after="0" w:line="240" w:lineRule="auto"/>
              <w:rPr>
                <w:rFonts w:ascii="Arial" w:hAnsi="Arial" w:cs="Arial"/>
              </w:rPr>
            </w:pPr>
            <w:r w:rsidRPr="0033527B">
              <w:rPr>
                <w:rFonts w:ascii="Arial" w:hAnsi="Arial" w:cs="Arial"/>
              </w:rPr>
              <w:t>9121</w:t>
            </w:r>
          </w:p>
        </w:tc>
      </w:tr>
      <w:tr w:rsidR="0033527B" w:rsidRPr="008E1F89" w:rsidTr="0033527B">
        <w:trPr>
          <w:trHeight w:val="284"/>
          <w:jc w:val="center"/>
        </w:trPr>
        <w:tc>
          <w:tcPr>
            <w:tcW w:w="3329"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 Autotractoare</w:t>
            </w:r>
          </w:p>
        </w:tc>
        <w:tc>
          <w:tcPr>
            <w:tcW w:w="910"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852</w:t>
            </w:r>
          </w:p>
        </w:tc>
        <w:tc>
          <w:tcPr>
            <w:tcW w:w="993"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934</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1061</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1151</w:t>
            </w:r>
          </w:p>
        </w:tc>
        <w:tc>
          <w:tcPr>
            <w:tcW w:w="851" w:type="dxa"/>
            <w:shd w:val="clear" w:color="auto" w:fill="DAEEF3" w:themeFill="accent5" w:themeFillTint="33"/>
            <w:vAlign w:val="center"/>
          </w:tcPr>
          <w:p w:rsidR="0033527B" w:rsidRPr="0033527B" w:rsidRDefault="0033527B" w:rsidP="0033527B">
            <w:pPr>
              <w:spacing w:after="0" w:line="240" w:lineRule="auto"/>
              <w:rPr>
                <w:rFonts w:ascii="Arial" w:hAnsi="Arial" w:cs="Arial"/>
              </w:rPr>
            </w:pPr>
            <w:r w:rsidRPr="0033527B">
              <w:rPr>
                <w:rFonts w:ascii="Arial" w:hAnsi="Arial" w:cs="Arial"/>
              </w:rPr>
              <w:t>1275</w:t>
            </w:r>
          </w:p>
        </w:tc>
      </w:tr>
      <w:tr w:rsidR="0033527B" w:rsidRPr="008E1F89" w:rsidTr="0033527B">
        <w:trPr>
          <w:trHeight w:val="284"/>
          <w:jc w:val="center"/>
        </w:trPr>
        <w:tc>
          <w:tcPr>
            <w:tcW w:w="3329"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lang w:val="it-IT"/>
              </w:rPr>
            </w:pPr>
            <w:r w:rsidRPr="008E1F89">
              <w:rPr>
                <w:rFonts w:ascii="Arial" w:hAnsi="Arial" w:cs="Arial"/>
                <w:bCs/>
                <w:color w:val="000000"/>
                <w:sz w:val="24"/>
                <w:szCs w:val="24"/>
                <w:lang w:val="it-IT"/>
              </w:rPr>
              <w:t>Vehicule rutiere pentru scopuri speciale</w:t>
            </w:r>
          </w:p>
        </w:tc>
        <w:tc>
          <w:tcPr>
            <w:tcW w:w="910"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341</w:t>
            </w:r>
          </w:p>
        </w:tc>
        <w:tc>
          <w:tcPr>
            <w:tcW w:w="993"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356</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361</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358</w:t>
            </w:r>
          </w:p>
        </w:tc>
        <w:tc>
          <w:tcPr>
            <w:tcW w:w="851" w:type="dxa"/>
            <w:shd w:val="clear" w:color="auto" w:fill="DAEEF3" w:themeFill="accent5" w:themeFillTint="33"/>
            <w:vAlign w:val="center"/>
          </w:tcPr>
          <w:p w:rsidR="0033527B" w:rsidRPr="0033527B" w:rsidRDefault="0033527B" w:rsidP="0033527B">
            <w:pPr>
              <w:spacing w:after="0" w:line="240" w:lineRule="auto"/>
              <w:rPr>
                <w:rFonts w:ascii="Arial" w:hAnsi="Arial" w:cs="Arial"/>
              </w:rPr>
            </w:pPr>
            <w:r w:rsidRPr="0033527B">
              <w:rPr>
                <w:rFonts w:ascii="Arial" w:hAnsi="Arial" w:cs="Arial"/>
              </w:rPr>
              <w:t>363</w:t>
            </w:r>
          </w:p>
        </w:tc>
      </w:tr>
      <w:tr w:rsidR="0033527B" w:rsidRPr="008E1F89" w:rsidTr="0033527B">
        <w:trPr>
          <w:trHeight w:val="284"/>
          <w:jc w:val="center"/>
        </w:trPr>
        <w:tc>
          <w:tcPr>
            <w:tcW w:w="3329"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Tractoare</w:t>
            </w:r>
          </w:p>
        </w:tc>
        <w:tc>
          <w:tcPr>
            <w:tcW w:w="910"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436</w:t>
            </w:r>
          </w:p>
        </w:tc>
        <w:tc>
          <w:tcPr>
            <w:tcW w:w="993"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432</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424</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428</w:t>
            </w:r>
          </w:p>
        </w:tc>
        <w:tc>
          <w:tcPr>
            <w:tcW w:w="851" w:type="dxa"/>
            <w:shd w:val="clear" w:color="auto" w:fill="DAEEF3" w:themeFill="accent5" w:themeFillTint="33"/>
            <w:vAlign w:val="center"/>
          </w:tcPr>
          <w:p w:rsidR="0033527B" w:rsidRPr="0033527B" w:rsidRDefault="0033527B" w:rsidP="0033527B">
            <w:pPr>
              <w:spacing w:after="0" w:line="240" w:lineRule="auto"/>
              <w:rPr>
                <w:rFonts w:ascii="Arial" w:hAnsi="Arial" w:cs="Arial"/>
              </w:rPr>
            </w:pPr>
            <w:r w:rsidRPr="0033527B">
              <w:rPr>
                <w:rFonts w:ascii="Arial" w:hAnsi="Arial" w:cs="Arial"/>
              </w:rPr>
              <w:t>424</w:t>
            </w:r>
          </w:p>
        </w:tc>
      </w:tr>
      <w:tr w:rsidR="0033527B" w:rsidRPr="008E1F89" w:rsidTr="0033527B">
        <w:trPr>
          <w:trHeight w:val="284"/>
          <w:jc w:val="center"/>
        </w:trPr>
        <w:tc>
          <w:tcPr>
            <w:tcW w:w="3329" w:type="dxa"/>
            <w:shd w:val="clear" w:color="auto" w:fill="DAEEF3" w:themeFill="accent5"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Remorci şi semiremorci</w:t>
            </w:r>
          </w:p>
        </w:tc>
        <w:tc>
          <w:tcPr>
            <w:tcW w:w="910"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3921</w:t>
            </w:r>
          </w:p>
        </w:tc>
        <w:tc>
          <w:tcPr>
            <w:tcW w:w="993"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4175</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4459</w:t>
            </w:r>
          </w:p>
        </w:tc>
        <w:tc>
          <w:tcPr>
            <w:tcW w:w="992" w:type="dxa"/>
            <w:shd w:val="clear" w:color="auto" w:fill="DAEEF3" w:themeFill="accent5"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4621</w:t>
            </w:r>
          </w:p>
        </w:tc>
        <w:tc>
          <w:tcPr>
            <w:tcW w:w="851" w:type="dxa"/>
            <w:shd w:val="clear" w:color="auto" w:fill="DAEEF3" w:themeFill="accent5" w:themeFillTint="33"/>
            <w:vAlign w:val="center"/>
          </w:tcPr>
          <w:p w:rsidR="0033527B" w:rsidRPr="0033527B" w:rsidRDefault="0033527B" w:rsidP="0033527B">
            <w:pPr>
              <w:spacing w:after="0" w:line="240" w:lineRule="auto"/>
              <w:rPr>
                <w:rFonts w:ascii="Arial" w:hAnsi="Arial" w:cs="Arial"/>
              </w:rPr>
            </w:pPr>
            <w:r w:rsidRPr="0033527B">
              <w:rPr>
                <w:rFonts w:ascii="Arial" w:hAnsi="Arial" w:cs="Arial"/>
              </w:rPr>
              <w:t>4906</w:t>
            </w:r>
          </w:p>
        </w:tc>
      </w:tr>
    </w:tbl>
    <w:p w:rsidR="0033527B" w:rsidRDefault="0033527B" w:rsidP="0033527B">
      <w:pPr>
        <w:pStyle w:val="Default"/>
        <w:rPr>
          <w:rFonts w:ascii="Arial" w:hAnsi="Arial" w:cs="Arial"/>
          <w:bCs/>
          <w:color w:val="auto"/>
          <w:sz w:val="20"/>
          <w:szCs w:val="20"/>
        </w:rPr>
      </w:pPr>
      <w:r>
        <w:rPr>
          <w:rFonts w:ascii="Arial" w:hAnsi="Arial" w:cs="Arial"/>
          <w:bCs/>
          <w:color w:val="auto"/>
          <w:sz w:val="20"/>
          <w:szCs w:val="20"/>
        </w:rPr>
        <w:t xml:space="preserve">                  </w:t>
      </w:r>
      <w:r w:rsidRPr="005D6606">
        <w:rPr>
          <w:rFonts w:ascii="Arial" w:hAnsi="Arial" w:cs="Arial"/>
          <w:bCs/>
          <w:color w:val="auto"/>
          <w:sz w:val="20"/>
          <w:szCs w:val="20"/>
        </w:rPr>
        <w:t xml:space="preserve">Notă: Informații furnizate de către Direcția Regională de Statistică </w:t>
      </w:r>
      <w:r w:rsidR="00217620">
        <w:rPr>
          <w:rFonts w:ascii="Arial" w:hAnsi="Arial" w:cs="Arial"/>
          <w:bCs/>
          <w:color w:val="auto"/>
          <w:sz w:val="20"/>
          <w:szCs w:val="20"/>
        </w:rPr>
        <w:t>Brăila</w:t>
      </w:r>
    </w:p>
    <w:p w:rsidR="0033527B" w:rsidRPr="008E1F89" w:rsidRDefault="0033527B" w:rsidP="0033527B">
      <w:pPr>
        <w:pStyle w:val="Default"/>
        <w:rPr>
          <w:rFonts w:ascii="Arial" w:hAnsi="Arial" w:cs="Arial"/>
          <w:color w:val="auto"/>
        </w:rPr>
      </w:pPr>
    </w:p>
    <w:p w:rsidR="0033527B" w:rsidRPr="004C3808" w:rsidRDefault="0033527B" w:rsidP="0033527B">
      <w:pPr>
        <w:spacing w:line="240" w:lineRule="auto"/>
        <w:ind w:firstLine="708"/>
        <w:rPr>
          <w:rFonts w:ascii="Arial" w:hAnsi="Arial" w:cs="Arial"/>
          <w:b/>
          <w:sz w:val="24"/>
          <w:szCs w:val="24"/>
          <w:u w:val="single"/>
        </w:rPr>
      </w:pPr>
      <w:r w:rsidRPr="004C3808">
        <w:rPr>
          <w:rFonts w:ascii="Arial" w:hAnsi="Arial" w:cs="Arial"/>
          <w:b/>
          <w:sz w:val="24"/>
          <w:szCs w:val="24"/>
        </w:rPr>
        <w:t xml:space="preserve">X.2. Factori care influențează consumul </w:t>
      </w:r>
    </w:p>
    <w:p w:rsidR="0033527B" w:rsidRDefault="0033527B" w:rsidP="0033527B">
      <w:pPr>
        <w:pStyle w:val="Default"/>
        <w:rPr>
          <w:rFonts w:ascii="Arial" w:hAnsi="Arial" w:cs="Arial"/>
          <w:b/>
          <w:color w:val="auto"/>
        </w:rPr>
      </w:pPr>
      <w:r>
        <w:rPr>
          <w:rFonts w:ascii="Arial" w:hAnsi="Arial" w:cs="Arial"/>
          <w:b/>
          <w:color w:val="auto"/>
        </w:rPr>
        <w:t xml:space="preserve">             </w:t>
      </w:r>
      <w:r w:rsidRPr="004C3808">
        <w:rPr>
          <w:rFonts w:ascii="Arial" w:hAnsi="Arial" w:cs="Arial"/>
          <w:b/>
          <w:color w:val="auto"/>
        </w:rPr>
        <w:t>Influenţele</w:t>
      </w:r>
      <w:r>
        <w:rPr>
          <w:rFonts w:ascii="Arial" w:hAnsi="Arial" w:cs="Arial"/>
          <w:b/>
          <w:color w:val="auto"/>
        </w:rPr>
        <w:t xml:space="preserve"> </w:t>
      </w:r>
      <w:r w:rsidRPr="004C3808">
        <w:rPr>
          <w:rFonts w:ascii="Arial" w:hAnsi="Arial" w:cs="Arial"/>
          <w:b/>
          <w:color w:val="auto"/>
        </w:rPr>
        <w:t>economice</w:t>
      </w:r>
    </w:p>
    <w:p w:rsidR="00387899" w:rsidRDefault="00387899" w:rsidP="0033527B">
      <w:pPr>
        <w:rPr>
          <w:rFonts w:ascii="Arial" w:hAnsi="Arial" w:cs="Arial"/>
          <w:bCs/>
          <w:sz w:val="24"/>
          <w:szCs w:val="24"/>
        </w:rPr>
      </w:pPr>
    </w:p>
    <w:p w:rsidR="0033527B" w:rsidRPr="004E720D" w:rsidRDefault="0033527B" w:rsidP="0033527B">
      <w:pPr>
        <w:rPr>
          <w:rFonts w:ascii="Arial" w:hAnsi="Arial" w:cs="Arial"/>
          <w:bCs/>
          <w:iCs/>
          <w:color w:val="00B0F0"/>
          <w:sz w:val="24"/>
          <w:szCs w:val="24"/>
        </w:rPr>
      </w:pPr>
      <w:r w:rsidRPr="004E720D">
        <w:rPr>
          <w:rFonts w:ascii="Arial" w:hAnsi="Arial" w:cs="Arial"/>
          <w:bCs/>
          <w:sz w:val="24"/>
          <w:szCs w:val="24"/>
        </w:rPr>
        <w:t xml:space="preserve">Tabelul nr. X.2. – 1 </w:t>
      </w:r>
      <w:r w:rsidRPr="004E720D">
        <w:rPr>
          <w:rFonts w:ascii="Arial" w:hAnsi="Arial" w:cs="Arial"/>
          <w:sz w:val="24"/>
          <w:szCs w:val="24"/>
          <w:lang w:val="it-IT"/>
        </w:rPr>
        <w:t xml:space="preserve">Produsul intern </w:t>
      </w:r>
      <w:r w:rsidR="007C1699" w:rsidRPr="004E720D">
        <w:rPr>
          <w:rFonts w:ascii="Arial" w:hAnsi="Arial" w:cs="Arial"/>
          <w:sz w:val="24"/>
          <w:szCs w:val="24"/>
          <w:lang w:val="it-IT"/>
        </w:rPr>
        <w:t>BR</w:t>
      </w:r>
      <w:r w:rsidRPr="004E720D">
        <w:rPr>
          <w:rFonts w:ascii="Arial" w:hAnsi="Arial" w:cs="Arial"/>
          <w:sz w:val="24"/>
          <w:szCs w:val="24"/>
          <w:lang w:val="it-IT"/>
        </w:rPr>
        <w:t xml:space="preserve">ut şi Valoarea adăugată </w:t>
      </w:r>
      <w:r w:rsidR="007C1699" w:rsidRPr="004E720D">
        <w:rPr>
          <w:rFonts w:ascii="Arial" w:hAnsi="Arial" w:cs="Arial"/>
          <w:sz w:val="24"/>
          <w:szCs w:val="24"/>
          <w:lang w:val="it-IT"/>
        </w:rPr>
        <w:t>BR</w:t>
      </w:r>
      <w:r w:rsidRPr="004E720D">
        <w:rPr>
          <w:rFonts w:ascii="Arial" w:hAnsi="Arial" w:cs="Arial"/>
          <w:sz w:val="24"/>
          <w:szCs w:val="24"/>
          <w:lang w:val="it-IT"/>
        </w:rPr>
        <w:t>ută,pe ramuri de activitate</w:t>
      </w:r>
    </w:p>
    <w:p w:rsidR="0033527B" w:rsidRPr="0028650F" w:rsidRDefault="0033527B" w:rsidP="0033527B">
      <w:pPr>
        <w:pStyle w:val="Default"/>
        <w:rPr>
          <w:rFonts w:ascii="Arial" w:hAnsi="Arial" w:cs="Arial"/>
          <w:b/>
          <w:bCs/>
          <w:iCs/>
          <w:color w:val="auto"/>
          <w:u w:val="single"/>
        </w:rPr>
      </w:pPr>
      <w:r>
        <w:rPr>
          <w:rFonts w:ascii="Arial" w:hAnsi="Arial" w:cs="Arial"/>
          <w:b/>
          <w:color w:val="auto"/>
        </w:rPr>
        <w:t xml:space="preserve">                                                                                        </w:t>
      </w:r>
      <w:r w:rsidRPr="0028650F">
        <w:rPr>
          <w:rFonts w:ascii="Arial" w:hAnsi="Arial" w:cs="Arial"/>
          <w:b/>
          <w:color w:val="auto"/>
        </w:rPr>
        <w:t>milioane lei – pre</w:t>
      </w:r>
      <w:r w:rsidRPr="0028650F">
        <w:rPr>
          <w:rFonts w:ascii="Arial" w:hAnsi="Arial" w:cs="Arial"/>
          <w:b/>
          <w:color w:val="auto"/>
          <w:lang w:val="ro-RO"/>
        </w:rPr>
        <w:t>ţuri curente</w:t>
      </w:r>
    </w:p>
    <w:tbl>
      <w:tblPr>
        <w:tblW w:w="95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3"/>
        <w:gridCol w:w="951"/>
        <w:gridCol w:w="951"/>
        <w:gridCol w:w="1087"/>
        <w:gridCol w:w="951"/>
        <w:gridCol w:w="977"/>
      </w:tblGrid>
      <w:tr w:rsidR="0033527B" w:rsidRPr="008E1F89" w:rsidTr="0033527B">
        <w:trPr>
          <w:trHeight w:val="542"/>
          <w:jc w:val="center"/>
        </w:trPr>
        <w:tc>
          <w:tcPr>
            <w:tcW w:w="4643" w:type="dxa"/>
            <w:shd w:val="clear" w:color="auto" w:fill="CCC0D9" w:themeFill="accent4" w:themeFillTint="66"/>
            <w:noWrap/>
            <w:vAlign w:val="center"/>
          </w:tcPr>
          <w:p w:rsidR="0033527B" w:rsidRPr="008E1F89" w:rsidRDefault="0033527B" w:rsidP="0033527B">
            <w:pPr>
              <w:spacing w:after="0" w:line="240" w:lineRule="auto"/>
              <w:rPr>
                <w:rFonts w:ascii="Arial" w:hAnsi="Arial" w:cs="Arial"/>
                <w:b/>
                <w:sz w:val="24"/>
                <w:szCs w:val="24"/>
              </w:rPr>
            </w:pPr>
            <w:r w:rsidRPr="008E1F89">
              <w:rPr>
                <w:rFonts w:ascii="Arial" w:hAnsi="Arial" w:cs="Arial"/>
                <w:b/>
                <w:bCs/>
                <w:color w:val="000000"/>
                <w:sz w:val="24"/>
                <w:szCs w:val="24"/>
              </w:rPr>
              <w:t xml:space="preserve">Judeţul </w:t>
            </w:r>
            <w:r w:rsidR="00217620">
              <w:rPr>
                <w:rFonts w:ascii="Arial" w:hAnsi="Arial" w:cs="Arial"/>
                <w:b/>
                <w:bCs/>
                <w:color w:val="000000"/>
                <w:sz w:val="24"/>
                <w:szCs w:val="24"/>
              </w:rPr>
              <w:t>Brăila</w:t>
            </w:r>
          </w:p>
        </w:tc>
        <w:tc>
          <w:tcPr>
            <w:tcW w:w="951" w:type="dxa"/>
            <w:shd w:val="clear" w:color="auto" w:fill="CCC0D9" w:themeFill="accent4" w:themeFillTint="66"/>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2010</w:t>
            </w:r>
          </w:p>
        </w:tc>
        <w:tc>
          <w:tcPr>
            <w:tcW w:w="951" w:type="dxa"/>
            <w:shd w:val="clear" w:color="auto" w:fill="CCC0D9" w:themeFill="accent4" w:themeFillTint="66"/>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2011</w:t>
            </w:r>
          </w:p>
        </w:tc>
        <w:tc>
          <w:tcPr>
            <w:tcW w:w="1087" w:type="dxa"/>
            <w:shd w:val="clear" w:color="auto" w:fill="CCC0D9" w:themeFill="accent4" w:themeFillTint="66"/>
            <w:noWrap/>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2012*</w:t>
            </w:r>
          </w:p>
        </w:tc>
        <w:tc>
          <w:tcPr>
            <w:tcW w:w="951" w:type="dxa"/>
            <w:shd w:val="clear" w:color="auto" w:fill="CCC0D9" w:themeFill="accent4" w:themeFillTint="66"/>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2013</w:t>
            </w:r>
          </w:p>
        </w:tc>
        <w:tc>
          <w:tcPr>
            <w:tcW w:w="977" w:type="dxa"/>
            <w:shd w:val="clear" w:color="auto" w:fill="CCC0D9" w:themeFill="accent4" w:themeFillTint="66"/>
            <w:vAlign w:val="center"/>
          </w:tcPr>
          <w:p w:rsidR="0033527B" w:rsidRPr="00CA3B8A" w:rsidRDefault="0033527B" w:rsidP="0033527B">
            <w:pPr>
              <w:spacing w:after="0" w:line="240" w:lineRule="auto"/>
              <w:jc w:val="center"/>
              <w:rPr>
                <w:rFonts w:ascii="Arial" w:hAnsi="Arial" w:cs="Arial"/>
                <w:b/>
                <w:sz w:val="24"/>
                <w:szCs w:val="24"/>
              </w:rPr>
            </w:pPr>
            <w:r w:rsidRPr="00CA3B8A">
              <w:rPr>
                <w:rFonts w:ascii="Arial" w:hAnsi="Arial" w:cs="Arial"/>
                <w:b/>
                <w:sz w:val="24"/>
                <w:szCs w:val="24"/>
              </w:rPr>
              <w:t>2014</w:t>
            </w:r>
          </w:p>
        </w:tc>
      </w:tr>
      <w:tr w:rsidR="0033527B" w:rsidRPr="008E1F89" w:rsidTr="0033527B">
        <w:trPr>
          <w:trHeight w:val="300"/>
          <w:jc w:val="center"/>
        </w:trPr>
        <w:tc>
          <w:tcPr>
            <w:tcW w:w="4643" w:type="dxa"/>
            <w:shd w:val="clear" w:color="auto" w:fill="DAEEF3" w:themeFill="accent5" w:themeFillTint="33"/>
            <w:noWrap/>
            <w:vAlign w:val="center"/>
          </w:tcPr>
          <w:p w:rsidR="0033527B" w:rsidRPr="008E1F89" w:rsidRDefault="0033527B" w:rsidP="0033527B">
            <w:pPr>
              <w:spacing w:after="0" w:line="240" w:lineRule="auto"/>
              <w:rPr>
                <w:rFonts w:ascii="Arial" w:hAnsi="Arial" w:cs="Arial"/>
                <w:b/>
                <w:sz w:val="24"/>
                <w:szCs w:val="24"/>
              </w:rPr>
            </w:pPr>
            <w:r w:rsidRPr="008E1F89">
              <w:rPr>
                <w:rFonts w:ascii="Arial" w:hAnsi="Arial" w:cs="Arial"/>
                <w:b/>
                <w:i/>
                <w:iCs/>
                <w:sz w:val="24"/>
                <w:szCs w:val="24"/>
              </w:rPr>
              <w:t xml:space="preserve">Valoarea adăugată </w:t>
            </w:r>
            <w:r w:rsidR="007C1699">
              <w:rPr>
                <w:rFonts w:ascii="Arial" w:hAnsi="Arial" w:cs="Arial"/>
                <w:b/>
                <w:i/>
                <w:iCs/>
                <w:sz w:val="24"/>
                <w:szCs w:val="24"/>
              </w:rPr>
              <w:t>BR</w:t>
            </w:r>
            <w:r w:rsidRPr="008E1F89">
              <w:rPr>
                <w:rFonts w:ascii="Arial" w:hAnsi="Arial" w:cs="Arial"/>
                <w:b/>
                <w:i/>
                <w:iCs/>
                <w:sz w:val="24"/>
                <w:szCs w:val="24"/>
              </w:rPr>
              <w:t xml:space="preserve">ută </w:t>
            </w:r>
            <w:r w:rsidRPr="008E1F89">
              <w:rPr>
                <w:rFonts w:ascii="Arial" w:hAnsi="Arial" w:cs="Arial"/>
                <w:color w:val="000000"/>
                <w:sz w:val="24"/>
                <w:szCs w:val="24"/>
              </w:rPr>
              <w:t xml:space="preserve"> - </w:t>
            </w:r>
            <w:r w:rsidRPr="008E1F89">
              <w:rPr>
                <w:rFonts w:ascii="Arial" w:hAnsi="Arial" w:cs="Arial"/>
                <w:b/>
                <w:color w:val="000000"/>
                <w:sz w:val="24"/>
                <w:szCs w:val="24"/>
              </w:rPr>
              <w:t>Total</w:t>
            </w:r>
          </w:p>
        </w:tc>
        <w:tc>
          <w:tcPr>
            <w:tcW w:w="951" w:type="dxa"/>
            <w:shd w:val="clear" w:color="auto" w:fill="DAEEF3" w:themeFill="accent5" w:themeFillTint="33"/>
            <w:vAlign w:val="bottom"/>
          </w:tcPr>
          <w:p w:rsidR="0033527B" w:rsidRPr="008E1F89" w:rsidRDefault="0033527B" w:rsidP="0033527B">
            <w:pPr>
              <w:spacing w:after="0" w:line="240" w:lineRule="auto"/>
              <w:rPr>
                <w:rFonts w:ascii="Arial" w:hAnsi="Arial" w:cs="Arial"/>
                <w:b/>
                <w:sz w:val="24"/>
                <w:szCs w:val="24"/>
              </w:rPr>
            </w:pPr>
            <w:r w:rsidRPr="008E1F89">
              <w:rPr>
                <w:rFonts w:ascii="Arial" w:hAnsi="Arial" w:cs="Arial"/>
                <w:b/>
                <w:sz w:val="24"/>
                <w:szCs w:val="24"/>
              </w:rPr>
              <w:t>5617,2</w:t>
            </w:r>
          </w:p>
        </w:tc>
        <w:tc>
          <w:tcPr>
            <w:tcW w:w="951" w:type="dxa"/>
            <w:shd w:val="clear" w:color="auto" w:fill="DAEEF3" w:themeFill="accent5" w:themeFillTint="33"/>
            <w:vAlign w:val="bottom"/>
          </w:tcPr>
          <w:p w:rsidR="0033527B" w:rsidRPr="008E1F89" w:rsidRDefault="0033527B" w:rsidP="0033527B">
            <w:pPr>
              <w:spacing w:after="0" w:line="240" w:lineRule="auto"/>
              <w:rPr>
                <w:rFonts w:ascii="Arial" w:hAnsi="Arial" w:cs="Arial"/>
                <w:b/>
                <w:sz w:val="24"/>
                <w:szCs w:val="24"/>
              </w:rPr>
            </w:pPr>
            <w:r w:rsidRPr="008E1F89">
              <w:rPr>
                <w:rFonts w:ascii="Arial" w:hAnsi="Arial" w:cs="Arial"/>
                <w:b/>
                <w:sz w:val="24"/>
                <w:szCs w:val="24"/>
              </w:rPr>
              <w:t>6191,5</w:t>
            </w:r>
          </w:p>
        </w:tc>
        <w:tc>
          <w:tcPr>
            <w:tcW w:w="1087"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sz w:val="24"/>
                <w:szCs w:val="24"/>
              </w:rPr>
              <w:t>6080,6</w:t>
            </w:r>
          </w:p>
        </w:tc>
        <w:tc>
          <w:tcPr>
            <w:tcW w:w="951" w:type="dxa"/>
            <w:shd w:val="clear" w:color="auto" w:fill="DAEEF3" w:themeFill="accent5" w:themeFillTint="33"/>
            <w:vAlign w:val="bottom"/>
          </w:tcPr>
          <w:p w:rsidR="0033527B" w:rsidRPr="008E1F89" w:rsidRDefault="0033527B" w:rsidP="0033527B">
            <w:pPr>
              <w:spacing w:after="0" w:line="240" w:lineRule="auto"/>
              <w:rPr>
                <w:rFonts w:ascii="Arial" w:hAnsi="Arial" w:cs="Arial"/>
                <w:b/>
                <w:sz w:val="24"/>
                <w:szCs w:val="24"/>
              </w:rPr>
            </w:pPr>
            <w:r w:rsidRPr="008E1F89">
              <w:rPr>
                <w:rFonts w:ascii="Arial" w:hAnsi="Arial" w:cs="Arial"/>
                <w:b/>
                <w:sz w:val="24"/>
                <w:szCs w:val="24"/>
              </w:rPr>
              <w:t>6543,8</w:t>
            </w:r>
          </w:p>
        </w:tc>
        <w:tc>
          <w:tcPr>
            <w:tcW w:w="977" w:type="dxa"/>
            <w:shd w:val="clear" w:color="auto" w:fill="DAEEF3" w:themeFill="accent5" w:themeFillTint="33"/>
            <w:vAlign w:val="center"/>
          </w:tcPr>
          <w:p w:rsidR="0033527B" w:rsidRPr="00CA3B8A" w:rsidRDefault="0033527B" w:rsidP="0033527B">
            <w:pPr>
              <w:spacing w:after="0" w:line="240" w:lineRule="auto"/>
              <w:rPr>
                <w:rFonts w:ascii="Arial" w:hAnsi="Arial" w:cs="Arial"/>
                <w:b/>
              </w:rPr>
            </w:pPr>
            <w:r w:rsidRPr="00CA3B8A">
              <w:rPr>
                <w:rFonts w:ascii="Arial" w:hAnsi="Arial" w:cs="Arial"/>
                <w:b/>
              </w:rPr>
              <w:t>6493,8</w:t>
            </w:r>
          </w:p>
        </w:tc>
      </w:tr>
      <w:tr w:rsidR="0033527B" w:rsidRPr="008E1F89" w:rsidTr="0033527B">
        <w:trPr>
          <w:trHeight w:val="315"/>
          <w:jc w:val="center"/>
        </w:trPr>
        <w:tc>
          <w:tcPr>
            <w:tcW w:w="4643" w:type="dxa"/>
            <w:shd w:val="clear" w:color="auto" w:fill="DAEEF3" w:themeFill="accent5" w:themeFillTint="33"/>
            <w:noWrap/>
            <w:vAlign w:val="center"/>
          </w:tcPr>
          <w:p w:rsidR="0033527B" w:rsidRPr="008E1F89" w:rsidRDefault="0033527B" w:rsidP="0033527B">
            <w:pPr>
              <w:spacing w:after="0" w:line="240" w:lineRule="auto"/>
              <w:rPr>
                <w:rFonts w:ascii="Arial" w:hAnsi="Arial" w:cs="Arial"/>
                <w:i/>
                <w:iCs/>
                <w:color w:val="000000"/>
                <w:sz w:val="24"/>
                <w:szCs w:val="24"/>
              </w:rPr>
            </w:pPr>
            <w:r w:rsidRPr="008E1F89">
              <w:rPr>
                <w:rFonts w:ascii="Arial" w:hAnsi="Arial" w:cs="Arial"/>
                <w:i/>
                <w:iCs/>
                <w:color w:val="000000"/>
                <w:sz w:val="24"/>
                <w:szCs w:val="24"/>
              </w:rPr>
              <w:t xml:space="preserve">Agricultură, silvicultură şi pescuit </w:t>
            </w:r>
          </w:p>
        </w:tc>
        <w:tc>
          <w:tcPr>
            <w:tcW w:w="951" w:type="dxa"/>
            <w:shd w:val="clear" w:color="auto" w:fill="DAEEF3" w:themeFill="accent5" w:themeFillTint="33"/>
            <w:vAlign w:val="bottom"/>
          </w:tcPr>
          <w:p w:rsidR="0033527B" w:rsidRPr="008E1F89" w:rsidRDefault="0033527B" w:rsidP="0033527B">
            <w:pPr>
              <w:spacing w:after="0" w:line="240" w:lineRule="auto"/>
              <w:rPr>
                <w:rFonts w:ascii="Arial" w:hAnsi="Arial" w:cs="Arial"/>
                <w:sz w:val="24"/>
                <w:szCs w:val="24"/>
              </w:rPr>
            </w:pPr>
            <w:r w:rsidRPr="008E1F89">
              <w:rPr>
                <w:rFonts w:ascii="Arial" w:hAnsi="Arial" w:cs="Arial"/>
                <w:sz w:val="24"/>
                <w:szCs w:val="24"/>
              </w:rPr>
              <w:t>956,0</w:t>
            </w:r>
          </w:p>
        </w:tc>
        <w:tc>
          <w:tcPr>
            <w:tcW w:w="951" w:type="dxa"/>
            <w:shd w:val="clear" w:color="auto" w:fill="DAEEF3" w:themeFill="accent5" w:themeFillTint="33"/>
            <w:vAlign w:val="bottom"/>
          </w:tcPr>
          <w:p w:rsidR="0033527B" w:rsidRPr="008E1F89" w:rsidRDefault="0033527B" w:rsidP="0033527B">
            <w:pPr>
              <w:spacing w:after="0" w:line="240" w:lineRule="auto"/>
              <w:rPr>
                <w:rFonts w:ascii="Arial" w:hAnsi="Arial" w:cs="Arial"/>
                <w:sz w:val="24"/>
                <w:szCs w:val="24"/>
              </w:rPr>
            </w:pPr>
            <w:r w:rsidRPr="008E1F89">
              <w:rPr>
                <w:rFonts w:ascii="Arial" w:hAnsi="Arial" w:cs="Arial"/>
                <w:sz w:val="24"/>
                <w:szCs w:val="24"/>
              </w:rPr>
              <w:t>1357,0</w:t>
            </w:r>
          </w:p>
        </w:tc>
        <w:tc>
          <w:tcPr>
            <w:tcW w:w="1087" w:type="dxa"/>
            <w:shd w:val="clear" w:color="auto" w:fill="DAEEF3" w:themeFill="accent5" w:themeFillTint="33"/>
            <w:noWrap/>
            <w:vAlign w:val="bottom"/>
          </w:tcPr>
          <w:p w:rsidR="0033527B" w:rsidRPr="008E1F89" w:rsidRDefault="0033527B" w:rsidP="0033527B">
            <w:pPr>
              <w:spacing w:after="0" w:line="240" w:lineRule="auto"/>
              <w:rPr>
                <w:rFonts w:ascii="Arial" w:hAnsi="Arial" w:cs="Arial"/>
                <w:sz w:val="24"/>
                <w:szCs w:val="24"/>
              </w:rPr>
            </w:pPr>
            <w:r w:rsidRPr="008E1F89">
              <w:rPr>
                <w:rFonts w:ascii="Arial" w:hAnsi="Arial" w:cs="Arial"/>
                <w:sz w:val="24"/>
                <w:szCs w:val="24"/>
              </w:rPr>
              <w:t>1004,0</w:t>
            </w:r>
          </w:p>
        </w:tc>
        <w:tc>
          <w:tcPr>
            <w:tcW w:w="951" w:type="dxa"/>
            <w:shd w:val="clear" w:color="auto" w:fill="DAEEF3" w:themeFill="accent5" w:themeFillTint="33"/>
            <w:vAlign w:val="bottom"/>
          </w:tcPr>
          <w:p w:rsidR="0033527B" w:rsidRPr="008E1F89" w:rsidRDefault="0033527B" w:rsidP="0033527B">
            <w:pPr>
              <w:spacing w:after="0" w:line="240" w:lineRule="auto"/>
              <w:rPr>
                <w:rFonts w:ascii="Arial" w:hAnsi="Arial" w:cs="Arial"/>
                <w:sz w:val="24"/>
                <w:szCs w:val="24"/>
              </w:rPr>
            </w:pPr>
            <w:r w:rsidRPr="008E1F89">
              <w:rPr>
                <w:rFonts w:ascii="Arial" w:hAnsi="Arial" w:cs="Arial"/>
                <w:sz w:val="24"/>
                <w:szCs w:val="24"/>
              </w:rPr>
              <w:t>1377,3</w:t>
            </w:r>
          </w:p>
        </w:tc>
        <w:tc>
          <w:tcPr>
            <w:tcW w:w="977" w:type="dxa"/>
            <w:shd w:val="clear" w:color="auto" w:fill="DAEEF3" w:themeFill="accent5" w:themeFillTint="33"/>
            <w:vAlign w:val="center"/>
          </w:tcPr>
          <w:p w:rsidR="0033527B" w:rsidRPr="00CA3B8A" w:rsidRDefault="0033527B" w:rsidP="0033527B">
            <w:pPr>
              <w:spacing w:after="0" w:line="240" w:lineRule="auto"/>
              <w:rPr>
                <w:rFonts w:ascii="Arial" w:hAnsi="Arial" w:cs="Arial"/>
              </w:rPr>
            </w:pPr>
            <w:r w:rsidRPr="00CA3B8A">
              <w:rPr>
                <w:rFonts w:ascii="Arial" w:hAnsi="Arial" w:cs="Arial"/>
              </w:rPr>
              <w:t>1104,1</w:t>
            </w:r>
          </w:p>
        </w:tc>
      </w:tr>
      <w:tr w:rsidR="0033527B" w:rsidRPr="008E1F89" w:rsidTr="0033527B">
        <w:trPr>
          <w:trHeight w:val="720"/>
          <w:jc w:val="center"/>
        </w:trPr>
        <w:tc>
          <w:tcPr>
            <w:tcW w:w="4643" w:type="dxa"/>
            <w:shd w:val="clear" w:color="auto" w:fill="DAEEF3" w:themeFill="accent5" w:themeFillTint="33"/>
            <w:vAlign w:val="center"/>
          </w:tcPr>
          <w:p w:rsidR="0033527B" w:rsidRPr="008E1F89" w:rsidRDefault="0033527B" w:rsidP="0033527B">
            <w:pPr>
              <w:spacing w:after="0" w:line="240" w:lineRule="auto"/>
              <w:rPr>
                <w:rFonts w:ascii="Arial" w:hAnsi="Arial" w:cs="Arial"/>
                <w:i/>
                <w:iCs/>
                <w:sz w:val="24"/>
                <w:szCs w:val="24"/>
              </w:rPr>
            </w:pPr>
            <w:r w:rsidRPr="008E1F89">
              <w:rPr>
                <w:rFonts w:ascii="Arial" w:hAnsi="Arial" w:cs="Arial"/>
                <w:i/>
                <w:iCs/>
                <w:sz w:val="24"/>
                <w:szCs w:val="24"/>
              </w:rPr>
              <w:t>Industria extractivă; industria prelucrătoare; producția și furnizarea de energie electrică și termică, gaze, apă caldă și aer condiționat; distribuția apei; salu</w:t>
            </w:r>
            <w:r w:rsidR="007C1699">
              <w:rPr>
                <w:rFonts w:ascii="Arial" w:hAnsi="Arial" w:cs="Arial"/>
                <w:i/>
                <w:iCs/>
                <w:sz w:val="24"/>
                <w:szCs w:val="24"/>
              </w:rPr>
              <w:t>BR</w:t>
            </w:r>
            <w:r w:rsidRPr="008E1F89">
              <w:rPr>
                <w:rFonts w:ascii="Arial" w:hAnsi="Arial" w:cs="Arial"/>
                <w:i/>
                <w:iCs/>
                <w:sz w:val="24"/>
                <w:szCs w:val="24"/>
              </w:rPr>
              <w:t>itate, gestionarea deșeurilor, activități de decontaminare</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1594,9</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1845,3</w:t>
            </w:r>
          </w:p>
        </w:tc>
        <w:tc>
          <w:tcPr>
            <w:tcW w:w="1087" w:type="dxa"/>
            <w:shd w:val="clear" w:color="auto" w:fill="DAEEF3" w:themeFill="accent5" w:themeFillTint="33"/>
            <w:noWrap/>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1575,9</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1580,4</w:t>
            </w:r>
          </w:p>
        </w:tc>
        <w:tc>
          <w:tcPr>
            <w:tcW w:w="977" w:type="dxa"/>
            <w:shd w:val="clear" w:color="auto" w:fill="DAEEF3" w:themeFill="accent5" w:themeFillTint="33"/>
            <w:vAlign w:val="center"/>
          </w:tcPr>
          <w:p w:rsidR="0033527B" w:rsidRPr="00CA3B8A" w:rsidRDefault="0033527B" w:rsidP="0033527B">
            <w:pPr>
              <w:spacing w:after="0" w:line="240" w:lineRule="auto"/>
              <w:jc w:val="center"/>
              <w:rPr>
                <w:rFonts w:ascii="Arial" w:hAnsi="Arial" w:cs="Arial"/>
              </w:rPr>
            </w:pPr>
            <w:r w:rsidRPr="00CA3B8A">
              <w:rPr>
                <w:rFonts w:ascii="Arial" w:hAnsi="Arial" w:cs="Arial"/>
              </w:rPr>
              <w:t>1547,3</w:t>
            </w:r>
          </w:p>
        </w:tc>
      </w:tr>
      <w:tr w:rsidR="0033527B" w:rsidRPr="008E1F89" w:rsidTr="0033527B">
        <w:trPr>
          <w:trHeight w:val="315"/>
          <w:jc w:val="center"/>
        </w:trPr>
        <w:tc>
          <w:tcPr>
            <w:tcW w:w="4643" w:type="dxa"/>
            <w:shd w:val="clear" w:color="auto" w:fill="DAEEF3" w:themeFill="accent5" w:themeFillTint="33"/>
            <w:noWrap/>
            <w:vAlign w:val="center"/>
          </w:tcPr>
          <w:p w:rsidR="0033527B" w:rsidRPr="008E1F89" w:rsidRDefault="0033527B" w:rsidP="0033527B">
            <w:pPr>
              <w:spacing w:after="0" w:line="240" w:lineRule="auto"/>
              <w:rPr>
                <w:rFonts w:ascii="Arial" w:hAnsi="Arial" w:cs="Arial"/>
                <w:i/>
                <w:iCs/>
                <w:color w:val="000000"/>
                <w:sz w:val="24"/>
                <w:szCs w:val="24"/>
              </w:rPr>
            </w:pPr>
            <w:r w:rsidRPr="008E1F89">
              <w:rPr>
                <w:rFonts w:ascii="Arial" w:hAnsi="Arial" w:cs="Arial"/>
                <w:i/>
                <w:iCs/>
                <w:color w:val="000000"/>
                <w:sz w:val="24"/>
                <w:szCs w:val="24"/>
              </w:rPr>
              <w:t>Construcţii</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665,8</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632,9</w:t>
            </w:r>
          </w:p>
        </w:tc>
        <w:tc>
          <w:tcPr>
            <w:tcW w:w="1087" w:type="dxa"/>
            <w:shd w:val="clear" w:color="auto" w:fill="DAEEF3" w:themeFill="accent5" w:themeFillTint="33"/>
            <w:noWrap/>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753,6</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748,7</w:t>
            </w:r>
          </w:p>
        </w:tc>
        <w:tc>
          <w:tcPr>
            <w:tcW w:w="977" w:type="dxa"/>
            <w:shd w:val="clear" w:color="auto" w:fill="DAEEF3" w:themeFill="accent5" w:themeFillTint="33"/>
            <w:vAlign w:val="center"/>
          </w:tcPr>
          <w:p w:rsidR="0033527B" w:rsidRPr="00CA3B8A" w:rsidRDefault="0033527B" w:rsidP="0033527B">
            <w:pPr>
              <w:spacing w:after="0" w:line="240" w:lineRule="auto"/>
              <w:jc w:val="center"/>
              <w:rPr>
                <w:rFonts w:ascii="Arial" w:hAnsi="Arial" w:cs="Arial"/>
              </w:rPr>
            </w:pPr>
            <w:r w:rsidRPr="00CA3B8A">
              <w:rPr>
                <w:rFonts w:ascii="Arial" w:hAnsi="Arial" w:cs="Arial"/>
              </w:rPr>
              <w:t>674,7</w:t>
            </w:r>
          </w:p>
        </w:tc>
      </w:tr>
      <w:tr w:rsidR="0033527B" w:rsidRPr="008E1F89" w:rsidTr="0033527B">
        <w:trPr>
          <w:trHeight w:val="420"/>
          <w:jc w:val="center"/>
        </w:trPr>
        <w:tc>
          <w:tcPr>
            <w:tcW w:w="4643" w:type="dxa"/>
            <w:shd w:val="clear" w:color="auto" w:fill="DAEEF3" w:themeFill="accent5" w:themeFillTint="33"/>
            <w:vAlign w:val="center"/>
          </w:tcPr>
          <w:p w:rsidR="0033527B" w:rsidRPr="008E1F89" w:rsidRDefault="0033527B" w:rsidP="0033527B">
            <w:pPr>
              <w:spacing w:after="0" w:line="240" w:lineRule="auto"/>
              <w:rPr>
                <w:rFonts w:ascii="Arial" w:hAnsi="Arial" w:cs="Arial"/>
                <w:i/>
                <w:iCs/>
                <w:sz w:val="24"/>
                <w:szCs w:val="24"/>
              </w:rPr>
            </w:pPr>
            <w:r w:rsidRPr="008E1F89">
              <w:rPr>
                <w:rFonts w:ascii="Arial" w:hAnsi="Arial" w:cs="Arial"/>
                <w:i/>
                <w:iCs/>
                <w:sz w:val="24"/>
                <w:szCs w:val="24"/>
              </w:rPr>
              <w:t>Comerț cu ridicata și cu amănuntul; repararea autovehiculelor și motocicletelor; transport și depozitare; hoteluri și restaurante</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810,7</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712,9</w:t>
            </w:r>
          </w:p>
        </w:tc>
        <w:tc>
          <w:tcPr>
            <w:tcW w:w="1087" w:type="dxa"/>
            <w:shd w:val="clear" w:color="auto" w:fill="DAEEF3" w:themeFill="accent5" w:themeFillTint="33"/>
            <w:noWrap/>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981,0</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93,08</w:t>
            </w:r>
          </w:p>
        </w:tc>
        <w:tc>
          <w:tcPr>
            <w:tcW w:w="977" w:type="dxa"/>
            <w:shd w:val="clear" w:color="auto" w:fill="DAEEF3" w:themeFill="accent5" w:themeFillTint="33"/>
            <w:vAlign w:val="center"/>
          </w:tcPr>
          <w:p w:rsidR="0033527B" w:rsidRPr="00CA3B8A" w:rsidRDefault="0033527B" w:rsidP="0033527B">
            <w:pPr>
              <w:spacing w:after="0" w:line="240" w:lineRule="auto"/>
              <w:jc w:val="center"/>
              <w:rPr>
                <w:rFonts w:ascii="Arial" w:hAnsi="Arial" w:cs="Arial"/>
              </w:rPr>
            </w:pPr>
            <w:r w:rsidRPr="00CA3B8A">
              <w:rPr>
                <w:rFonts w:ascii="Arial" w:hAnsi="Arial" w:cs="Arial"/>
              </w:rPr>
              <w:t>1022,0</w:t>
            </w:r>
          </w:p>
        </w:tc>
      </w:tr>
      <w:tr w:rsidR="0033527B" w:rsidRPr="008E1F89" w:rsidTr="0033527B">
        <w:trPr>
          <w:trHeight w:val="315"/>
          <w:jc w:val="center"/>
        </w:trPr>
        <w:tc>
          <w:tcPr>
            <w:tcW w:w="4643" w:type="dxa"/>
            <w:shd w:val="clear" w:color="auto" w:fill="DAEEF3" w:themeFill="accent5" w:themeFillTint="33"/>
            <w:noWrap/>
            <w:vAlign w:val="center"/>
          </w:tcPr>
          <w:p w:rsidR="0033527B" w:rsidRPr="008E1F89" w:rsidRDefault="0033527B" w:rsidP="0033527B">
            <w:pPr>
              <w:spacing w:after="0" w:line="240" w:lineRule="auto"/>
              <w:rPr>
                <w:rFonts w:ascii="Arial" w:hAnsi="Arial" w:cs="Arial"/>
                <w:i/>
                <w:iCs/>
                <w:sz w:val="24"/>
                <w:szCs w:val="24"/>
              </w:rPr>
            </w:pPr>
            <w:r w:rsidRPr="008E1F89">
              <w:rPr>
                <w:rFonts w:ascii="Arial" w:hAnsi="Arial" w:cs="Arial"/>
                <w:i/>
                <w:iCs/>
                <w:sz w:val="24"/>
                <w:szCs w:val="24"/>
              </w:rPr>
              <w:t>Informații și comunicații</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45,6</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47,7</w:t>
            </w:r>
          </w:p>
        </w:tc>
        <w:tc>
          <w:tcPr>
            <w:tcW w:w="1087" w:type="dxa"/>
            <w:shd w:val="clear" w:color="auto" w:fill="DAEEF3" w:themeFill="accent5" w:themeFillTint="33"/>
            <w:noWrap/>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62,3</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92,8</w:t>
            </w:r>
          </w:p>
        </w:tc>
        <w:tc>
          <w:tcPr>
            <w:tcW w:w="977" w:type="dxa"/>
            <w:shd w:val="clear" w:color="auto" w:fill="DAEEF3" w:themeFill="accent5" w:themeFillTint="33"/>
            <w:vAlign w:val="center"/>
          </w:tcPr>
          <w:p w:rsidR="0033527B" w:rsidRPr="00CA3B8A" w:rsidRDefault="0033527B" w:rsidP="0033527B">
            <w:pPr>
              <w:spacing w:after="0" w:line="240" w:lineRule="auto"/>
              <w:jc w:val="center"/>
              <w:rPr>
                <w:rFonts w:ascii="Arial" w:hAnsi="Arial" w:cs="Arial"/>
              </w:rPr>
            </w:pPr>
            <w:r w:rsidRPr="00CA3B8A">
              <w:rPr>
                <w:rFonts w:ascii="Arial" w:hAnsi="Arial" w:cs="Arial"/>
              </w:rPr>
              <w:t>64,5</w:t>
            </w:r>
          </w:p>
        </w:tc>
      </w:tr>
      <w:tr w:rsidR="0033527B" w:rsidRPr="008E1F89" w:rsidTr="0033527B">
        <w:trPr>
          <w:trHeight w:val="315"/>
          <w:jc w:val="center"/>
        </w:trPr>
        <w:tc>
          <w:tcPr>
            <w:tcW w:w="4643" w:type="dxa"/>
            <w:shd w:val="clear" w:color="auto" w:fill="DAEEF3" w:themeFill="accent5" w:themeFillTint="33"/>
            <w:noWrap/>
            <w:vAlign w:val="center"/>
          </w:tcPr>
          <w:p w:rsidR="0033527B" w:rsidRPr="008E1F89" w:rsidRDefault="0033527B" w:rsidP="0033527B">
            <w:pPr>
              <w:spacing w:after="0" w:line="240" w:lineRule="auto"/>
              <w:rPr>
                <w:rFonts w:ascii="Arial" w:hAnsi="Arial" w:cs="Arial"/>
                <w:i/>
                <w:iCs/>
                <w:color w:val="000000"/>
                <w:sz w:val="24"/>
                <w:szCs w:val="24"/>
              </w:rPr>
            </w:pPr>
            <w:r w:rsidRPr="008E1F89">
              <w:rPr>
                <w:rFonts w:ascii="Arial" w:hAnsi="Arial" w:cs="Arial"/>
                <w:i/>
                <w:iCs/>
                <w:color w:val="000000"/>
                <w:sz w:val="24"/>
                <w:szCs w:val="24"/>
              </w:rPr>
              <w:t>Intermedieri financiare şi asigurări</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67,8</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20,2</w:t>
            </w:r>
          </w:p>
        </w:tc>
        <w:tc>
          <w:tcPr>
            <w:tcW w:w="1087" w:type="dxa"/>
            <w:shd w:val="clear" w:color="auto" w:fill="DAEEF3" w:themeFill="accent5" w:themeFillTint="33"/>
            <w:noWrap/>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86,0</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122,0</w:t>
            </w:r>
          </w:p>
        </w:tc>
        <w:tc>
          <w:tcPr>
            <w:tcW w:w="977" w:type="dxa"/>
            <w:shd w:val="clear" w:color="auto" w:fill="DAEEF3" w:themeFill="accent5" w:themeFillTint="33"/>
            <w:vAlign w:val="center"/>
          </w:tcPr>
          <w:p w:rsidR="0033527B" w:rsidRPr="00CA3B8A" w:rsidRDefault="0033527B" w:rsidP="0033527B">
            <w:pPr>
              <w:spacing w:after="0" w:line="240" w:lineRule="auto"/>
              <w:jc w:val="center"/>
              <w:rPr>
                <w:rFonts w:ascii="Arial" w:hAnsi="Arial" w:cs="Arial"/>
              </w:rPr>
            </w:pPr>
            <w:r w:rsidRPr="00CA3B8A">
              <w:rPr>
                <w:rFonts w:ascii="Arial" w:hAnsi="Arial" w:cs="Arial"/>
              </w:rPr>
              <w:t>105,8</w:t>
            </w:r>
          </w:p>
        </w:tc>
      </w:tr>
      <w:tr w:rsidR="0033527B" w:rsidRPr="008E1F89" w:rsidTr="0033527B">
        <w:trPr>
          <w:trHeight w:val="315"/>
          <w:jc w:val="center"/>
        </w:trPr>
        <w:tc>
          <w:tcPr>
            <w:tcW w:w="4643" w:type="dxa"/>
            <w:shd w:val="clear" w:color="auto" w:fill="DAEEF3" w:themeFill="accent5" w:themeFillTint="33"/>
            <w:noWrap/>
            <w:vAlign w:val="center"/>
          </w:tcPr>
          <w:p w:rsidR="0033527B" w:rsidRPr="008E1F89" w:rsidRDefault="0033527B" w:rsidP="0033527B">
            <w:pPr>
              <w:spacing w:after="0" w:line="240" w:lineRule="auto"/>
              <w:rPr>
                <w:rFonts w:ascii="Arial" w:hAnsi="Arial" w:cs="Arial"/>
                <w:i/>
                <w:iCs/>
                <w:color w:val="000000"/>
                <w:sz w:val="24"/>
                <w:szCs w:val="24"/>
              </w:rPr>
            </w:pPr>
            <w:r w:rsidRPr="008E1F89">
              <w:rPr>
                <w:rFonts w:ascii="Arial" w:hAnsi="Arial" w:cs="Arial"/>
                <w:i/>
                <w:iCs/>
                <w:color w:val="000000"/>
                <w:sz w:val="24"/>
                <w:szCs w:val="24"/>
              </w:rPr>
              <w:t>Tranzacţii imobiliare</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347,0</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380,5</w:t>
            </w:r>
          </w:p>
        </w:tc>
        <w:tc>
          <w:tcPr>
            <w:tcW w:w="1087" w:type="dxa"/>
            <w:shd w:val="clear" w:color="auto" w:fill="DAEEF3" w:themeFill="accent5" w:themeFillTint="33"/>
            <w:noWrap/>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410,3</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384,9</w:t>
            </w:r>
          </w:p>
        </w:tc>
        <w:tc>
          <w:tcPr>
            <w:tcW w:w="977" w:type="dxa"/>
            <w:shd w:val="clear" w:color="auto" w:fill="DAEEF3" w:themeFill="accent5" w:themeFillTint="33"/>
            <w:vAlign w:val="center"/>
          </w:tcPr>
          <w:p w:rsidR="0033527B" w:rsidRPr="00CA3B8A" w:rsidRDefault="0033527B" w:rsidP="0033527B">
            <w:pPr>
              <w:spacing w:after="0" w:line="240" w:lineRule="auto"/>
              <w:jc w:val="center"/>
              <w:rPr>
                <w:rFonts w:ascii="Arial" w:hAnsi="Arial" w:cs="Arial"/>
              </w:rPr>
            </w:pPr>
            <w:r w:rsidRPr="00CA3B8A">
              <w:rPr>
                <w:rFonts w:ascii="Arial" w:hAnsi="Arial" w:cs="Arial"/>
              </w:rPr>
              <w:t>378,0</w:t>
            </w:r>
          </w:p>
        </w:tc>
      </w:tr>
      <w:tr w:rsidR="0033527B" w:rsidRPr="008E1F89" w:rsidTr="0033527B">
        <w:trPr>
          <w:trHeight w:val="435"/>
          <w:jc w:val="center"/>
        </w:trPr>
        <w:tc>
          <w:tcPr>
            <w:tcW w:w="4643" w:type="dxa"/>
            <w:shd w:val="clear" w:color="auto" w:fill="DAEEF3" w:themeFill="accent5" w:themeFillTint="33"/>
            <w:vAlign w:val="center"/>
          </w:tcPr>
          <w:p w:rsidR="0033527B" w:rsidRPr="008E1F89" w:rsidRDefault="0033527B" w:rsidP="0033527B">
            <w:pPr>
              <w:spacing w:after="0" w:line="240" w:lineRule="auto"/>
              <w:rPr>
                <w:rFonts w:ascii="Arial" w:hAnsi="Arial" w:cs="Arial"/>
                <w:i/>
                <w:iCs/>
                <w:sz w:val="24"/>
                <w:szCs w:val="24"/>
              </w:rPr>
            </w:pPr>
            <w:r w:rsidRPr="008E1F89">
              <w:rPr>
                <w:rFonts w:ascii="Arial" w:hAnsi="Arial" w:cs="Arial"/>
                <w:i/>
                <w:iCs/>
                <w:sz w:val="24"/>
                <w:szCs w:val="24"/>
              </w:rPr>
              <w:t xml:space="preserve">Activități profesionale, științifice și tehnice; activități de servicii administrative și activități de servicii </w:t>
            </w:r>
            <w:r w:rsidRPr="008E1F89">
              <w:rPr>
                <w:rFonts w:ascii="Arial" w:hAnsi="Arial" w:cs="Arial"/>
                <w:i/>
                <w:iCs/>
                <w:sz w:val="24"/>
                <w:szCs w:val="24"/>
              </w:rPr>
              <w:lastRenderedPageBreak/>
              <w:t>suport</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lastRenderedPageBreak/>
              <w:t>178,4</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236,0</w:t>
            </w:r>
          </w:p>
        </w:tc>
        <w:tc>
          <w:tcPr>
            <w:tcW w:w="1087" w:type="dxa"/>
            <w:shd w:val="clear" w:color="auto" w:fill="DAEEF3" w:themeFill="accent5" w:themeFillTint="33"/>
            <w:noWrap/>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197,7</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270,1</w:t>
            </w:r>
          </w:p>
        </w:tc>
        <w:tc>
          <w:tcPr>
            <w:tcW w:w="977" w:type="dxa"/>
            <w:shd w:val="clear" w:color="auto" w:fill="DAEEF3" w:themeFill="accent5" w:themeFillTint="33"/>
            <w:vAlign w:val="center"/>
          </w:tcPr>
          <w:p w:rsidR="0033527B" w:rsidRPr="00CA3B8A" w:rsidRDefault="0033527B" w:rsidP="0033527B">
            <w:pPr>
              <w:spacing w:after="0" w:line="240" w:lineRule="auto"/>
              <w:jc w:val="center"/>
              <w:rPr>
                <w:rFonts w:ascii="Arial" w:hAnsi="Arial" w:cs="Arial"/>
              </w:rPr>
            </w:pPr>
            <w:r w:rsidRPr="00CA3B8A">
              <w:rPr>
                <w:rFonts w:ascii="Arial" w:hAnsi="Arial" w:cs="Arial"/>
              </w:rPr>
              <w:t>235,2</w:t>
            </w:r>
          </w:p>
        </w:tc>
      </w:tr>
      <w:tr w:rsidR="0033527B" w:rsidRPr="008E1F89" w:rsidTr="0033527B">
        <w:trPr>
          <w:trHeight w:val="480"/>
          <w:jc w:val="center"/>
        </w:trPr>
        <w:tc>
          <w:tcPr>
            <w:tcW w:w="4643" w:type="dxa"/>
            <w:shd w:val="clear" w:color="auto" w:fill="DAEEF3" w:themeFill="accent5" w:themeFillTint="33"/>
            <w:vAlign w:val="center"/>
          </w:tcPr>
          <w:p w:rsidR="0033527B" w:rsidRPr="008E1F89" w:rsidRDefault="0033527B" w:rsidP="0033527B">
            <w:pPr>
              <w:spacing w:after="0" w:line="240" w:lineRule="auto"/>
              <w:rPr>
                <w:rFonts w:ascii="Arial" w:hAnsi="Arial" w:cs="Arial"/>
                <w:i/>
                <w:iCs/>
                <w:sz w:val="24"/>
                <w:szCs w:val="24"/>
              </w:rPr>
            </w:pPr>
            <w:r w:rsidRPr="008E1F89">
              <w:rPr>
                <w:rFonts w:ascii="Arial" w:hAnsi="Arial" w:cs="Arial"/>
                <w:i/>
                <w:iCs/>
                <w:sz w:val="24"/>
                <w:szCs w:val="24"/>
              </w:rPr>
              <w:lastRenderedPageBreak/>
              <w:t>Administrație publică și apărare; asigurări sociale din sistemul public; învățământ; sănătate și asistență socială</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816,8</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791,3</w:t>
            </w:r>
          </w:p>
        </w:tc>
        <w:tc>
          <w:tcPr>
            <w:tcW w:w="1087" w:type="dxa"/>
            <w:shd w:val="clear" w:color="auto" w:fill="DAEEF3" w:themeFill="accent5" w:themeFillTint="33"/>
            <w:noWrap/>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831,5</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878,2</w:t>
            </w:r>
          </w:p>
        </w:tc>
        <w:tc>
          <w:tcPr>
            <w:tcW w:w="977" w:type="dxa"/>
            <w:shd w:val="clear" w:color="auto" w:fill="DAEEF3" w:themeFill="accent5" w:themeFillTint="33"/>
            <w:vAlign w:val="center"/>
          </w:tcPr>
          <w:p w:rsidR="0033527B" w:rsidRPr="00CA3B8A" w:rsidRDefault="0033527B" w:rsidP="0033527B">
            <w:pPr>
              <w:spacing w:after="0" w:line="240" w:lineRule="auto"/>
              <w:jc w:val="center"/>
              <w:rPr>
                <w:rFonts w:ascii="Arial" w:hAnsi="Arial" w:cs="Arial"/>
              </w:rPr>
            </w:pPr>
            <w:r w:rsidRPr="00CA3B8A">
              <w:rPr>
                <w:rFonts w:ascii="Arial" w:hAnsi="Arial" w:cs="Arial"/>
              </w:rPr>
              <w:t>1095,6</w:t>
            </w:r>
          </w:p>
        </w:tc>
      </w:tr>
      <w:tr w:rsidR="0033527B" w:rsidRPr="008E1F89" w:rsidTr="0033527B">
        <w:trPr>
          <w:trHeight w:val="315"/>
          <w:jc w:val="center"/>
        </w:trPr>
        <w:tc>
          <w:tcPr>
            <w:tcW w:w="4643" w:type="dxa"/>
            <w:shd w:val="clear" w:color="auto" w:fill="DAEEF3" w:themeFill="accent5" w:themeFillTint="33"/>
            <w:vAlign w:val="center"/>
          </w:tcPr>
          <w:p w:rsidR="0033527B" w:rsidRPr="008E1F89" w:rsidRDefault="0033527B" w:rsidP="0033527B">
            <w:pPr>
              <w:spacing w:after="0" w:line="240" w:lineRule="auto"/>
              <w:rPr>
                <w:rFonts w:ascii="Arial" w:hAnsi="Arial" w:cs="Arial"/>
                <w:i/>
                <w:iCs/>
                <w:sz w:val="24"/>
                <w:szCs w:val="24"/>
              </w:rPr>
            </w:pPr>
            <w:r w:rsidRPr="008E1F89">
              <w:rPr>
                <w:rFonts w:ascii="Arial" w:hAnsi="Arial" w:cs="Arial"/>
                <w:i/>
                <w:iCs/>
                <w:sz w:val="24"/>
                <w:szCs w:val="24"/>
              </w:rPr>
              <w:t>Activități culturale și spectacole; reparații de produse de uz casnic și alte servicii</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134,2</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167,7</w:t>
            </w:r>
          </w:p>
        </w:tc>
        <w:tc>
          <w:tcPr>
            <w:tcW w:w="1087" w:type="dxa"/>
            <w:shd w:val="clear" w:color="auto" w:fill="DAEEF3" w:themeFill="accent5" w:themeFillTint="33"/>
            <w:noWrap/>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178,8</w:t>
            </w:r>
          </w:p>
        </w:tc>
        <w:tc>
          <w:tcPr>
            <w:tcW w:w="951" w:type="dxa"/>
            <w:shd w:val="clear" w:color="auto" w:fill="DAEEF3" w:themeFill="accent5" w:themeFillTint="33"/>
            <w:vAlign w:val="center"/>
          </w:tcPr>
          <w:p w:rsidR="0033527B" w:rsidRPr="008E1F89" w:rsidRDefault="0033527B" w:rsidP="0033527B">
            <w:pPr>
              <w:spacing w:after="0" w:line="240" w:lineRule="auto"/>
              <w:jc w:val="center"/>
              <w:rPr>
                <w:rFonts w:ascii="Arial" w:hAnsi="Arial" w:cs="Arial"/>
                <w:sz w:val="24"/>
                <w:szCs w:val="24"/>
              </w:rPr>
            </w:pPr>
            <w:r w:rsidRPr="008E1F89">
              <w:rPr>
                <w:rFonts w:ascii="Arial" w:hAnsi="Arial" w:cs="Arial"/>
                <w:sz w:val="24"/>
                <w:szCs w:val="24"/>
              </w:rPr>
              <w:t>151,5</w:t>
            </w:r>
          </w:p>
        </w:tc>
        <w:tc>
          <w:tcPr>
            <w:tcW w:w="977" w:type="dxa"/>
            <w:shd w:val="clear" w:color="auto" w:fill="DAEEF3" w:themeFill="accent5" w:themeFillTint="33"/>
            <w:vAlign w:val="center"/>
          </w:tcPr>
          <w:p w:rsidR="0033527B" w:rsidRPr="00CA3B8A" w:rsidRDefault="0033527B" w:rsidP="0033527B">
            <w:pPr>
              <w:spacing w:after="0" w:line="240" w:lineRule="auto"/>
              <w:jc w:val="center"/>
              <w:rPr>
                <w:rFonts w:ascii="Arial" w:hAnsi="Arial" w:cs="Arial"/>
              </w:rPr>
            </w:pPr>
            <w:r w:rsidRPr="00CA3B8A">
              <w:rPr>
                <w:rFonts w:ascii="Arial" w:hAnsi="Arial" w:cs="Arial"/>
              </w:rPr>
              <w:t>267,1</w:t>
            </w:r>
          </w:p>
        </w:tc>
      </w:tr>
      <w:tr w:rsidR="0033527B" w:rsidRPr="008E1F89" w:rsidTr="0033527B">
        <w:trPr>
          <w:trHeight w:val="300"/>
          <w:jc w:val="center"/>
        </w:trPr>
        <w:tc>
          <w:tcPr>
            <w:tcW w:w="4643" w:type="dxa"/>
            <w:shd w:val="clear" w:color="auto" w:fill="E5DFEC" w:themeFill="accent4" w:themeFillTint="33"/>
            <w:noWrap/>
            <w:vAlign w:val="center"/>
          </w:tcPr>
          <w:p w:rsidR="0033527B" w:rsidRPr="008E1F89" w:rsidRDefault="0033527B" w:rsidP="0033527B">
            <w:pPr>
              <w:spacing w:after="0" w:line="240" w:lineRule="auto"/>
              <w:rPr>
                <w:rFonts w:ascii="Arial" w:hAnsi="Arial" w:cs="Arial"/>
                <w:b/>
                <w:bCs/>
                <w:i/>
                <w:iCs/>
                <w:sz w:val="24"/>
                <w:szCs w:val="24"/>
              </w:rPr>
            </w:pPr>
            <w:r w:rsidRPr="008E1F89">
              <w:rPr>
                <w:rFonts w:ascii="Arial" w:hAnsi="Arial" w:cs="Arial"/>
                <w:b/>
                <w:bCs/>
                <w:i/>
                <w:iCs/>
                <w:sz w:val="24"/>
                <w:szCs w:val="24"/>
              </w:rPr>
              <w:t xml:space="preserve">Produsul Intern </w:t>
            </w:r>
            <w:r w:rsidR="007C1699">
              <w:rPr>
                <w:rFonts w:ascii="Arial" w:hAnsi="Arial" w:cs="Arial"/>
                <w:b/>
                <w:bCs/>
                <w:i/>
                <w:iCs/>
                <w:sz w:val="24"/>
                <w:szCs w:val="24"/>
              </w:rPr>
              <w:t>BR</w:t>
            </w:r>
            <w:r w:rsidRPr="008E1F89">
              <w:rPr>
                <w:rFonts w:ascii="Arial" w:hAnsi="Arial" w:cs="Arial"/>
                <w:b/>
                <w:bCs/>
                <w:i/>
                <w:iCs/>
                <w:sz w:val="24"/>
                <w:szCs w:val="24"/>
              </w:rPr>
              <w:t xml:space="preserve">ut </w:t>
            </w:r>
          </w:p>
        </w:tc>
        <w:tc>
          <w:tcPr>
            <w:tcW w:w="951" w:type="dxa"/>
            <w:shd w:val="clear" w:color="auto" w:fill="E5DFEC" w:themeFill="accent4" w:themeFillTint="33"/>
            <w:vAlign w:val="center"/>
          </w:tcPr>
          <w:p w:rsidR="0033527B" w:rsidRPr="008E1F89" w:rsidRDefault="0033527B" w:rsidP="0033527B">
            <w:pPr>
              <w:spacing w:after="0" w:line="240" w:lineRule="auto"/>
              <w:jc w:val="center"/>
              <w:rPr>
                <w:rFonts w:ascii="Arial" w:hAnsi="Arial" w:cs="Arial"/>
                <w:b/>
                <w:sz w:val="24"/>
                <w:szCs w:val="24"/>
              </w:rPr>
            </w:pPr>
            <w:r w:rsidRPr="008E1F89">
              <w:rPr>
                <w:rFonts w:ascii="Arial" w:hAnsi="Arial" w:cs="Arial"/>
                <w:b/>
                <w:sz w:val="24"/>
                <w:szCs w:val="24"/>
              </w:rPr>
              <w:t>6263,9</w:t>
            </w:r>
          </w:p>
        </w:tc>
        <w:tc>
          <w:tcPr>
            <w:tcW w:w="951" w:type="dxa"/>
            <w:shd w:val="clear" w:color="auto" w:fill="E5DFEC" w:themeFill="accent4" w:themeFillTint="33"/>
            <w:vAlign w:val="center"/>
          </w:tcPr>
          <w:p w:rsidR="0033527B" w:rsidRPr="008E1F89" w:rsidRDefault="0033527B" w:rsidP="0033527B">
            <w:pPr>
              <w:spacing w:after="0" w:line="240" w:lineRule="auto"/>
              <w:jc w:val="center"/>
              <w:rPr>
                <w:rFonts w:ascii="Arial" w:hAnsi="Arial" w:cs="Arial"/>
                <w:b/>
                <w:sz w:val="24"/>
                <w:szCs w:val="24"/>
              </w:rPr>
            </w:pPr>
            <w:r w:rsidRPr="008E1F89">
              <w:rPr>
                <w:rFonts w:ascii="Arial" w:hAnsi="Arial" w:cs="Arial"/>
                <w:b/>
                <w:sz w:val="24"/>
                <w:szCs w:val="24"/>
              </w:rPr>
              <w:t>7062,0</w:t>
            </w:r>
          </w:p>
        </w:tc>
        <w:tc>
          <w:tcPr>
            <w:tcW w:w="1087" w:type="dxa"/>
            <w:shd w:val="clear" w:color="auto" w:fill="E5DFEC" w:themeFill="accent4" w:themeFillTint="33"/>
            <w:noWrap/>
            <w:vAlign w:val="center"/>
          </w:tcPr>
          <w:p w:rsidR="0033527B" w:rsidRPr="008E1F89" w:rsidRDefault="0033527B" w:rsidP="0033527B">
            <w:pPr>
              <w:spacing w:after="0" w:line="240" w:lineRule="auto"/>
              <w:jc w:val="center"/>
              <w:rPr>
                <w:rFonts w:ascii="Arial" w:hAnsi="Arial" w:cs="Arial"/>
                <w:b/>
                <w:sz w:val="24"/>
                <w:szCs w:val="24"/>
              </w:rPr>
            </w:pPr>
            <w:r w:rsidRPr="008E1F89">
              <w:rPr>
                <w:rFonts w:ascii="Arial" w:hAnsi="Arial" w:cs="Arial"/>
                <w:b/>
                <w:sz w:val="24"/>
                <w:szCs w:val="24"/>
              </w:rPr>
              <w:t>6951,9</w:t>
            </w:r>
          </w:p>
        </w:tc>
        <w:tc>
          <w:tcPr>
            <w:tcW w:w="951" w:type="dxa"/>
            <w:shd w:val="clear" w:color="auto" w:fill="E5DFEC" w:themeFill="accent4" w:themeFillTint="33"/>
            <w:vAlign w:val="center"/>
          </w:tcPr>
          <w:p w:rsidR="0033527B" w:rsidRPr="008E1F89" w:rsidRDefault="0033527B" w:rsidP="0033527B">
            <w:pPr>
              <w:spacing w:after="0" w:line="240" w:lineRule="auto"/>
              <w:jc w:val="center"/>
              <w:rPr>
                <w:rFonts w:ascii="Arial" w:hAnsi="Arial" w:cs="Arial"/>
                <w:b/>
                <w:sz w:val="24"/>
                <w:szCs w:val="24"/>
              </w:rPr>
            </w:pPr>
            <w:r w:rsidRPr="008E1F89">
              <w:rPr>
                <w:rFonts w:ascii="Arial" w:hAnsi="Arial" w:cs="Arial"/>
                <w:b/>
                <w:sz w:val="24"/>
                <w:szCs w:val="24"/>
              </w:rPr>
              <w:t>7442,7</w:t>
            </w:r>
          </w:p>
        </w:tc>
        <w:tc>
          <w:tcPr>
            <w:tcW w:w="977" w:type="dxa"/>
            <w:shd w:val="clear" w:color="auto" w:fill="E5DFEC" w:themeFill="accent4" w:themeFillTint="33"/>
            <w:vAlign w:val="center"/>
          </w:tcPr>
          <w:p w:rsidR="0033527B" w:rsidRPr="00CA3B8A" w:rsidRDefault="0033527B" w:rsidP="0033527B">
            <w:pPr>
              <w:spacing w:after="0" w:line="240" w:lineRule="auto"/>
              <w:jc w:val="center"/>
              <w:rPr>
                <w:rFonts w:ascii="Arial" w:hAnsi="Arial" w:cs="Arial"/>
                <w:b/>
              </w:rPr>
            </w:pPr>
            <w:r w:rsidRPr="00CA3B8A">
              <w:rPr>
                <w:rFonts w:ascii="Arial" w:hAnsi="Arial" w:cs="Arial"/>
                <w:b/>
              </w:rPr>
              <w:t>7357,1</w:t>
            </w:r>
          </w:p>
        </w:tc>
      </w:tr>
    </w:tbl>
    <w:p w:rsidR="0033527B" w:rsidRDefault="0033527B" w:rsidP="0033527B">
      <w:pPr>
        <w:pStyle w:val="Default"/>
        <w:rPr>
          <w:rFonts w:ascii="Arial" w:hAnsi="Arial" w:cs="Arial"/>
          <w:bCs/>
          <w:color w:val="auto"/>
          <w:sz w:val="20"/>
          <w:szCs w:val="20"/>
        </w:rPr>
      </w:pPr>
      <w:r w:rsidRPr="008E1F89">
        <w:rPr>
          <w:rFonts w:ascii="Arial" w:hAnsi="Arial" w:cs="Arial"/>
        </w:rPr>
        <w:t>* - Date recalculate</w:t>
      </w:r>
      <w:r>
        <w:rPr>
          <w:rFonts w:ascii="Arial" w:hAnsi="Arial" w:cs="Arial"/>
          <w:bCs/>
          <w:color w:val="auto"/>
          <w:sz w:val="20"/>
          <w:szCs w:val="20"/>
        </w:rPr>
        <w:t xml:space="preserve">          </w:t>
      </w:r>
      <w:r w:rsidRPr="005D6606">
        <w:rPr>
          <w:rFonts w:ascii="Arial" w:hAnsi="Arial" w:cs="Arial"/>
          <w:bCs/>
          <w:color w:val="auto"/>
          <w:sz w:val="20"/>
          <w:szCs w:val="20"/>
        </w:rPr>
        <w:t xml:space="preserve">Notă: Informații furnizate de către Direcția Regională de Statistică </w:t>
      </w:r>
      <w:r w:rsidR="00217620">
        <w:rPr>
          <w:rFonts w:ascii="Arial" w:hAnsi="Arial" w:cs="Arial"/>
          <w:bCs/>
          <w:color w:val="auto"/>
          <w:sz w:val="20"/>
          <w:szCs w:val="20"/>
        </w:rPr>
        <w:t>Brăila</w:t>
      </w:r>
    </w:p>
    <w:p w:rsidR="0033527B" w:rsidRPr="008E1F89" w:rsidRDefault="0033527B" w:rsidP="0033527B">
      <w:pPr>
        <w:pStyle w:val="ListParagraph"/>
        <w:rPr>
          <w:rFonts w:ascii="Arial" w:hAnsi="Arial" w:cs="Arial"/>
        </w:rPr>
      </w:pPr>
    </w:p>
    <w:p w:rsidR="0033527B" w:rsidRPr="008E1F89" w:rsidRDefault="0033527B" w:rsidP="0033527B">
      <w:pPr>
        <w:pStyle w:val="Default"/>
        <w:rPr>
          <w:rFonts w:ascii="Arial" w:hAnsi="Arial" w:cs="Arial"/>
          <w:color w:val="auto"/>
        </w:rPr>
      </w:pPr>
    </w:p>
    <w:p w:rsidR="0033527B" w:rsidRDefault="0033527B" w:rsidP="0033527B">
      <w:pPr>
        <w:pStyle w:val="Default"/>
        <w:rPr>
          <w:rFonts w:ascii="Arial" w:hAnsi="Arial" w:cs="Arial"/>
          <w:b/>
          <w:color w:val="auto"/>
        </w:rPr>
      </w:pPr>
      <w:r w:rsidRPr="00B70E94">
        <w:rPr>
          <w:rFonts w:ascii="Arial" w:hAnsi="Arial" w:cs="Arial"/>
          <w:b/>
          <w:color w:val="auto"/>
        </w:rPr>
        <w:t>Influenţele</w:t>
      </w:r>
      <w:r>
        <w:rPr>
          <w:rFonts w:ascii="Arial" w:hAnsi="Arial" w:cs="Arial"/>
          <w:b/>
          <w:color w:val="auto"/>
        </w:rPr>
        <w:t xml:space="preserve"> </w:t>
      </w:r>
      <w:r w:rsidRPr="00B70E94">
        <w:rPr>
          <w:rFonts w:ascii="Arial" w:hAnsi="Arial" w:cs="Arial"/>
          <w:b/>
          <w:color w:val="auto"/>
        </w:rPr>
        <w:t>demografice</w:t>
      </w:r>
    </w:p>
    <w:p w:rsidR="0033527B" w:rsidRPr="00B70E94" w:rsidRDefault="0033527B" w:rsidP="0033527B">
      <w:pPr>
        <w:pStyle w:val="Default"/>
        <w:rPr>
          <w:rFonts w:ascii="Arial" w:hAnsi="Arial" w:cs="Arial"/>
          <w:color w:val="auto"/>
        </w:rPr>
      </w:pPr>
    </w:p>
    <w:p w:rsidR="0033527B" w:rsidRPr="00C958FF" w:rsidRDefault="0033527B" w:rsidP="0033527B">
      <w:pPr>
        <w:pStyle w:val="BodyTextIndent"/>
        <w:tabs>
          <w:tab w:val="left" w:pos="2478"/>
        </w:tabs>
        <w:spacing w:after="0" w:line="240" w:lineRule="auto"/>
        <w:ind w:left="0"/>
        <w:jc w:val="both"/>
        <w:rPr>
          <w:rFonts w:ascii="Arial" w:hAnsi="Arial" w:cs="Arial"/>
          <w:b/>
          <w:sz w:val="24"/>
          <w:szCs w:val="24"/>
          <w:lang w:val="ro-RO"/>
        </w:rPr>
      </w:pPr>
      <w:r>
        <w:rPr>
          <w:rFonts w:ascii="Arial" w:hAnsi="Arial" w:cs="Arial"/>
          <w:b/>
          <w:i/>
          <w:sz w:val="24"/>
          <w:szCs w:val="24"/>
          <w:lang w:val="ro-RO"/>
        </w:rPr>
        <w:t xml:space="preserve">      </w:t>
      </w:r>
      <w:r w:rsidRPr="00C958FF">
        <w:rPr>
          <w:rFonts w:ascii="Arial" w:hAnsi="Arial" w:cs="Arial"/>
          <w:b/>
          <w:i/>
          <w:sz w:val="24"/>
          <w:szCs w:val="24"/>
          <w:lang w:val="ro-RO"/>
        </w:rPr>
        <w:t>Modificarea densității populației</w:t>
      </w:r>
    </w:p>
    <w:p w:rsidR="0033527B" w:rsidRPr="00B70E94" w:rsidRDefault="0033527B" w:rsidP="0033527B">
      <w:pPr>
        <w:pStyle w:val="Default"/>
        <w:rPr>
          <w:rFonts w:ascii="Arial" w:hAnsi="Arial" w:cs="Arial"/>
          <w:color w:val="auto"/>
        </w:rPr>
      </w:pPr>
    </w:p>
    <w:p w:rsidR="0033527B" w:rsidRDefault="0033527B" w:rsidP="0033527B">
      <w:pPr>
        <w:spacing w:after="0" w:line="240" w:lineRule="auto"/>
        <w:rPr>
          <w:rFonts w:ascii="Arial" w:hAnsi="Arial" w:cs="Arial"/>
          <w:bCs/>
          <w:color w:val="000000"/>
        </w:rPr>
      </w:pPr>
      <w:r>
        <w:rPr>
          <w:rFonts w:ascii="Arial" w:hAnsi="Arial" w:cs="Arial"/>
          <w:b/>
          <w:bCs/>
        </w:rPr>
        <w:t xml:space="preserve">       </w:t>
      </w:r>
      <w:r w:rsidRPr="00B70E94">
        <w:rPr>
          <w:rFonts w:ascii="Arial" w:hAnsi="Arial" w:cs="Arial"/>
          <w:b/>
          <w:bCs/>
        </w:rPr>
        <w:t xml:space="preserve">Tabelul nr. X.2.- 2  </w:t>
      </w:r>
      <w:r w:rsidRPr="00B70E94">
        <w:rPr>
          <w:rFonts w:ascii="Arial" w:hAnsi="Arial" w:cs="Arial"/>
          <w:lang w:val="it-IT"/>
        </w:rPr>
        <w:t xml:space="preserve">Populaţia </w:t>
      </w:r>
      <w:r w:rsidRPr="003B7CF9">
        <w:rPr>
          <w:rFonts w:ascii="Arial" w:hAnsi="Arial" w:cs="Arial"/>
          <w:lang w:val="it-IT"/>
        </w:rPr>
        <w:t xml:space="preserve">județului </w:t>
      </w:r>
      <w:r w:rsidR="00217620">
        <w:rPr>
          <w:rFonts w:ascii="Arial" w:hAnsi="Arial" w:cs="Arial"/>
          <w:lang w:val="it-IT"/>
        </w:rPr>
        <w:t>Brăila</w:t>
      </w:r>
      <w:r w:rsidRPr="00FC4637">
        <w:rPr>
          <w:rFonts w:ascii="Arial" w:hAnsi="Arial" w:cs="Arial"/>
          <w:color w:val="00B0F0"/>
          <w:lang w:val="it-IT"/>
        </w:rPr>
        <w:t xml:space="preserve"> </w:t>
      </w:r>
      <w:r w:rsidRPr="0028650F">
        <w:rPr>
          <w:rFonts w:ascii="Arial" w:hAnsi="Arial" w:cs="Arial"/>
          <w:b/>
          <w:lang w:val="it-IT"/>
        </w:rPr>
        <w:t>după domiciliu</w:t>
      </w:r>
      <w:r w:rsidRPr="00B70E94">
        <w:rPr>
          <w:rFonts w:ascii="Arial" w:hAnsi="Arial" w:cs="Arial"/>
          <w:lang w:val="it-IT"/>
        </w:rPr>
        <w:t xml:space="preserve">, pe medii </w:t>
      </w:r>
      <w:r w:rsidRPr="00B70E94">
        <w:rPr>
          <w:rFonts w:ascii="Arial" w:hAnsi="Arial" w:cs="Arial"/>
        </w:rPr>
        <w:t xml:space="preserve">în perioada </w:t>
      </w:r>
      <w:r>
        <w:rPr>
          <w:rFonts w:ascii="Arial" w:hAnsi="Arial" w:cs="Arial"/>
        </w:rPr>
        <w:t xml:space="preserve">  </w:t>
      </w:r>
      <w:r w:rsidRPr="003B7CF9">
        <w:rPr>
          <w:rFonts w:ascii="Arial" w:hAnsi="Arial" w:cs="Arial"/>
          <w:b/>
        </w:rPr>
        <w:t>2012 –2016</w:t>
      </w:r>
      <w:r w:rsidRPr="003B7CF9">
        <w:rPr>
          <w:rFonts w:ascii="Arial" w:hAnsi="Arial" w:cs="Arial"/>
          <w:b/>
          <w:lang w:val="it-IT"/>
        </w:rPr>
        <w:t xml:space="preserve"> </w:t>
      </w:r>
      <w:r w:rsidRPr="008E1F89">
        <w:rPr>
          <w:rFonts w:ascii="Arial" w:hAnsi="Arial" w:cs="Arial"/>
          <w:bCs/>
          <w:color w:val="000000"/>
        </w:rPr>
        <w:t xml:space="preserve">                                                                                      </w:t>
      </w:r>
    </w:p>
    <w:p w:rsidR="0033527B" w:rsidRPr="008E1F89" w:rsidRDefault="0033527B" w:rsidP="0033527B">
      <w:pPr>
        <w:spacing w:after="0" w:line="240" w:lineRule="auto"/>
        <w:rPr>
          <w:rFonts w:ascii="Arial" w:hAnsi="Arial" w:cs="Arial"/>
        </w:rPr>
      </w:pPr>
      <w:r>
        <w:rPr>
          <w:rFonts w:ascii="Arial" w:hAnsi="Arial" w:cs="Arial"/>
          <w:bCs/>
          <w:color w:val="000000"/>
        </w:rPr>
        <w:t xml:space="preserve">                                                                             </w:t>
      </w:r>
      <w:r w:rsidRPr="008E1F89">
        <w:rPr>
          <w:rFonts w:ascii="Arial" w:hAnsi="Arial" w:cs="Arial"/>
          <w:bCs/>
          <w:color w:val="000000"/>
        </w:rPr>
        <w:t xml:space="preserve"> Număr persoane</w:t>
      </w:r>
    </w:p>
    <w:tbl>
      <w:tblPr>
        <w:tblW w:w="0" w:type="auto"/>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2"/>
        <w:gridCol w:w="1150"/>
        <w:gridCol w:w="1150"/>
        <w:gridCol w:w="1150"/>
        <w:gridCol w:w="1150"/>
        <w:gridCol w:w="963"/>
      </w:tblGrid>
      <w:tr w:rsidR="0033527B" w:rsidRPr="008E1F89" w:rsidTr="0033527B">
        <w:trPr>
          <w:trHeight w:val="536"/>
          <w:jc w:val="center"/>
        </w:trPr>
        <w:tc>
          <w:tcPr>
            <w:tcW w:w="2002" w:type="dxa"/>
            <w:shd w:val="clear" w:color="auto" w:fill="F2DBDB" w:themeFill="accent2"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 xml:space="preserve">Judeţul </w:t>
            </w:r>
            <w:r w:rsidR="00217620">
              <w:rPr>
                <w:rFonts w:ascii="Arial" w:hAnsi="Arial" w:cs="Arial"/>
                <w:b/>
                <w:bCs/>
                <w:color w:val="000000"/>
                <w:sz w:val="24"/>
                <w:szCs w:val="24"/>
              </w:rPr>
              <w:t>Brăila</w:t>
            </w:r>
          </w:p>
        </w:tc>
        <w:tc>
          <w:tcPr>
            <w:tcW w:w="1150" w:type="dxa"/>
            <w:shd w:val="clear" w:color="auto" w:fill="F2DBDB" w:themeFill="accent2"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2012</w:t>
            </w:r>
          </w:p>
        </w:tc>
        <w:tc>
          <w:tcPr>
            <w:tcW w:w="1150" w:type="dxa"/>
            <w:shd w:val="clear" w:color="auto" w:fill="F2DBDB" w:themeFill="accent2"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2013</w:t>
            </w:r>
          </w:p>
        </w:tc>
        <w:tc>
          <w:tcPr>
            <w:tcW w:w="1150" w:type="dxa"/>
            <w:shd w:val="clear" w:color="auto" w:fill="F2DBDB" w:themeFill="accent2"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2014</w:t>
            </w:r>
          </w:p>
        </w:tc>
        <w:tc>
          <w:tcPr>
            <w:tcW w:w="1150" w:type="dxa"/>
            <w:shd w:val="clear" w:color="auto" w:fill="F2DBDB" w:themeFill="accent2" w:themeFillTint="33"/>
            <w:vAlign w:val="center"/>
          </w:tcPr>
          <w:p w:rsidR="0033527B" w:rsidRPr="008E1F89" w:rsidRDefault="0033527B" w:rsidP="0033527B">
            <w:pPr>
              <w:spacing w:after="0" w:line="240" w:lineRule="auto"/>
              <w:jc w:val="center"/>
              <w:rPr>
                <w:rFonts w:ascii="Arial" w:hAnsi="Arial" w:cs="Arial"/>
                <w:b/>
                <w:bCs/>
                <w:color w:val="000000"/>
                <w:sz w:val="24"/>
                <w:szCs w:val="24"/>
              </w:rPr>
            </w:pPr>
            <w:r w:rsidRPr="008E1F89">
              <w:rPr>
                <w:rFonts w:ascii="Arial" w:hAnsi="Arial" w:cs="Arial"/>
                <w:b/>
                <w:bCs/>
                <w:color w:val="000000"/>
                <w:sz w:val="24"/>
                <w:szCs w:val="24"/>
              </w:rPr>
              <w:t>2015</w:t>
            </w:r>
          </w:p>
        </w:tc>
        <w:tc>
          <w:tcPr>
            <w:tcW w:w="963" w:type="dxa"/>
            <w:shd w:val="clear" w:color="auto" w:fill="F2DBDB" w:themeFill="accent2" w:themeFillTint="33"/>
            <w:vAlign w:val="center"/>
          </w:tcPr>
          <w:p w:rsidR="0033527B" w:rsidRPr="003B7CF9" w:rsidRDefault="0033527B" w:rsidP="0033527B">
            <w:pPr>
              <w:spacing w:after="0" w:line="240" w:lineRule="auto"/>
              <w:jc w:val="center"/>
              <w:rPr>
                <w:rFonts w:ascii="Arial" w:hAnsi="Arial" w:cs="Arial"/>
                <w:b/>
                <w:bCs/>
                <w:sz w:val="24"/>
                <w:szCs w:val="24"/>
              </w:rPr>
            </w:pPr>
            <w:r w:rsidRPr="003B7CF9">
              <w:rPr>
                <w:rFonts w:ascii="Arial" w:hAnsi="Arial" w:cs="Arial"/>
                <w:b/>
                <w:bCs/>
                <w:sz w:val="24"/>
                <w:szCs w:val="24"/>
              </w:rPr>
              <w:t>2016</w:t>
            </w:r>
          </w:p>
        </w:tc>
      </w:tr>
      <w:tr w:rsidR="0033527B" w:rsidRPr="008E1F89" w:rsidTr="0033527B">
        <w:trPr>
          <w:trHeight w:val="300"/>
          <w:jc w:val="center"/>
        </w:trPr>
        <w:tc>
          <w:tcPr>
            <w:tcW w:w="2002" w:type="dxa"/>
            <w:shd w:val="clear" w:color="auto" w:fill="EAF1DD" w:themeFill="accent3" w:themeFillTint="33"/>
            <w:vAlign w:val="center"/>
          </w:tcPr>
          <w:p w:rsidR="0033527B" w:rsidRPr="008E1F89" w:rsidRDefault="0033527B" w:rsidP="0033527B">
            <w:pPr>
              <w:spacing w:after="0" w:line="240" w:lineRule="auto"/>
              <w:rPr>
                <w:rFonts w:ascii="Arial" w:hAnsi="Arial" w:cs="Arial"/>
                <w:b/>
                <w:bCs/>
                <w:color w:val="000000"/>
                <w:sz w:val="24"/>
                <w:szCs w:val="24"/>
              </w:rPr>
            </w:pPr>
            <w:r w:rsidRPr="008E1F89">
              <w:rPr>
                <w:rFonts w:ascii="Arial" w:hAnsi="Arial" w:cs="Arial"/>
                <w:b/>
                <w:bCs/>
                <w:color w:val="000000"/>
                <w:sz w:val="24"/>
                <w:szCs w:val="24"/>
              </w:rPr>
              <w:t>Total populaţie</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367771</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364644</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361218</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b/>
                <w:color w:val="000000"/>
                <w:sz w:val="24"/>
                <w:szCs w:val="24"/>
              </w:rPr>
            </w:pPr>
            <w:r w:rsidRPr="008E1F89">
              <w:rPr>
                <w:rFonts w:ascii="Arial" w:hAnsi="Arial" w:cs="Arial"/>
                <w:b/>
                <w:color w:val="000000"/>
                <w:sz w:val="24"/>
                <w:szCs w:val="24"/>
              </w:rPr>
              <w:t>357752</w:t>
            </w:r>
          </w:p>
        </w:tc>
        <w:tc>
          <w:tcPr>
            <w:tcW w:w="963" w:type="dxa"/>
            <w:shd w:val="clear" w:color="auto" w:fill="EAF1DD" w:themeFill="accent3" w:themeFillTint="33"/>
            <w:vAlign w:val="bottom"/>
          </w:tcPr>
          <w:p w:rsidR="0033527B" w:rsidRPr="003B7CF9" w:rsidRDefault="0033527B" w:rsidP="0033527B">
            <w:pPr>
              <w:spacing w:after="0" w:line="240" w:lineRule="auto"/>
              <w:rPr>
                <w:rFonts w:ascii="Arial" w:hAnsi="Arial" w:cs="Arial"/>
                <w:b/>
              </w:rPr>
            </w:pPr>
            <w:r w:rsidRPr="003B7CF9">
              <w:rPr>
                <w:rFonts w:ascii="Arial" w:hAnsi="Arial" w:cs="Arial"/>
                <w:b/>
              </w:rPr>
              <w:t>354275</w:t>
            </w:r>
          </w:p>
        </w:tc>
      </w:tr>
      <w:tr w:rsidR="0033527B" w:rsidRPr="008E1F89" w:rsidTr="0033527B">
        <w:trPr>
          <w:trHeight w:val="300"/>
          <w:jc w:val="center"/>
        </w:trPr>
        <w:tc>
          <w:tcPr>
            <w:tcW w:w="2002" w:type="dxa"/>
            <w:shd w:val="clear" w:color="auto" w:fill="EAF1DD" w:themeFill="accent3"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Urban</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241431</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239119</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236557</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234055</w:t>
            </w:r>
          </w:p>
        </w:tc>
        <w:tc>
          <w:tcPr>
            <w:tcW w:w="963" w:type="dxa"/>
            <w:shd w:val="clear" w:color="auto" w:fill="EAF1DD" w:themeFill="accent3" w:themeFillTint="33"/>
            <w:vAlign w:val="bottom"/>
          </w:tcPr>
          <w:p w:rsidR="0033527B" w:rsidRPr="003B7CF9" w:rsidRDefault="0033527B" w:rsidP="0033527B">
            <w:pPr>
              <w:spacing w:after="0" w:line="240" w:lineRule="auto"/>
              <w:rPr>
                <w:rFonts w:ascii="Arial" w:hAnsi="Arial" w:cs="Arial"/>
              </w:rPr>
            </w:pPr>
            <w:r w:rsidRPr="003B7CF9">
              <w:rPr>
                <w:rFonts w:ascii="Arial" w:hAnsi="Arial" w:cs="Arial"/>
              </w:rPr>
              <w:t>231312</w:t>
            </w:r>
          </w:p>
        </w:tc>
      </w:tr>
      <w:tr w:rsidR="0033527B" w:rsidRPr="008E1F89" w:rsidTr="0033527B">
        <w:trPr>
          <w:trHeight w:val="300"/>
          <w:jc w:val="center"/>
        </w:trPr>
        <w:tc>
          <w:tcPr>
            <w:tcW w:w="2002" w:type="dxa"/>
            <w:shd w:val="clear" w:color="auto" w:fill="EAF1DD" w:themeFill="accent3" w:themeFillTint="33"/>
            <w:vAlign w:val="center"/>
          </w:tcPr>
          <w:p w:rsidR="0033527B" w:rsidRPr="008E1F89" w:rsidRDefault="0033527B" w:rsidP="0033527B">
            <w:pPr>
              <w:spacing w:after="0" w:line="240" w:lineRule="auto"/>
              <w:rPr>
                <w:rFonts w:ascii="Arial" w:hAnsi="Arial" w:cs="Arial"/>
                <w:bCs/>
                <w:color w:val="000000"/>
                <w:sz w:val="24"/>
                <w:szCs w:val="24"/>
              </w:rPr>
            </w:pPr>
            <w:r w:rsidRPr="008E1F89">
              <w:rPr>
                <w:rFonts w:ascii="Arial" w:hAnsi="Arial" w:cs="Arial"/>
                <w:bCs/>
                <w:color w:val="000000"/>
                <w:sz w:val="24"/>
                <w:szCs w:val="24"/>
              </w:rPr>
              <w:t>Rural</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126340</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125525</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124661</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sidRPr="008E1F89">
              <w:rPr>
                <w:rFonts w:ascii="Arial" w:hAnsi="Arial" w:cs="Arial"/>
                <w:color w:val="000000"/>
                <w:sz w:val="24"/>
                <w:szCs w:val="24"/>
              </w:rPr>
              <w:t>123697</w:t>
            </w:r>
          </w:p>
        </w:tc>
        <w:tc>
          <w:tcPr>
            <w:tcW w:w="963" w:type="dxa"/>
            <w:shd w:val="clear" w:color="auto" w:fill="EAF1DD" w:themeFill="accent3" w:themeFillTint="33"/>
            <w:vAlign w:val="bottom"/>
          </w:tcPr>
          <w:p w:rsidR="0033527B" w:rsidRPr="003B7CF9" w:rsidRDefault="0033527B" w:rsidP="0033527B">
            <w:pPr>
              <w:spacing w:after="0" w:line="240" w:lineRule="auto"/>
              <w:rPr>
                <w:rFonts w:ascii="Arial" w:hAnsi="Arial" w:cs="Arial"/>
              </w:rPr>
            </w:pPr>
            <w:r w:rsidRPr="003B7CF9">
              <w:rPr>
                <w:rFonts w:ascii="Arial" w:hAnsi="Arial" w:cs="Arial"/>
              </w:rPr>
              <w:t>122963</w:t>
            </w:r>
          </w:p>
        </w:tc>
      </w:tr>
      <w:tr w:rsidR="0033527B" w:rsidRPr="008E1F89" w:rsidTr="0033527B">
        <w:trPr>
          <w:trHeight w:val="300"/>
          <w:jc w:val="center"/>
        </w:trPr>
        <w:tc>
          <w:tcPr>
            <w:tcW w:w="2002" w:type="dxa"/>
            <w:shd w:val="clear" w:color="auto" w:fill="EAF1DD" w:themeFill="accent3" w:themeFillTint="33"/>
            <w:vAlign w:val="center"/>
          </w:tcPr>
          <w:p w:rsidR="0033527B" w:rsidRPr="008E1F89" w:rsidRDefault="0033527B" w:rsidP="0033527B">
            <w:pPr>
              <w:spacing w:after="0" w:line="240" w:lineRule="auto"/>
              <w:rPr>
                <w:rFonts w:ascii="Arial" w:hAnsi="Arial" w:cs="Arial"/>
                <w:bCs/>
                <w:color w:val="000000"/>
                <w:sz w:val="24"/>
                <w:szCs w:val="24"/>
              </w:rPr>
            </w:pPr>
            <w:r w:rsidRPr="00317CEC">
              <w:rPr>
                <w:rFonts w:ascii="Arial" w:hAnsi="Arial" w:cs="Arial"/>
                <w:b/>
                <w:sz w:val="24"/>
                <w:szCs w:val="24"/>
              </w:rPr>
              <w:t>Locuitori /km</w:t>
            </w:r>
            <w:r w:rsidRPr="00317CEC">
              <w:rPr>
                <w:rFonts w:ascii="Arial" w:hAnsi="Arial" w:cs="Arial"/>
                <w:b/>
                <w:sz w:val="24"/>
                <w:szCs w:val="24"/>
                <w:vertAlign w:val="superscript"/>
              </w:rPr>
              <w:t>2</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Pr>
                <w:rFonts w:ascii="Arial" w:hAnsi="Arial" w:cs="Arial"/>
                <w:color w:val="000000"/>
                <w:sz w:val="24"/>
                <w:szCs w:val="24"/>
              </w:rPr>
              <w:t>77,1</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Pr>
                <w:rFonts w:ascii="Arial" w:hAnsi="Arial" w:cs="Arial"/>
                <w:color w:val="000000"/>
                <w:sz w:val="24"/>
                <w:szCs w:val="24"/>
              </w:rPr>
              <w:t>76,5</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Pr>
                <w:rFonts w:ascii="Arial" w:hAnsi="Arial" w:cs="Arial"/>
                <w:color w:val="000000"/>
                <w:sz w:val="24"/>
                <w:szCs w:val="24"/>
              </w:rPr>
              <w:t>75,7</w:t>
            </w:r>
          </w:p>
        </w:tc>
        <w:tc>
          <w:tcPr>
            <w:tcW w:w="1150" w:type="dxa"/>
            <w:shd w:val="clear" w:color="auto" w:fill="EAF1DD" w:themeFill="accent3" w:themeFillTint="33"/>
            <w:vAlign w:val="center"/>
          </w:tcPr>
          <w:p w:rsidR="0033527B" w:rsidRPr="008E1F89" w:rsidRDefault="0033527B" w:rsidP="0033527B">
            <w:pPr>
              <w:spacing w:after="0" w:line="240" w:lineRule="auto"/>
              <w:rPr>
                <w:rFonts w:ascii="Arial" w:hAnsi="Arial" w:cs="Arial"/>
                <w:color w:val="000000"/>
                <w:sz w:val="24"/>
                <w:szCs w:val="24"/>
              </w:rPr>
            </w:pPr>
            <w:r>
              <w:rPr>
                <w:rFonts w:ascii="Arial" w:hAnsi="Arial" w:cs="Arial"/>
                <w:color w:val="000000"/>
                <w:sz w:val="24"/>
                <w:szCs w:val="24"/>
              </w:rPr>
              <w:t>75,0</w:t>
            </w:r>
          </w:p>
        </w:tc>
        <w:tc>
          <w:tcPr>
            <w:tcW w:w="963" w:type="dxa"/>
            <w:shd w:val="clear" w:color="auto" w:fill="EAF1DD" w:themeFill="accent3" w:themeFillTint="33"/>
            <w:vAlign w:val="bottom"/>
          </w:tcPr>
          <w:p w:rsidR="0033527B" w:rsidRPr="003B7CF9" w:rsidRDefault="0033527B" w:rsidP="0033527B">
            <w:pPr>
              <w:spacing w:after="0" w:line="240" w:lineRule="auto"/>
              <w:rPr>
                <w:rFonts w:ascii="Arial" w:hAnsi="Arial" w:cs="Arial"/>
              </w:rPr>
            </w:pPr>
            <w:r>
              <w:rPr>
                <w:rFonts w:ascii="Arial" w:hAnsi="Arial" w:cs="Arial"/>
              </w:rPr>
              <w:t>74,3</w:t>
            </w:r>
          </w:p>
        </w:tc>
      </w:tr>
    </w:tbl>
    <w:p w:rsidR="0033527B" w:rsidRPr="0028650F" w:rsidRDefault="0033527B" w:rsidP="0033527B">
      <w:pPr>
        <w:pStyle w:val="Default"/>
        <w:rPr>
          <w:rFonts w:ascii="Arial" w:hAnsi="Arial" w:cs="Arial"/>
          <w:b/>
          <w:color w:val="auto"/>
          <w:highlight w:val="yellow"/>
        </w:rPr>
      </w:pPr>
      <w:r>
        <w:rPr>
          <w:rFonts w:ascii="Arial" w:hAnsi="Arial" w:cs="Arial"/>
          <w:color w:val="auto"/>
          <w:sz w:val="20"/>
          <w:szCs w:val="20"/>
          <w:lang w:val="ro-RO"/>
        </w:rPr>
        <w:t xml:space="preserve">               </w:t>
      </w:r>
      <w:r w:rsidRPr="0028650F">
        <w:rPr>
          <w:rFonts w:ascii="Arial" w:hAnsi="Arial" w:cs="Arial"/>
          <w:b/>
          <w:color w:val="auto"/>
          <w:sz w:val="20"/>
          <w:szCs w:val="20"/>
          <w:lang w:val="ro-RO"/>
        </w:rPr>
        <w:t xml:space="preserve">- la o suprafață a  județului </w:t>
      </w:r>
      <w:r w:rsidR="00217620">
        <w:rPr>
          <w:rFonts w:ascii="Arial" w:hAnsi="Arial" w:cs="Arial"/>
          <w:b/>
          <w:color w:val="auto"/>
          <w:sz w:val="20"/>
          <w:szCs w:val="20"/>
          <w:lang w:val="ro-RO"/>
        </w:rPr>
        <w:t>Brăila</w:t>
      </w:r>
      <w:r w:rsidRPr="0028650F">
        <w:rPr>
          <w:rFonts w:ascii="Arial" w:hAnsi="Arial" w:cs="Arial"/>
          <w:b/>
          <w:color w:val="auto"/>
          <w:sz w:val="20"/>
          <w:szCs w:val="20"/>
          <w:lang w:val="ro-RO"/>
        </w:rPr>
        <w:t xml:space="preserve"> de 4.766 km</w:t>
      </w:r>
      <w:r w:rsidRPr="0028650F">
        <w:rPr>
          <w:rFonts w:ascii="Arial" w:hAnsi="Arial" w:cs="Arial"/>
          <w:b/>
          <w:color w:val="auto"/>
          <w:sz w:val="20"/>
          <w:szCs w:val="20"/>
          <w:vertAlign w:val="superscript"/>
          <w:lang w:val="ro-RO"/>
        </w:rPr>
        <w:t>2</w:t>
      </w:r>
    </w:p>
    <w:p w:rsidR="0033527B" w:rsidRPr="00EC34C0" w:rsidRDefault="0033527B" w:rsidP="0033527B">
      <w:pPr>
        <w:spacing w:before="120"/>
        <w:ind w:firstLine="426"/>
        <w:jc w:val="both"/>
        <w:rPr>
          <w:rFonts w:ascii="Arial" w:hAnsi="Arial" w:cs="Arial"/>
          <w:sz w:val="20"/>
          <w:szCs w:val="20"/>
        </w:rPr>
      </w:pPr>
      <w:r w:rsidRPr="00EC34C0">
        <w:rPr>
          <w:rFonts w:ascii="Arial" w:hAnsi="Arial" w:cs="Arial"/>
          <w:b/>
          <w:sz w:val="20"/>
          <w:szCs w:val="20"/>
        </w:rPr>
        <w:t>Notă</w:t>
      </w:r>
      <w:r w:rsidRPr="00EC34C0">
        <w:rPr>
          <w:rFonts w:ascii="Arial" w:hAnsi="Arial" w:cs="Arial"/>
          <w:sz w:val="20"/>
          <w:szCs w:val="20"/>
        </w:rPr>
        <w:t xml:space="preserve">: Populaţia după domiciliu reprezintă numărul persoanelor cu cetăţenie româna şi domiciliu pe teritoriul României, delimitat după criterii administrativ-teritoriale. Domiciliul persoanei este adresa la care aceasta declara că are locuinţa principală, trecută în actul </w:t>
      </w:r>
      <w:r w:rsidRPr="00EC34C0">
        <w:rPr>
          <w:rFonts w:ascii="Arial" w:hAnsi="Arial" w:cs="Arial"/>
          <w:i/>
          <w:sz w:val="20"/>
          <w:szCs w:val="20"/>
        </w:rPr>
        <w:t>de identitate</w:t>
      </w:r>
      <w:r w:rsidRPr="00EC34C0">
        <w:rPr>
          <w:rFonts w:ascii="Arial" w:hAnsi="Arial" w:cs="Arial"/>
          <w:sz w:val="20"/>
          <w:szCs w:val="20"/>
        </w:rPr>
        <w:t xml:space="preserve"> (CI, BI), aşa cum este luată în evidenţa organelor administrative ale statului. in stabilirea valorii acestui indicator nu se ţine cont de reşedinţa obişnuită, de perioada şi/sau motivul absenţei de la domiciliu.  Datele sunt disponibile în profil teritorial până la nivel de localitate (municipiu, oraş, comună).</w:t>
      </w:r>
      <w:r w:rsidRPr="005D6606">
        <w:rPr>
          <w:rFonts w:ascii="Arial" w:hAnsi="Arial" w:cs="Arial"/>
          <w:bCs/>
          <w:sz w:val="20"/>
          <w:szCs w:val="20"/>
        </w:rPr>
        <w:t xml:space="preserve">Notă: Informații furnizate de către Direcția Regională de Statistică </w:t>
      </w:r>
      <w:r w:rsidR="00217620">
        <w:rPr>
          <w:rFonts w:ascii="Arial" w:hAnsi="Arial" w:cs="Arial"/>
          <w:bCs/>
          <w:sz w:val="20"/>
          <w:szCs w:val="20"/>
        </w:rPr>
        <w:t>Brăila</w:t>
      </w:r>
      <w:r>
        <w:rPr>
          <w:rFonts w:ascii="Arial" w:hAnsi="Arial" w:cs="Arial"/>
          <w:bCs/>
          <w:sz w:val="20"/>
          <w:szCs w:val="20"/>
        </w:rPr>
        <w:t>.</w:t>
      </w:r>
    </w:p>
    <w:p w:rsidR="004E720D" w:rsidRDefault="004E720D" w:rsidP="0033527B">
      <w:pPr>
        <w:pStyle w:val="BodyTextIndent"/>
        <w:tabs>
          <w:tab w:val="left" w:pos="2478"/>
        </w:tabs>
        <w:spacing w:after="0" w:line="240" w:lineRule="auto"/>
        <w:ind w:left="0"/>
        <w:jc w:val="both"/>
        <w:rPr>
          <w:rFonts w:ascii="Arial" w:hAnsi="Arial" w:cs="Arial"/>
          <w:b/>
          <w:bCs/>
          <w:color w:val="000000"/>
          <w:sz w:val="24"/>
          <w:szCs w:val="24"/>
          <w:lang w:val="ro-RO"/>
        </w:rPr>
      </w:pPr>
    </w:p>
    <w:p w:rsidR="0033527B" w:rsidRDefault="0033527B" w:rsidP="0033527B">
      <w:pPr>
        <w:tabs>
          <w:tab w:val="left" w:pos="2160"/>
          <w:tab w:val="left" w:leader="dot" w:pos="8820"/>
        </w:tabs>
        <w:ind w:right="31" w:firstLine="851"/>
        <w:jc w:val="both"/>
        <w:rPr>
          <w:rFonts w:ascii="Arial" w:hAnsi="Arial" w:cs="Arial"/>
          <w:color w:val="FF0000"/>
          <w:sz w:val="24"/>
          <w:szCs w:val="24"/>
        </w:rPr>
      </w:pPr>
      <w:r w:rsidRPr="006F5970">
        <w:rPr>
          <w:rFonts w:ascii="Arial" w:hAnsi="Arial" w:cs="Arial"/>
          <w:noProof/>
          <w:sz w:val="24"/>
          <w:szCs w:val="24"/>
          <w:lang w:eastAsia="ro-RO"/>
        </w:rPr>
        <w:drawing>
          <wp:inline distT="0" distB="0" distL="0" distR="0">
            <wp:extent cx="4820920" cy="2000250"/>
            <wp:effectExtent l="19050" t="0" r="17780" b="0"/>
            <wp:docPr id="2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4E720D" w:rsidRPr="004E720D" w:rsidRDefault="004E720D" w:rsidP="004E720D">
      <w:pPr>
        <w:pStyle w:val="BodyTextIndent"/>
        <w:tabs>
          <w:tab w:val="left" w:pos="2478"/>
        </w:tabs>
        <w:spacing w:after="0" w:line="240" w:lineRule="auto"/>
        <w:ind w:left="0"/>
        <w:jc w:val="center"/>
        <w:rPr>
          <w:rFonts w:ascii="Arial" w:hAnsi="Arial" w:cs="Arial"/>
          <w:color w:val="000000"/>
          <w:sz w:val="24"/>
          <w:szCs w:val="24"/>
          <w:lang w:val="ro-RO"/>
        </w:rPr>
      </w:pPr>
      <w:r w:rsidRPr="004E720D">
        <w:rPr>
          <w:rFonts w:ascii="Arial" w:hAnsi="Arial" w:cs="Arial"/>
          <w:bCs/>
          <w:color w:val="000000"/>
          <w:sz w:val="24"/>
          <w:szCs w:val="24"/>
          <w:lang w:val="ro-RO"/>
        </w:rPr>
        <w:t>Figura nr. X.2. - 1</w:t>
      </w:r>
    </w:p>
    <w:p w:rsidR="004E720D" w:rsidRPr="004E720D" w:rsidRDefault="004E720D" w:rsidP="004E720D">
      <w:pPr>
        <w:tabs>
          <w:tab w:val="left" w:pos="2160"/>
          <w:tab w:val="left" w:leader="dot" w:pos="8820"/>
        </w:tabs>
        <w:ind w:right="31" w:firstLine="851"/>
        <w:jc w:val="center"/>
        <w:rPr>
          <w:rFonts w:ascii="Arial" w:hAnsi="Arial" w:cs="Arial"/>
          <w:color w:val="FF0000"/>
          <w:sz w:val="24"/>
          <w:szCs w:val="24"/>
        </w:rPr>
      </w:pPr>
    </w:p>
    <w:p w:rsidR="0033527B" w:rsidRDefault="0033527B" w:rsidP="004E720D">
      <w:pPr>
        <w:pStyle w:val="BodyTextIndent2"/>
        <w:spacing w:after="0" w:line="240" w:lineRule="auto"/>
        <w:ind w:left="0"/>
        <w:jc w:val="center"/>
        <w:rPr>
          <w:rFonts w:ascii="Arial" w:hAnsi="Arial" w:cs="Arial"/>
          <w:lang w:val="ro-RO"/>
        </w:rPr>
      </w:pPr>
      <w:r w:rsidRPr="004E720D">
        <w:rPr>
          <w:rFonts w:ascii="Arial" w:hAnsi="Arial" w:cs="Arial"/>
          <w:bCs/>
        </w:rPr>
        <w:t xml:space="preserve">Tabelul nr. X.2.- 3  </w:t>
      </w:r>
      <w:r w:rsidRPr="004E720D">
        <w:rPr>
          <w:rFonts w:ascii="Arial" w:hAnsi="Arial" w:cs="Arial"/>
          <w:lang w:val="ro-RO"/>
        </w:rPr>
        <w:t xml:space="preserve">- Evoluţia populaţiei rezidente a judeţului </w:t>
      </w:r>
      <w:r w:rsidR="00217620" w:rsidRPr="004E720D">
        <w:rPr>
          <w:rFonts w:ascii="Arial" w:hAnsi="Arial" w:cs="Arial"/>
          <w:lang w:val="ro-RO"/>
        </w:rPr>
        <w:t>Brăila</w:t>
      </w:r>
      <w:r w:rsidRPr="004E720D">
        <w:rPr>
          <w:rFonts w:ascii="Arial" w:hAnsi="Arial" w:cs="Arial"/>
          <w:lang w:val="ro-RO"/>
        </w:rPr>
        <w:t xml:space="preserve"> pe medii (urban și rural) în perioada 2012– 2016</w:t>
      </w:r>
    </w:p>
    <w:p w:rsidR="00880E32" w:rsidRDefault="00880E32" w:rsidP="004E720D">
      <w:pPr>
        <w:pStyle w:val="BodyTextIndent2"/>
        <w:spacing w:after="0" w:line="240" w:lineRule="auto"/>
        <w:ind w:left="0"/>
        <w:jc w:val="center"/>
        <w:rPr>
          <w:rFonts w:ascii="Arial" w:hAnsi="Arial" w:cs="Arial"/>
          <w:lang w:val="ro-RO"/>
        </w:rPr>
      </w:pPr>
    </w:p>
    <w:p w:rsidR="00880E32" w:rsidRPr="004E720D" w:rsidRDefault="00880E32" w:rsidP="004E720D">
      <w:pPr>
        <w:pStyle w:val="BodyTextIndent2"/>
        <w:spacing w:after="0" w:line="240" w:lineRule="auto"/>
        <w:ind w:left="0"/>
        <w:jc w:val="center"/>
        <w:rPr>
          <w:rFonts w:ascii="Arial" w:hAnsi="Arial" w:cs="Arial"/>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018"/>
        <w:gridCol w:w="1355"/>
        <w:gridCol w:w="1304"/>
        <w:gridCol w:w="1247"/>
      </w:tblGrid>
      <w:tr w:rsidR="0033527B" w:rsidRPr="00317CEC" w:rsidTr="0033527B">
        <w:trPr>
          <w:trHeight w:val="611"/>
          <w:jc w:val="center"/>
        </w:trPr>
        <w:tc>
          <w:tcPr>
            <w:tcW w:w="1001" w:type="dxa"/>
            <w:tcBorders>
              <w:bottom w:val="single" w:sz="4" w:space="0" w:color="auto"/>
            </w:tcBorders>
            <w:shd w:val="clear" w:color="auto" w:fill="D9D9D9"/>
            <w:vAlign w:val="center"/>
          </w:tcPr>
          <w:p w:rsidR="0033527B" w:rsidRPr="00317CEC" w:rsidRDefault="0033527B" w:rsidP="0033527B">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Anul</w:t>
            </w:r>
          </w:p>
        </w:tc>
        <w:tc>
          <w:tcPr>
            <w:tcW w:w="1018" w:type="dxa"/>
            <w:tcBorders>
              <w:bottom w:val="single" w:sz="4" w:space="0" w:color="auto"/>
            </w:tcBorders>
            <w:shd w:val="clear" w:color="auto" w:fill="D9D9D9"/>
            <w:vAlign w:val="center"/>
          </w:tcPr>
          <w:p w:rsidR="0033527B" w:rsidRPr="00317CEC" w:rsidRDefault="0033527B" w:rsidP="0033527B">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Total</w:t>
            </w:r>
          </w:p>
        </w:tc>
        <w:tc>
          <w:tcPr>
            <w:tcW w:w="1355" w:type="dxa"/>
            <w:tcBorders>
              <w:bottom w:val="single" w:sz="4" w:space="0" w:color="auto"/>
            </w:tcBorders>
            <w:shd w:val="clear" w:color="auto" w:fill="D9D9D9"/>
            <w:vAlign w:val="center"/>
          </w:tcPr>
          <w:p w:rsidR="0033527B" w:rsidRPr="00317CEC" w:rsidRDefault="0033527B" w:rsidP="0033527B">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Urban</w:t>
            </w:r>
          </w:p>
        </w:tc>
        <w:tc>
          <w:tcPr>
            <w:tcW w:w="1304" w:type="dxa"/>
            <w:tcBorders>
              <w:bottom w:val="single" w:sz="4" w:space="0" w:color="auto"/>
            </w:tcBorders>
            <w:shd w:val="clear" w:color="auto" w:fill="D9D9D9"/>
            <w:vAlign w:val="center"/>
          </w:tcPr>
          <w:p w:rsidR="0033527B" w:rsidRPr="00317CEC" w:rsidRDefault="0033527B" w:rsidP="0033527B">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Rural</w:t>
            </w:r>
          </w:p>
        </w:tc>
        <w:tc>
          <w:tcPr>
            <w:tcW w:w="1247" w:type="dxa"/>
            <w:tcBorders>
              <w:bottom w:val="single" w:sz="4" w:space="0" w:color="auto"/>
            </w:tcBorders>
            <w:shd w:val="clear" w:color="auto" w:fill="D9D9D9"/>
            <w:vAlign w:val="center"/>
          </w:tcPr>
          <w:p w:rsidR="0033527B" w:rsidRPr="00317CEC" w:rsidRDefault="0033527B" w:rsidP="0033527B">
            <w:pPr>
              <w:tabs>
                <w:tab w:val="left" w:pos="2160"/>
                <w:tab w:val="left" w:leader="dot" w:pos="8820"/>
              </w:tabs>
              <w:spacing w:after="0" w:line="240" w:lineRule="auto"/>
              <w:rPr>
                <w:rFonts w:ascii="Arial" w:hAnsi="Arial" w:cs="Arial"/>
                <w:b/>
                <w:sz w:val="24"/>
                <w:szCs w:val="24"/>
              </w:rPr>
            </w:pPr>
            <w:r w:rsidRPr="00317CEC">
              <w:rPr>
                <w:rFonts w:ascii="Arial" w:hAnsi="Arial" w:cs="Arial"/>
                <w:b/>
                <w:sz w:val="24"/>
                <w:szCs w:val="24"/>
              </w:rPr>
              <w:t>Locuitori /km</w:t>
            </w:r>
            <w:r w:rsidRPr="00317CEC">
              <w:rPr>
                <w:rFonts w:ascii="Arial" w:hAnsi="Arial" w:cs="Arial"/>
                <w:b/>
                <w:sz w:val="24"/>
                <w:szCs w:val="24"/>
                <w:vertAlign w:val="superscript"/>
              </w:rPr>
              <w:t>2</w:t>
            </w:r>
          </w:p>
        </w:tc>
      </w:tr>
      <w:tr w:rsidR="0033527B" w:rsidRPr="00317CEC" w:rsidTr="0033527B">
        <w:trPr>
          <w:trHeight w:val="270"/>
          <w:jc w:val="center"/>
        </w:trPr>
        <w:tc>
          <w:tcPr>
            <w:tcW w:w="1001" w:type="dxa"/>
            <w:shd w:val="clear" w:color="auto" w:fill="FFFFDD"/>
            <w:vAlign w:val="center"/>
          </w:tcPr>
          <w:p w:rsidR="0033527B" w:rsidRPr="005C0C78" w:rsidRDefault="0033527B" w:rsidP="0033527B">
            <w:pPr>
              <w:spacing w:after="0" w:line="240" w:lineRule="auto"/>
              <w:rPr>
                <w:rFonts w:ascii="Arial" w:hAnsi="Arial" w:cs="Arial"/>
                <w:b/>
                <w:sz w:val="24"/>
                <w:szCs w:val="24"/>
              </w:rPr>
            </w:pPr>
            <w:r w:rsidRPr="005C0C78">
              <w:rPr>
                <w:rFonts w:ascii="Arial" w:hAnsi="Arial" w:cs="Arial"/>
                <w:b/>
                <w:sz w:val="24"/>
                <w:szCs w:val="24"/>
              </w:rPr>
              <w:lastRenderedPageBreak/>
              <w:t>2012</w:t>
            </w:r>
          </w:p>
        </w:tc>
        <w:tc>
          <w:tcPr>
            <w:tcW w:w="1018"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319674</w:t>
            </w:r>
          </w:p>
        </w:tc>
        <w:tc>
          <w:tcPr>
            <w:tcW w:w="1355"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199634</w:t>
            </w:r>
          </w:p>
        </w:tc>
        <w:tc>
          <w:tcPr>
            <w:tcW w:w="1304"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120040</w:t>
            </w:r>
          </w:p>
        </w:tc>
        <w:tc>
          <w:tcPr>
            <w:tcW w:w="1247"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67,08</w:t>
            </w:r>
          </w:p>
        </w:tc>
      </w:tr>
      <w:tr w:rsidR="0033527B" w:rsidRPr="00317CEC" w:rsidTr="0033527B">
        <w:trPr>
          <w:trHeight w:val="270"/>
          <w:jc w:val="center"/>
        </w:trPr>
        <w:tc>
          <w:tcPr>
            <w:tcW w:w="1001" w:type="dxa"/>
            <w:shd w:val="clear" w:color="auto" w:fill="FFFFDD"/>
            <w:vAlign w:val="center"/>
          </w:tcPr>
          <w:p w:rsidR="0033527B" w:rsidRPr="005C0C78" w:rsidRDefault="0033527B" w:rsidP="0033527B">
            <w:pPr>
              <w:spacing w:after="0" w:line="240" w:lineRule="auto"/>
              <w:rPr>
                <w:rFonts w:ascii="Arial" w:hAnsi="Arial" w:cs="Arial"/>
                <w:b/>
                <w:sz w:val="24"/>
                <w:szCs w:val="24"/>
              </w:rPr>
            </w:pPr>
            <w:r w:rsidRPr="005C0C78">
              <w:rPr>
                <w:rFonts w:ascii="Arial" w:hAnsi="Arial" w:cs="Arial"/>
                <w:b/>
                <w:sz w:val="24"/>
                <w:szCs w:val="24"/>
              </w:rPr>
              <w:t>2013</w:t>
            </w:r>
          </w:p>
        </w:tc>
        <w:tc>
          <w:tcPr>
            <w:tcW w:w="1018"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315598</w:t>
            </w:r>
          </w:p>
        </w:tc>
        <w:tc>
          <w:tcPr>
            <w:tcW w:w="1355"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196563</w:t>
            </w:r>
          </w:p>
        </w:tc>
        <w:tc>
          <w:tcPr>
            <w:tcW w:w="1304"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119035</w:t>
            </w:r>
          </w:p>
        </w:tc>
        <w:tc>
          <w:tcPr>
            <w:tcW w:w="1247"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66,22</w:t>
            </w:r>
          </w:p>
        </w:tc>
      </w:tr>
      <w:tr w:rsidR="0033527B" w:rsidRPr="00317CEC" w:rsidTr="0033527B">
        <w:trPr>
          <w:trHeight w:val="270"/>
          <w:jc w:val="center"/>
        </w:trPr>
        <w:tc>
          <w:tcPr>
            <w:tcW w:w="1001" w:type="dxa"/>
            <w:shd w:val="clear" w:color="auto" w:fill="FFFFDD"/>
            <w:vAlign w:val="center"/>
          </w:tcPr>
          <w:p w:rsidR="0033527B" w:rsidRPr="005C0C78" w:rsidRDefault="0033527B" w:rsidP="0033527B">
            <w:pPr>
              <w:spacing w:after="0" w:line="240" w:lineRule="auto"/>
              <w:rPr>
                <w:rFonts w:ascii="Arial" w:hAnsi="Arial" w:cs="Arial"/>
                <w:b/>
                <w:sz w:val="24"/>
                <w:szCs w:val="24"/>
              </w:rPr>
            </w:pPr>
            <w:r w:rsidRPr="005C0C78">
              <w:rPr>
                <w:rFonts w:ascii="Arial" w:hAnsi="Arial" w:cs="Arial"/>
                <w:b/>
                <w:sz w:val="24"/>
                <w:szCs w:val="24"/>
              </w:rPr>
              <w:t>2014</w:t>
            </w:r>
          </w:p>
        </w:tc>
        <w:tc>
          <w:tcPr>
            <w:tcW w:w="1018"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312089</w:t>
            </w:r>
          </w:p>
        </w:tc>
        <w:tc>
          <w:tcPr>
            <w:tcW w:w="1355"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194025</w:t>
            </w:r>
          </w:p>
        </w:tc>
        <w:tc>
          <w:tcPr>
            <w:tcW w:w="1304"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118064</w:t>
            </w:r>
          </w:p>
        </w:tc>
        <w:tc>
          <w:tcPr>
            <w:tcW w:w="1247"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65,49</w:t>
            </w:r>
          </w:p>
        </w:tc>
      </w:tr>
      <w:tr w:rsidR="0033527B" w:rsidRPr="00317CEC" w:rsidTr="0033527B">
        <w:trPr>
          <w:trHeight w:val="270"/>
          <w:jc w:val="center"/>
        </w:trPr>
        <w:tc>
          <w:tcPr>
            <w:tcW w:w="1001" w:type="dxa"/>
            <w:shd w:val="clear" w:color="auto" w:fill="FFFFDD"/>
            <w:vAlign w:val="center"/>
          </w:tcPr>
          <w:p w:rsidR="0033527B" w:rsidRPr="005C0C78" w:rsidRDefault="0033527B" w:rsidP="0033527B">
            <w:pPr>
              <w:spacing w:after="0" w:line="240" w:lineRule="auto"/>
              <w:rPr>
                <w:rFonts w:ascii="Arial" w:hAnsi="Arial" w:cs="Arial"/>
                <w:b/>
                <w:sz w:val="24"/>
                <w:szCs w:val="24"/>
              </w:rPr>
            </w:pPr>
            <w:r w:rsidRPr="005C0C78">
              <w:rPr>
                <w:rFonts w:ascii="Arial" w:hAnsi="Arial" w:cs="Arial"/>
                <w:b/>
                <w:sz w:val="24"/>
                <w:szCs w:val="24"/>
              </w:rPr>
              <w:t>2015</w:t>
            </w:r>
          </w:p>
        </w:tc>
        <w:tc>
          <w:tcPr>
            <w:tcW w:w="1018"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308176</w:t>
            </w:r>
          </w:p>
        </w:tc>
        <w:tc>
          <w:tcPr>
            <w:tcW w:w="1355"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191230</w:t>
            </w:r>
          </w:p>
        </w:tc>
        <w:tc>
          <w:tcPr>
            <w:tcW w:w="1304"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116946</w:t>
            </w:r>
          </w:p>
        </w:tc>
        <w:tc>
          <w:tcPr>
            <w:tcW w:w="1247" w:type="dxa"/>
            <w:shd w:val="clear" w:color="auto" w:fill="FFFFDD"/>
            <w:vAlign w:val="center"/>
          </w:tcPr>
          <w:p w:rsidR="0033527B" w:rsidRPr="00317CEC" w:rsidRDefault="0033527B" w:rsidP="0033527B">
            <w:pPr>
              <w:spacing w:after="0" w:line="240" w:lineRule="auto"/>
              <w:rPr>
                <w:rFonts w:ascii="Arial" w:hAnsi="Arial" w:cs="Arial"/>
                <w:sz w:val="24"/>
                <w:szCs w:val="24"/>
              </w:rPr>
            </w:pPr>
            <w:r w:rsidRPr="00317CEC">
              <w:rPr>
                <w:rFonts w:ascii="Arial" w:hAnsi="Arial" w:cs="Arial"/>
                <w:sz w:val="24"/>
                <w:szCs w:val="24"/>
              </w:rPr>
              <w:t>64,65</w:t>
            </w:r>
          </w:p>
        </w:tc>
      </w:tr>
      <w:tr w:rsidR="0033527B" w:rsidRPr="00317CEC" w:rsidTr="0033527B">
        <w:trPr>
          <w:trHeight w:val="270"/>
          <w:jc w:val="center"/>
        </w:trPr>
        <w:tc>
          <w:tcPr>
            <w:tcW w:w="1001" w:type="dxa"/>
            <w:shd w:val="clear" w:color="auto" w:fill="FFFFDD"/>
            <w:vAlign w:val="center"/>
          </w:tcPr>
          <w:p w:rsidR="0033527B" w:rsidRPr="000323E8" w:rsidRDefault="0033527B" w:rsidP="0033527B">
            <w:pPr>
              <w:spacing w:after="0" w:line="240" w:lineRule="auto"/>
              <w:rPr>
                <w:rFonts w:ascii="Arial" w:hAnsi="Arial" w:cs="Arial"/>
                <w:b/>
                <w:sz w:val="24"/>
                <w:szCs w:val="24"/>
              </w:rPr>
            </w:pPr>
            <w:r w:rsidRPr="000323E8">
              <w:rPr>
                <w:rFonts w:ascii="Arial" w:hAnsi="Arial" w:cs="Arial"/>
                <w:b/>
                <w:sz w:val="24"/>
                <w:szCs w:val="24"/>
              </w:rPr>
              <w:t>2016</w:t>
            </w:r>
          </w:p>
        </w:tc>
        <w:tc>
          <w:tcPr>
            <w:tcW w:w="1018" w:type="dxa"/>
            <w:shd w:val="clear" w:color="auto" w:fill="FFFFDD"/>
            <w:vAlign w:val="center"/>
          </w:tcPr>
          <w:p w:rsidR="0033527B" w:rsidRPr="000323E8" w:rsidRDefault="0033527B" w:rsidP="0033527B">
            <w:pPr>
              <w:spacing w:after="0" w:line="240" w:lineRule="auto"/>
              <w:rPr>
                <w:rFonts w:ascii="Arial" w:hAnsi="Arial" w:cs="Arial"/>
                <w:sz w:val="24"/>
                <w:szCs w:val="24"/>
              </w:rPr>
            </w:pPr>
            <w:r w:rsidRPr="000323E8">
              <w:rPr>
                <w:rFonts w:ascii="Arial" w:hAnsi="Arial" w:cs="Arial"/>
                <w:sz w:val="24"/>
                <w:szCs w:val="24"/>
              </w:rPr>
              <w:t>303622</w:t>
            </w:r>
          </w:p>
        </w:tc>
        <w:tc>
          <w:tcPr>
            <w:tcW w:w="1355" w:type="dxa"/>
            <w:shd w:val="clear" w:color="auto" w:fill="FFFFDD"/>
            <w:vAlign w:val="center"/>
          </w:tcPr>
          <w:p w:rsidR="0033527B" w:rsidRPr="000323E8" w:rsidRDefault="0033527B" w:rsidP="0033527B">
            <w:pPr>
              <w:spacing w:after="0" w:line="240" w:lineRule="auto"/>
              <w:rPr>
                <w:rFonts w:ascii="Arial" w:hAnsi="Arial" w:cs="Arial"/>
                <w:sz w:val="24"/>
                <w:szCs w:val="24"/>
              </w:rPr>
            </w:pPr>
            <w:r w:rsidRPr="000323E8">
              <w:rPr>
                <w:rFonts w:ascii="Arial" w:hAnsi="Arial" w:cs="Arial"/>
                <w:sz w:val="24"/>
                <w:szCs w:val="24"/>
              </w:rPr>
              <w:t>187956</w:t>
            </w:r>
          </w:p>
        </w:tc>
        <w:tc>
          <w:tcPr>
            <w:tcW w:w="1304" w:type="dxa"/>
            <w:shd w:val="clear" w:color="auto" w:fill="FFFFDD"/>
            <w:vAlign w:val="center"/>
          </w:tcPr>
          <w:p w:rsidR="0033527B" w:rsidRPr="000323E8" w:rsidRDefault="0033527B" w:rsidP="0033527B">
            <w:pPr>
              <w:spacing w:after="0" w:line="240" w:lineRule="auto"/>
              <w:rPr>
                <w:rFonts w:ascii="Arial" w:hAnsi="Arial" w:cs="Arial"/>
                <w:sz w:val="24"/>
                <w:szCs w:val="24"/>
              </w:rPr>
            </w:pPr>
            <w:r w:rsidRPr="000323E8">
              <w:rPr>
                <w:rFonts w:ascii="Arial" w:hAnsi="Arial" w:cs="Arial"/>
                <w:sz w:val="24"/>
                <w:szCs w:val="24"/>
              </w:rPr>
              <w:t>115666</w:t>
            </w:r>
          </w:p>
        </w:tc>
        <w:tc>
          <w:tcPr>
            <w:tcW w:w="1247" w:type="dxa"/>
            <w:shd w:val="clear" w:color="auto" w:fill="FFFFDD"/>
            <w:vAlign w:val="center"/>
          </w:tcPr>
          <w:p w:rsidR="0033527B" w:rsidRPr="000323E8" w:rsidRDefault="0033527B" w:rsidP="0033527B">
            <w:pPr>
              <w:spacing w:after="0" w:line="240" w:lineRule="auto"/>
              <w:rPr>
                <w:rFonts w:ascii="Arial" w:hAnsi="Arial" w:cs="Arial"/>
                <w:sz w:val="24"/>
                <w:szCs w:val="24"/>
              </w:rPr>
            </w:pPr>
            <w:r w:rsidRPr="000323E8">
              <w:rPr>
                <w:rFonts w:ascii="Arial" w:hAnsi="Arial" w:cs="Arial"/>
                <w:sz w:val="24"/>
                <w:szCs w:val="24"/>
              </w:rPr>
              <w:t>63,71</w:t>
            </w:r>
          </w:p>
        </w:tc>
      </w:tr>
    </w:tbl>
    <w:p w:rsidR="004E720D" w:rsidRDefault="004E720D" w:rsidP="0033527B">
      <w:pPr>
        <w:ind w:firstLine="426"/>
        <w:rPr>
          <w:rFonts w:ascii="Arial" w:hAnsi="Arial" w:cs="Arial"/>
          <w:b/>
          <w:sz w:val="20"/>
          <w:szCs w:val="20"/>
        </w:rPr>
      </w:pPr>
    </w:p>
    <w:p w:rsidR="0033527B" w:rsidRDefault="0033527B" w:rsidP="0033527B">
      <w:pPr>
        <w:ind w:firstLine="426"/>
        <w:rPr>
          <w:rFonts w:ascii="Arial" w:hAnsi="Arial" w:cs="Arial"/>
          <w:bCs/>
          <w:sz w:val="20"/>
          <w:szCs w:val="20"/>
        </w:rPr>
      </w:pPr>
      <w:r w:rsidRPr="0028650F">
        <w:rPr>
          <w:rFonts w:ascii="Arial" w:hAnsi="Arial" w:cs="Arial"/>
          <w:b/>
          <w:sz w:val="20"/>
          <w:szCs w:val="20"/>
        </w:rPr>
        <w:t xml:space="preserve">- la o suprafață a  județului </w:t>
      </w:r>
      <w:r w:rsidR="00217620">
        <w:rPr>
          <w:rFonts w:ascii="Arial" w:hAnsi="Arial" w:cs="Arial"/>
          <w:b/>
          <w:sz w:val="20"/>
          <w:szCs w:val="20"/>
        </w:rPr>
        <w:t>Brăila</w:t>
      </w:r>
      <w:r w:rsidRPr="0028650F">
        <w:rPr>
          <w:rFonts w:ascii="Arial" w:hAnsi="Arial" w:cs="Arial"/>
          <w:b/>
          <w:sz w:val="20"/>
          <w:szCs w:val="20"/>
        </w:rPr>
        <w:t xml:space="preserve"> de 4.766 km</w:t>
      </w:r>
      <w:r w:rsidRPr="0028650F">
        <w:rPr>
          <w:rFonts w:ascii="Arial" w:hAnsi="Arial" w:cs="Arial"/>
          <w:b/>
          <w:sz w:val="20"/>
          <w:szCs w:val="20"/>
          <w:vertAlign w:val="superscript"/>
        </w:rPr>
        <w:t>2</w:t>
      </w:r>
      <w:r w:rsidRPr="00B8452D">
        <w:rPr>
          <w:rFonts w:ascii="Arial" w:hAnsi="Arial" w:cs="Arial"/>
          <w:sz w:val="20"/>
          <w:szCs w:val="20"/>
        </w:rPr>
        <w:t xml:space="preserve">Notă : </w:t>
      </w:r>
      <w:r w:rsidRPr="00B8452D">
        <w:rPr>
          <w:rFonts w:ascii="Arial" w:eastAsia="Times New Roman" w:hAnsi="Arial" w:cs="Arial"/>
          <w:sz w:val="20"/>
          <w:szCs w:val="20"/>
        </w:rPr>
        <w:t>Populaţia rezidentă reprezintă totalitatea persoanelor cu cetăţenie română, străini şi fără cetăţenie, care au reşedinţa obişnuită pe teritoriul României. Se calculează conform regulamentelor europene (Regulamentul nr. 1260/2013 al Parlamentului European şi al Consiliului privind statisticile europene pe demografie și Regulamentul nr. 205/2014 al Comisiei de implementare a Regulamentului nr. 1260/2013 privind statisticile europene pe demografie referitor la defalcare date, termene, revizuiri de date).</w:t>
      </w:r>
      <w:r w:rsidRPr="005D6606">
        <w:rPr>
          <w:rFonts w:ascii="Arial" w:hAnsi="Arial" w:cs="Arial"/>
          <w:bCs/>
          <w:sz w:val="20"/>
          <w:szCs w:val="20"/>
        </w:rPr>
        <w:t xml:space="preserve">Notă: Informații furnizate de către Direcția Regională de Statistică </w:t>
      </w:r>
      <w:r w:rsidR="00217620">
        <w:rPr>
          <w:rFonts w:ascii="Arial" w:hAnsi="Arial" w:cs="Arial"/>
          <w:bCs/>
          <w:sz w:val="20"/>
          <w:szCs w:val="20"/>
        </w:rPr>
        <w:t>Brăila</w:t>
      </w:r>
    </w:p>
    <w:p w:rsidR="0033527B" w:rsidRDefault="0033527B" w:rsidP="0033527B">
      <w:pPr>
        <w:ind w:firstLine="708"/>
        <w:jc w:val="center"/>
        <w:rPr>
          <w:rFonts w:ascii="Arial" w:eastAsia="Times New Roman" w:hAnsi="Arial" w:cs="Arial"/>
          <w:color w:val="000000"/>
          <w:sz w:val="24"/>
          <w:szCs w:val="24"/>
        </w:rPr>
      </w:pPr>
      <w:r w:rsidRPr="00317CEC">
        <w:rPr>
          <w:rFonts w:ascii="Arial" w:eastAsia="Times New Roman" w:hAnsi="Arial" w:cs="Arial"/>
          <w:noProof/>
          <w:color w:val="000000"/>
          <w:sz w:val="24"/>
          <w:szCs w:val="24"/>
          <w:lang w:eastAsia="ro-RO"/>
        </w:rPr>
        <w:drawing>
          <wp:inline distT="0" distB="0" distL="0" distR="0">
            <wp:extent cx="4820920" cy="2000250"/>
            <wp:effectExtent l="19050" t="0" r="17780" b="0"/>
            <wp:docPr id="2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4E720D" w:rsidRPr="004E720D" w:rsidRDefault="004E720D" w:rsidP="004E720D">
      <w:pPr>
        <w:pStyle w:val="BodyTextIndent"/>
        <w:tabs>
          <w:tab w:val="left" w:pos="2478"/>
        </w:tabs>
        <w:spacing w:after="0" w:line="240" w:lineRule="auto"/>
        <w:ind w:left="0"/>
        <w:jc w:val="center"/>
        <w:rPr>
          <w:rFonts w:ascii="Arial" w:hAnsi="Arial" w:cs="Arial"/>
          <w:bCs/>
          <w:sz w:val="20"/>
          <w:szCs w:val="20"/>
        </w:rPr>
      </w:pPr>
      <w:r w:rsidRPr="004E720D">
        <w:rPr>
          <w:rFonts w:ascii="Arial" w:hAnsi="Arial" w:cs="Arial"/>
          <w:bCs/>
          <w:color w:val="000000"/>
          <w:sz w:val="24"/>
          <w:szCs w:val="24"/>
          <w:lang w:val="ro-RO"/>
        </w:rPr>
        <w:t>Figura nr. X.2. - 2</w:t>
      </w:r>
    </w:p>
    <w:p w:rsidR="004E720D" w:rsidRPr="00317CEC" w:rsidRDefault="004E720D" w:rsidP="0033527B">
      <w:pPr>
        <w:ind w:firstLine="708"/>
        <w:jc w:val="center"/>
        <w:rPr>
          <w:rFonts w:ascii="Arial" w:eastAsia="Times New Roman" w:hAnsi="Arial" w:cs="Arial"/>
          <w:color w:val="000000"/>
          <w:sz w:val="24"/>
          <w:szCs w:val="24"/>
        </w:rPr>
      </w:pPr>
    </w:p>
    <w:p w:rsidR="0033527B" w:rsidRDefault="0033527B" w:rsidP="004E720D">
      <w:pPr>
        <w:tabs>
          <w:tab w:val="left" w:pos="2160"/>
          <w:tab w:val="left" w:leader="dot" w:pos="8820"/>
        </w:tabs>
        <w:spacing w:after="0" w:line="240" w:lineRule="auto"/>
        <w:ind w:right="31"/>
        <w:jc w:val="both"/>
        <w:rPr>
          <w:rFonts w:ascii="Arial" w:hAnsi="Arial" w:cs="Arial"/>
          <w:sz w:val="24"/>
          <w:szCs w:val="24"/>
        </w:rPr>
      </w:pPr>
      <w:r w:rsidRPr="00151194">
        <w:rPr>
          <w:rFonts w:ascii="Arial" w:hAnsi="Arial" w:cs="Arial"/>
          <w:sz w:val="24"/>
          <w:szCs w:val="24"/>
        </w:rPr>
        <w:t xml:space="preserve">În </w:t>
      </w:r>
      <w:r w:rsidRPr="00D05E70">
        <w:rPr>
          <w:rFonts w:ascii="Arial" w:hAnsi="Arial" w:cs="Arial"/>
          <w:sz w:val="24"/>
          <w:szCs w:val="24"/>
        </w:rPr>
        <w:t xml:space="preserve">perioada </w:t>
      </w:r>
      <w:r w:rsidRPr="00B20492">
        <w:rPr>
          <w:rFonts w:ascii="Arial" w:hAnsi="Arial" w:cs="Arial"/>
          <w:b/>
          <w:sz w:val="24"/>
          <w:szCs w:val="24"/>
        </w:rPr>
        <w:t>2012</w:t>
      </w:r>
      <w:r>
        <w:rPr>
          <w:rFonts w:ascii="Arial" w:hAnsi="Arial" w:cs="Arial"/>
          <w:b/>
          <w:sz w:val="24"/>
          <w:szCs w:val="24"/>
        </w:rPr>
        <w:t xml:space="preserve"> </w:t>
      </w:r>
      <w:r w:rsidRPr="00B20492">
        <w:rPr>
          <w:rFonts w:ascii="Arial" w:hAnsi="Arial" w:cs="Arial"/>
          <w:b/>
          <w:sz w:val="24"/>
          <w:szCs w:val="24"/>
        </w:rPr>
        <w:t>- 2016</w:t>
      </w:r>
      <w:r>
        <w:rPr>
          <w:rFonts w:ascii="Arial" w:hAnsi="Arial" w:cs="Arial"/>
          <w:color w:val="FF0000"/>
          <w:sz w:val="24"/>
          <w:szCs w:val="24"/>
        </w:rPr>
        <w:t xml:space="preserve"> </w:t>
      </w:r>
      <w:r w:rsidRPr="00151194">
        <w:rPr>
          <w:rFonts w:ascii="Arial" w:hAnsi="Arial" w:cs="Arial"/>
          <w:sz w:val="24"/>
          <w:szCs w:val="24"/>
        </w:rPr>
        <w:t xml:space="preserve">populaţia judeţului </w:t>
      </w:r>
      <w:r w:rsidR="00217620">
        <w:rPr>
          <w:rFonts w:ascii="Arial" w:hAnsi="Arial" w:cs="Arial"/>
          <w:sz w:val="24"/>
          <w:szCs w:val="24"/>
        </w:rPr>
        <w:t>Brăila</w:t>
      </w:r>
      <w:r w:rsidRPr="00151194">
        <w:rPr>
          <w:rFonts w:ascii="Arial" w:hAnsi="Arial" w:cs="Arial"/>
          <w:sz w:val="24"/>
          <w:szCs w:val="24"/>
        </w:rPr>
        <w:t xml:space="preserve"> s-a aflat într-o continuă scădere</w:t>
      </w:r>
      <w:r>
        <w:rPr>
          <w:rFonts w:ascii="Arial" w:hAnsi="Arial" w:cs="Arial"/>
          <w:sz w:val="24"/>
          <w:szCs w:val="24"/>
        </w:rPr>
        <w:t>,</w:t>
      </w:r>
      <w:r w:rsidRPr="00151194">
        <w:rPr>
          <w:rFonts w:ascii="Arial" w:hAnsi="Arial" w:cs="Arial"/>
          <w:sz w:val="24"/>
          <w:szCs w:val="24"/>
        </w:rPr>
        <w:t xml:space="preserve"> </w:t>
      </w:r>
      <w:r>
        <w:rPr>
          <w:rFonts w:ascii="Arial" w:hAnsi="Arial" w:cs="Arial"/>
          <w:sz w:val="24"/>
          <w:szCs w:val="24"/>
        </w:rPr>
        <w:t xml:space="preserve">atât în ceea ce privește populația cu domiciliul stabil declarat în județul </w:t>
      </w:r>
      <w:r w:rsidR="00217620">
        <w:rPr>
          <w:rFonts w:ascii="Arial" w:hAnsi="Arial" w:cs="Arial"/>
          <w:sz w:val="24"/>
          <w:szCs w:val="24"/>
        </w:rPr>
        <w:t>Brăila</w:t>
      </w:r>
      <w:r>
        <w:rPr>
          <w:rFonts w:ascii="Arial" w:hAnsi="Arial" w:cs="Arial"/>
          <w:sz w:val="24"/>
          <w:szCs w:val="24"/>
        </w:rPr>
        <w:t xml:space="preserve"> dar și în ceea ce privește populația rezidentă pe raza județului </w:t>
      </w:r>
      <w:r w:rsidR="00217620">
        <w:rPr>
          <w:rFonts w:ascii="Arial" w:hAnsi="Arial" w:cs="Arial"/>
          <w:sz w:val="24"/>
          <w:szCs w:val="24"/>
        </w:rPr>
        <w:t>Brăila</w:t>
      </w:r>
      <w:r>
        <w:rPr>
          <w:rFonts w:ascii="Arial" w:hAnsi="Arial" w:cs="Arial"/>
          <w:sz w:val="24"/>
          <w:szCs w:val="24"/>
        </w:rPr>
        <w:t>.</w:t>
      </w:r>
    </w:p>
    <w:p w:rsidR="0033527B" w:rsidRPr="001D616B" w:rsidRDefault="0033527B" w:rsidP="004E720D">
      <w:pPr>
        <w:pStyle w:val="Default"/>
        <w:rPr>
          <w:rFonts w:ascii="Arial" w:hAnsi="Arial" w:cs="Arial"/>
          <w:b/>
          <w:color w:val="FF0000"/>
        </w:rPr>
      </w:pPr>
    </w:p>
    <w:p w:rsidR="0033527B" w:rsidRDefault="0033527B" w:rsidP="0033527B">
      <w:pPr>
        <w:pStyle w:val="Default"/>
        <w:rPr>
          <w:rFonts w:ascii="Arial" w:hAnsi="Arial" w:cs="Arial"/>
          <w:b/>
          <w:color w:val="auto"/>
        </w:rPr>
      </w:pPr>
      <w:r w:rsidRPr="008E1F89">
        <w:rPr>
          <w:rFonts w:ascii="Arial" w:hAnsi="Arial" w:cs="Arial"/>
          <w:b/>
          <w:color w:val="auto"/>
        </w:rPr>
        <w:t>X.3. Presiunile</w:t>
      </w:r>
      <w:r>
        <w:rPr>
          <w:rFonts w:ascii="Arial" w:hAnsi="Arial" w:cs="Arial"/>
          <w:b/>
          <w:color w:val="auto"/>
        </w:rPr>
        <w:t xml:space="preserve"> </w:t>
      </w:r>
      <w:r w:rsidRPr="008E1F89">
        <w:rPr>
          <w:rFonts w:ascii="Arial" w:hAnsi="Arial" w:cs="Arial"/>
          <w:b/>
          <w:color w:val="auto"/>
        </w:rPr>
        <w:t>asupra</w:t>
      </w:r>
      <w:r>
        <w:rPr>
          <w:rFonts w:ascii="Arial" w:hAnsi="Arial" w:cs="Arial"/>
          <w:b/>
          <w:color w:val="auto"/>
        </w:rPr>
        <w:t xml:space="preserve"> </w:t>
      </w:r>
      <w:r w:rsidRPr="008E1F89">
        <w:rPr>
          <w:rFonts w:ascii="Arial" w:hAnsi="Arial" w:cs="Arial"/>
          <w:b/>
          <w:color w:val="auto"/>
        </w:rPr>
        <w:t>mediului</w:t>
      </w:r>
      <w:r>
        <w:rPr>
          <w:rFonts w:ascii="Arial" w:hAnsi="Arial" w:cs="Arial"/>
          <w:b/>
          <w:color w:val="auto"/>
        </w:rPr>
        <w:t xml:space="preserve"> </w:t>
      </w:r>
      <w:r w:rsidRPr="008E1F89">
        <w:rPr>
          <w:rFonts w:ascii="Arial" w:hAnsi="Arial" w:cs="Arial"/>
          <w:b/>
          <w:color w:val="auto"/>
        </w:rPr>
        <w:t>cauzate de consum</w:t>
      </w:r>
    </w:p>
    <w:p w:rsidR="0033527B" w:rsidRDefault="0033527B" w:rsidP="0033527B">
      <w:pPr>
        <w:pStyle w:val="Default"/>
        <w:rPr>
          <w:rFonts w:ascii="Arial" w:hAnsi="Arial" w:cs="Arial"/>
          <w:b/>
          <w:color w:val="auto"/>
        </w:rPr>
      </w:pPr>
    </w:p>
    <w:p w:rsidR="0033527B" w:rsidRPr="00051008" w:rsidRDefault="004E1C28" w:rsidP="0033527B">
      <w:pPr>
        <w:tabs>
          <w:tab w:val="left" w:pos="1425"/>
        </w:tabs>
        <w:rPr>
          <w:rFonts w:ascii="Arial" w:hAnsi="Arial" w:cs="Arial"/>
          <w:b/>
          <w:sz w:val="24"/>
          <w:szCs w:val="24"/>
          <w:lang w:val="fr-BE"/>
        </w:rPr>
      </w:pPr>
      <w:r>
        <w:rPr>
          <w:rFonts w:ascii="Arial" w:hAnsi="Arial" w:cs="Arial"/>
          <w:b/>
          <w:sz w:val="24"/>
          <w:szCs w:val="24"/>
          <w:lang w:val="fr-BE"/>
        </w:rPr>
        <w:t xml:space="preserve">   </w:t>
      </w:r>
      <w:r w:rsidR="0033527B" w:rsidRPr="00051008">
        <w:rPr>
          <w:rFonts w:ascii="Arial" w:hAnsi="Arial" w:cs="Arial"/>
          <w:b/>
          <w:sz w:val="24"/>
          <w:szCs w:val="24"/>
          <w:lang w:val="fr-BE"/>
        </w:rPr>
        <w:t>X.3.1. Emisiile de gaze cu</w:t>
      </w:r>
      <w:r w:rsidR="0033527B">
        <w:rPr>
          <w:rFonts w:ascii="Arial" w:hAnsi="Arial" w:cs="Arial"/>
          <w:b/>
          <w:sz w:val="24"/>
          <w:szCs w:val="24"/>
          <w:lang w:val="fr-BE"/>
        </w:rPr>
        <w:t xml:space="preserve"> </w:t>
      </w:r>
      <w:r w:rsidR="0033527B" w:rsidRPr="00051008">
        <w:rPr>
          <w:rFonts w:ascii="Arial" w:hAnsi="Arial" w:cs="Arial"/>
          <w:b/>
          <w:sz w:val="24"/>
          <w:szCs w:val="24"/>
          <w:lang w:val="fr-BE"/>
        </w:rPr>
        <w:t>efect de seră</w:t>
      </w:r>
      <w:r w:rsidR="0033527B">
        <w:rPr>
          <w:rFonts w:ascii="Arial" w:hAnsi="Arial" w:cs="Arial"/>
          <w:b/>
          <w:sz w:val="24"/>
          <w:szCs w:val="24"/>
          <w:lang w:val="fr-BE"/>
        </w:rPr>
        <w:t xml:space="preserve"> </w:t>
      </w:r>
      <w:r w:rsidR="0033527B" w:rsidRPr="00051008">
        <w:rPr>
          <w:rFonts w:ascii="Arial" w:hAnsi="Arial" w:cs="Arial"/>
          <w:b/>
          <w:sz w:val="24"/>
          <w:szCs w:val="24"/>
          <w:lang w:val="fr-BE"/>
        </w:rPr>
        <w:t>din</w:t>
      </w:r>
      <w:r w:rsidR="0033527B">
        <w:rPr>
          <w:rFonts w:ascii="Arial" w:hAnsi="Arial" w:cs="Arial"/>
          <w:b/>
          <w:sz w:val="24"/>
          <w:szCs w:val="24"/>
          <w:lang w:val="fr-BE"/>
        </w:rPr>
        <w:t xml:space="preserve"> </w:t>
      </w:r>
      <w:r w:rsidR="0033527B" w:rsidRPr="00051008">
        <w:rPr>
          <w:rFonts w:ascii="Arial" w:hAnsi="Arial" w:cs="Arial"/>
          <w:b/>
          <w:sz w:val="24"/>
          <w:szCs w:val="24"/>
          <w:lang w:val="fr-BE"/>
        </w:rPr>
        <w:t>sectorul</w:t>
      </w:r>
      <w:r w:rsidR="0033527B">
        <w:rPr>
          <w:rFonts w:ascii="Arial" w:hAnsi="Arial" w:cs="Arial"/>
          <w:b/>
          <w:sz w:val="24"/>
          <w:szCs w:val="24"/>
          <w:lang w:val="fr-BE"/>
        </w:rPr>
        <w:t xml:space="preserve"> </w:t>
      </w:r>
      <w:r w:rsidR="0033527B" w:rsidRPr="00051008">
        <w:rPr>
          <w:rFonts w:ascii="Arial" w:hAnsi="Arial" w:cs="Arial"/>
          <w:b/>
          <w:sz w:val="24"/>
          <w:szCs w:val="24"/>
          <w:lang w:val="fr-BE"/>
        </w:rPr>
        <w:t>rezidențial</w:t>
      </w:r>
    </w:p>
    <w:p w:rsidR="0033527B" w:rsidRDefault="0033527B" w:rsidP="0033527B">
      <w:pPr>
        <w:tabs>
          <w:tab w:val="left" w:pos="1425"/>
        </w:tabs>
        <w:spacing w:after="0" w:line="240" w:lineRule="auto"/>
        <w:jc w:val="both"/>
        <w:rPr>
          <w:rFonts w:ascii="Arial" w:hAnsi="Arial" w:cs="Arial"/>
          <w:sz w:val="24"/>
          <w:szCs w:val="24"/>
          <w:lang w:val="fr-BE"/>
        </w:rPr>
      </w:pPr>
      <w:r>
        <w:rPr>
          <w:rFonts w:ascii="Arial" w:hAnsi="Arial" w:cs="Arial"/>
          <w:sz w:val="24"/>
          <w:szCs w:val="24"/>
          <w:lang w:val="fr-BE"/>
        </w:rPr>
        <w:t xml:space="preserve">             Cod indicatorRomânia RO 10</w:t>
      </w:r>
    </w:p>
    <w:p w:rsidR="0033527B" w:rsidRPr="00DB73C7" w:rsidRDefault="0033527B" w:rsidP="0033527B">
      <w:pPr>
        <w:tabs>
          <w:tab w:val="left" w:pos="1425"/>
        </w:tabs>
        <w:spacing w:after="0" w:line="240" w:lineRule="auto"/>
        <w:jc w:val="both"/>
        <w:rPr>
          <w:rFonts w:ascii="Arial" w:hAnsi="Arial" w:cs="Arial"/>
          <w:b/>
          <w:i/>
          <w:sz w:val="24"/>
          <w:szCs w:val="24"/>
          <w:lang w:val="fr-BE"/>
        </w:rPr>
      </w:pPr>
      <w:r>
        <w:rPr>
          <w:rFonts w:ascii="Arial" w:hAnsi="Arial" w:cs="Arial"/>
          <w:sz w:val="24"/>
          <w:szCs w:val="24"/>
          <w:lang w:val="fr-BE"/>
        </w:rPr>
        <w:t>Tendința emisiilor de gaze cu efect de seră </w:t>
      </w:r>
      <w:r w:rsidR="004E1C28">
        <w:rPr>
          <w:rFonts w:ascii="Arial" w:hAnsi="Arial" w:cs="Arial"/>
          <w:sz w:val="24"/>
          <w:szCs w:val="24"/>
          <w:lang w:val="fr-BE"/>
        </w:rPr>
        <w:t xml:space="preserve">– </w:t>
      </w:r>
      <w:r w:rsidR="004E1C28" w:rsidRPr="00DB73C7">
        <w:rPr>
          <w:rFonts w:ascii="Arial" w:hAnsi="Arial" w:cs="Arial"/>
          <w:b/>
          <w:i/>
          <w:sz w:val="24"/>
          <w:szCs w:val="24"/>
          <w:lang w:val="fr-BE"/>
        </w:rPr>
        <w:t>nu sunt date disponibile la acest moment din inventarul național.</w:t>
      </w:r>
    </w:p>
    <w:p w:rsidR="0033527B" w:rsidRPr="008E1F89" w:rsidRDefault="0033527B" w:rsidP="0033527B">
      <w:pPr>
        <w:pStyle w:val="Default"/>
        <w:rPr>
          <w:rFonts w:ascii="Arial" w:hAnsi="Arial" w:cs="Arial"/>
          <w:i/>
          <w:lang w:val="fr-BE"/>
        </w:rPr>
      </w:pPr>
    </w:p>
    <w:p w:rsidR="0033527B" w:rsidRDefault="0033527B" w:rsidP="0033527B">
      <w:pPr>
        <w:pStyle w:val="Default"/>
        <w:rPr>
          <w:rFonts w:ascii="Arial" w:hAnsi="Arial" w:cs="Arial"/>
          <w:i/>
          <w:color w:val="auto"/>
          <w:u w:val="single"/>
        </w:rPr>
      </w:pPr>
      <w:r w:rsidRPr="008E1F89">
        <w:rPr>
          <w:rFonts w:ascii="Arial" w:hAnsi="Arial" w:cs="Arial"/>
          <w:b/>
          <w:color w:val="auto"/>
        </w:rPr>
        <w:t xml:space="preserve">  </w:t>
      </w:r>
      <w:r w:rsidR="004E1C28">
        <w:rPr>
          <w:rFonts w:ascii="Arial" w:hAnsi="Arial" w:cs="Arial"/>
          <w:b/>
          <w:color w:val="auto"/>
        </w:rPr>
        <w:t xml:space="preserve">       </w:t>
      </w:r>
      <w:r w:rsidRPr="008E1F89">
        <w:rPr>
          <w:rFonts w:ascii="Arial" w:hAnsi="Arial" w:cs="Arial"/>
          <w:b/>
          <w:color w:val="auto"/>
        </w:rPr>
        <w:t xml:space="preserve">X.3.2. </w:t>
      </w:r>
      <w:r w:rsidRPr="008E1F89">
        <w:rPr>
          <w:rFonts w:ascii="Arial" w:hAnsi="Arial" w:cs="Arial"/>
          <w:b/>
          <w:i/>
          <w:color w:val="auto"/>
        </w:rPr>
        <w:t>Consumul de energie</w:t>
      </w:r>
      <w:r>
        <w:rPr>
          <w:rFonts w:ascii="Arial" w:hAnsi="Arial" w:cs="Arial"/>
          <w:b/>
          <w:i/>
          <w:color w:val="auto"/>
        </w:rPr>
        <w:t xml:space="preserve"> </w:t>
      </w:r>
      <w:r w:rsidRPr="008E1F89">
        <w:rPr>
          <w:rFonts w:ascii="Arial" w:hAnsi="Arial" w:cs="Arial"/>
          <w:b/>
          <w:i/>
          <w:color w:val="auto"/>
        </w:rPr>
        <w:t>pe</w:t>
      </w:r>
      <w:r>
        <w:rPr>
          <w:rFonts w:ascii="Arial" w:hAnsi="Arial" w:cs="Arial"/>
          <w:b/>
          <w:i/>
          <w:color w:val="auto"/>
        </w:rPr>
        <w:t xml:space="preserve"> </w:t>
      </w:r>
      <w:r w:rsidRPr="008E1F89">
        <w:rPr>
          <w:rFonts w:ascii="Arial" w:hAnsi="Arial" w:cs="Arial"/>
          <w:b/>
          <w:i/>
          <w:color w:val="auto"/>
        </w:rPr>
        <w:t>locuitor</w:t>
      </w:r>
      <w:r w:rsidRPr="00976D8A">
        <w:rPr>
          <w:rFonts w:ascii="Arial" w:hAnsi="Arial" w:cs="Arial"/>
          <w:b/>
          <w:i/>
          <w:u w:val="single"/>
        </w:rPr>
        <w:t>-</w:t>
      </w:r>
      <w:r>
        <w:rPr>
          <w:rFonts w:ascii="Arial" w:hAnsi="Arial" w:cs="Arial"/>
          <w:b/>
          <w:i/>
          <w:u w:val="single"/>
        </w:rPr>
        <w:t xml:space="preserve"> </w:t>
      </w:r>
      <w:r w:rsidRPr="00976D8A">
        <w:rPr>
          <w:rFonts w:ascii="Arial" w:hAnsi="Arial" w:cs="Arial"/>
          <w:i/>
          <w:color w:val="auto"/>
          <w:u w:val="single"/>
        </w:rPr>
        <w:t>nu sunt date la nivel</w:t>
      </w:r>
      <w:r w:rsidR="00880E32">
        <w:rPr>
          <w:rFonts w:ascii="Arial" w:hAnsi="Arial" w:cs="Arial"/>
          <w:i/>
          <w:color w:val="auto"/>
          <w:u w:val="single"/>
        </w:rPr>
        <w:t xml:space="preserve"> </w:t>
      </w:r>
      <w:r w:rsidRPr="00976D8A">
        <w:rPr>
          <w:rFonts w:ascii="Arial" w:hAnsi="Arial" w:cs="Arial"/>
          <w:i/>
          <w:color w:val="auto"/>
          <w:u w:val="single"/>
        </w:rPr>
        <w:t xml:space="preserve">județean (DRS </w:t>
      </w:r>
      <w:r w:rsidR="00217620">
        <w:rPr>
          <w:rFonts w:ascii="Arial" w:hAnsi="Arial" w:cs="Arial"/>
          <w:i/>
          <w:color w:val="auto"/>
          <w:u w:val="single"/>
        </w:rPr>
        <w:t>Brăila</w:t>
      </w:r>
      <w:r w:rsidRPr="00976D8A">
        <w:rPr>
          <w:rFonts w:ascii="Arial" w:hAnsi="Arial" w:cs="Arial"/>
          <w:i/>
          <w:color w:val="auto"/>
          <w:u w:val="single"/>
        </w:rPr>
        <w:t>)</w:t>
      </w:r>
    </w:p>
    <w:p w:rsidR="0033527B" w:rsidRDefault="0033527B" w:rsidP="0033527B">
      <w:pPr>
        <w:pStyle w:val="Default"/>
        <w:rPr>
          <w:rFonts w:ascii="Arial" w:hAnsi="Arial" w:cs="Arial"/>
          <w:i/>
          <w:color w:val="auto"/>
          <w:u w:val="single"/>
        </w:rPr>
      </w:pPr>
    </w:p>
    <w:p w:rsidR="0033527B" w:rsidRDefault="004E1C28" w:rsidP="004E1C28">
      <w:pPr>
        <w:pStyle w:val="Default"/>
        <w:rPr>
          <w:rFonts w:ascii="Arial" w:hAnsi="Arial" w:cs="Arial"/>
          <w:b/>
          <w:i/>
        </w:rPr>
      </w:pPr>
      <w:r>
        <w:rPr>
          <w:rFonts w:ascii="Arial" w:hAnsi="Arial" w:cs="Arial"/>
          <w:b/>
        </w:rPr>
        <w:t xml:space="preserve">         </w:t>
      </w:r>
      <w:r w:rsidR="0033527B" w:rsidRPr="004E1C28">
        <w:rPr>
          <w:rFonts w:ascii="Arial" w:hAnsi="Arial" w:cs="Arial"/>
          <w:b/>
        </w:rPr>
        <w:t xml:space="preserve">X.3.3. </w:t>
      </w:r>
      <w:r w:rsidR="0033527B" w:rsidRPr="004E1C28">
        <w:rPr>
          <w:rFonts w:ascii="Arial" w:hAnsi="Arial" w:cs="Arial"/>
          <w:b/>
          <w:i/>
        </w:rPr>
        <w:t>Utilizarea</w:t>
      </w:r>
      <w:r>
        <w:rPr>
          <w:rFonts w:ascii="Arial" w:hAnsi="Arial" w:cs="Arial"/>
          <w:b/>
          <w:i/>
        </w:rPr>
        <w:t xml:space="preserve"> </w:t>
      </w:r>
      <w:r w:rsidR="0033527B" w:rsidRPr="004E1C28">
        <w:rPr>
          <w:rFonts w:ascii="Arial" w:hAnsi="Arial" w:cs="Arial"/>
          <w:b/>
          <w:i/>
        </w:rPr>
        <w:t>materialelor</w:t>
      </w:r>
    </w:p>
    <w:p w:rsidR="00A34502" w:rsidRDefault="00A34502" w:rsidP="0029748F">
      <w:pPr>
        <w:pStyle w:val="Default"/>
        <w:rPr>
          <w:rFonts w:ascii="Arial" w:hAnsi="Arial" w:cs="Arial"/>
          <w:b/>
          <w:bCs/>
        </w:rPr>
      </w:pPr>
    </w:p>
    <w:p w:rsidR="0029748F" w:rsidRPr="008E1F89" w:rsidRDefault="0029748F" w:rsidP="0029748F">
      <w:pPr>
        <w:pStyle w:val="Default"/>
        <w:rPr>
          <w:rFonts w:ascii="Arial" w:hAnsi="Arial" w:cs="Arial"/>
          <w:b/>
          <w:bCs/>
        </w:rPr>
      </w:pPr>
      <w:r w:rsidRPr="008E1F89">
        <w:rPr>
          <w:rFonts w:ascii="Arial" w:hAnsi="Arial" w:cs="Arial"/>
          <w:b/>
          <w:bCs/>
        </w:rPr>
        <w:t xml:space="preserve">Resurse </w:t>
      </w:r>
    </w:p>
    <w:p w:rsidR="0029748F" w:rsidRPr="008E1F89" w:rsidRDefault="0029748F" w:rsidP="0029748F">
      <w:pPr>
        <w:pStyle w:val="Default"/>
        <w:rPr>
          <w:rFonts w:ascii="Arial" w:hAnsi="Arial" w:cs="Arial"/>
        </w:rPr>
      </w:pPr>
      <w:r w:rsidRPr="008E1F89">
        <w:rPr>
          <w:rFonts w:ascii="Arial" w:hAnsi="Arial" w:cs="Arial"/>
        </w:rPr>
        <w:t xml:space="preserve">Principalele </w:t>
      </w:r>
      <w:r w:rsidRPr="008E1F89">
        <w:rPr>
          <w:rFonts w:ascii="Arial" w:hAnsi="Arial" w:cs="Arial"/>
          <w:b/>
          <w:bCs/>
        </w:rPr>
        <w:t xml:space="preserve">zăcăminte </w:t>
      </w:r>
      <w:r w:rsidRPr="008E1F89">
        <w:rPr>
          <w:rFonts w:ascii="Arial" w:hAnsi="Arial" w:cs="Arial"/>
        </w:rPr>
        <w:t xml:space="preserve">din judeţul </w:t>
      </w:r>
      <w:r w:rsidR="00217620">
        <w:rPr>
          <w:rFonts w:ascii="Arial" w:hAnsi="Arial" w:cs="Arial"/>
        </w:rPr>
        <w:t>Brăila</w:t>
      </w:r>
      <w:r w:rsidRPr="008E1F89">
        <w:rPr>
          <w:rFonts w:ascii="Arial" w:hAnsi="Arial" w:cs="Arial"/>
        </w:rPr>
        <w:t xml:space="preserve"> sunt: </w:t>
      </w:r>
    </w:p>
    <w:p w:rsidR="0029748F" w:rsidRPr="008E1F89" w:rsidRDefault="0029748F" w:rsidP="0029748F">
      <w:pPr>
        <w:pStyle w:val="Default"/>
        <w:rPr>
          <w:rFonts w:ascii="Arial" w:hAnsi="Arial" w:cs="Arial"/>
        </w:rPr>
      </w:pPr>
      <w:r w:rsidRPr="008E1F89">
        <w:rPr>
          <w:rFonts w:ascii="Arial" w:hAnsi="Arial" w:cs="Arial"/>
          <w:b/>
          <w:bCs/>
        </w:rPr>
        <w:t xml:space="preserve">Zăcămintele de ţiţei şi gaze </w:t>
      </w:r>
      <w:r w:rsidRPr="008E1F89">
        <w:rPr>
          <w:rFonts w:ascii="Arial" w:hAnsi="Arial" w:cs="Arial"/>
        </w:rPr>
        <w:t xml:space="preserve">se află situate în două unităţi geologice distincte şi anume: </w:t>
      </w:r>
    </w:p>
    <w:p w:rsidR="0029748F" w:rsidRPr="008E1F89" w:rsidRDefault="0029748F" w:rsidP="0029748F">
      <w:pPr>
        <w:pStyle w:val="Default"/>
        <w:rPr>
          <w:rFonts w:ascii="Arial" w:hAnsi="Arial" w:cs="Arial"/>
        </w:rPr>
      </w:pPr>
      <w:r w:rsidRPr="008E1F89">
        <w:rPr>
          <w:rFonts w:ascii="Arial" w:hAnsi="Arial" w:cs="Arial"/>
        </w:rPr>
        <w:t>În cadrul zonei sud-estice a Platformei Moesice sunt puse în evidenţă şi se află în exploatare o serie de zăcăminte de ţiţei şi gaze pe aliniamentul structural orientat sud-vest nord-est Urziceni-Gârbova-</w:t>
      </w:r>
      <w:r w:rsidR="007C1699">
        <w:rPr>
          <w:rFonts w:ascii="Arial" w:hAnsi="Arial" w:cs="Arial"/>
        </w:rPr>
        <w:t>BR</w:t>
      </w:r>
      <w:r w:rsidRPr="008E1F89">
        <w:rPr>
          <w:rFonts w:ascii="Arial" w:hAnsi="Arial" w:cs="Arial"/>
        </w:rPr>
        <w:t>ăgăneasa-Padina-Jugureanu-Oprişeneşti-</w:t>
      </w:r>
      <w:r w:rsidR="00A34502">
        <w:rPr>
          <w:rFonts w:ascii="Arial" w:hAnsi="Arial" w:cs="Arial"/>
        </w:rPr>
        <w:t>P</w:t>
      </w:r>
      <w:r w:rsidRPr="008E1F89">
        <w:rPr>
          <w:rFonts w:ascii="Arial" w:hAnsi="Arial" w:cs="Arial"/>
        </w:rPr>
        <w:t>lopu-Bordei</w:t>
      </w:r>
      <w:r w:rsidR="00A34502">
        <w:rPr>
          <w:rFonts w:ascii="Arial" w:hAnsi="Arial" w:cs="Arial"/>
        </w:rPr>
        <w:t xml:space="preserve"> </w:t>
      </w:r>
      <w:r w:rsidRPr="008E1F89">
        <w:rPr>
          <w:rFonts w:ascii="Arial" w:hAnsi="Arial" w:cs="Arial"/>
        </w:rPr>
        <w:t xml:space="preserve">Verde- Lişcoteanca-Stăncuţa-Berteşti. </w:t>
      </w:r>
    </w:p>
    <w:p w:rsidR="0029748F" w:rsidRPr="008E1F89" w:rsidRDefault="0029748F" w:rsidP="0029748F">
      <w:pPr>
        <w:pStyle w:val="Default"/>
        <w:rPr>
          <w:rFonts w:ascii="Arial" w:hAnsi="Arial" w:cs="Arial"/>
        </w:rPr>
      </w:pPr>
      <w:r w:rsidRPr="008E1F89">
        <w:rPr>
          <w:rFonts w:ascii="Arial" w:hAnsi="Arial" w:cs="Arial"/>
        </w:rPr>
        <w:t xml:space="preserve">În zona vestică a ridicării Bordei Verde-Însurăţei, într-o zonă delimitată convenţional, între această ridicare şi râul Dâmboviţa, se întâlnesc zăcăminte de ţiţei şi gaze asociate în lungul </w:t>
      </w:r>
      <w:r w:rsidRPr="008E1F89">
        <w:rPr>
          <w:rFonts w:ascii="Arial" w:hAnsi="Arial" w:cs="Arial"/>
        </w:rPr>
        <w:lastRenderedPageBreak/>
        <w:t xml:space="preserve">anticlinalului principal Moara Vlăsiei-Urziceni-Jugureanu. Dintre acestea sunt exploatate zacămintele de ţiţei Jugureanu şi Padina. </w:t>
      </w:r>
    </w:p>
    <w:p w:rsidR="0029748F" w:rsidRPr="008E1F89" w:rsidRDefault="0029748F" w:rsidP="0029748F">
      <w:pPr>
        <w:pStyle w:val="Default"/>
        <w:rPr>
          <w:rFonts w:ascii="Arial" w:hAnsi="Arial" w:cs="Arial"/>
        </w:rPr>
      </w:pPr>
      <w:r w:rsidRPr="008E1F89">
        <w:rPr>
          <w:rFonts w:ascii="Arial" w:hAnsi="Arial" w:cs="Arial"/>
          <w:b/>
          <w:bCs/>
        </w:rPr>
        <w:t xml:space="preserve">Zăcămintele de gaze libere </w:t>
      </w:r>
      <w:r w:rsidRPr="008E1F89">
        <w:rPr>
          <w:rFonts w:ascii="Arial" w:hAnsi="Arial" w:cs="Arial"/>
        </w:rPr>
        <w:t xml:space="preserve">în zona de sud-est a Platformei Moesice au fost puse în evidenţă şi se află în exploatare la Oprişeneşti, Bordei Verde, Lişcoteanca, Berteşti, Stăncuţa, Jugureanu, Padina, Gardiştea, Balta Albă. </w:t>
      </w:r>
    </w:p>
    <w:p w:rsidR="0029748F" w:rsidRPr="008E1F89" w:rsidRDefault="0029748F" w:rsidP="0029748F">
      <w:pPr>
        <w:pStyle w:val="Default"/>
        <w:rPr>
          <w:rFonts w:ascii="Arial" w:hAnsi="Arial" w:cs="Arial"/>
        </w:rPr>
      </w:pPr>
      <w:r w:rsidRPr="008E1F89">
        <w:rPr>
          <w:rFonts w:ascii="Arial" w:hAnsi="Arial" w:cs="Arial"/>
          <w:b/>
          <w:bCs/>
        </w:rPr>
        <w:t xml:space="preserve">Zăcămintele de balast </w:t>
      </w:r>
      <w:r w:rsidRPr="008E1F89">
        <w:rPr>
          <w:rFonts w:ascii="Arial" w:hAnsi="Arial" w:cs="Arial"/>
        </w:rPr>
        <w:t xml:space="preserve">din judeţul </w:t>
      </w:r>
      <w:r w:rsidR="00217620">
        <w:rPr>
          <w:rFonts w:ascii="Arial" w:hAnsi="Arial" w:cs="Arial"/>
        </w:rPr>
        <w:t>Brăila</w:t>
      </w:r>
      <w:r w:rsidRPr="008E1F89">
        <w:rPr>
          <w:rFonts w:ascii="Arial" w:hAnsi="Arial" w:cs="Arial"/>
        </w:rPr>
        <w:t xml:space="preserve"> apar la Gradiştea şi I</w:t>
      </w:r>
      <w:r w:rsidR="007C1699">
        <w:rPr>
          <w:rFonts w:ascii="Arial" w:hAnsi="Arial" w:cs="Arial"/>
        </w:rPr>
        <w:t>BR</w:t>
      </w:r>
      <w:r w:rsidRPr="008E1F89">
        <w:rPr>
          <w:rFonts w:ascii="Arial" w:hAnsi="Arial" w:cs="Arial"/>
        </w:rPr>
        <w:t xml:space="preserve">ianu, în albia majoră a râului Buzău. S-au utilizat pentru amenajări de drumuri şi în construcţii. </w:t>
      </w:r>
    </w:p>
    <w:p w:rsidR="0029748F" w:rsidRPr="008E1F89" w:rsidRDefault="0029748F" w:rsidP="0029748F">
      <w:pPr>
        <w:pStyle w:val="Default"/>
        <w:rPr>
          <w:rFonts w:ascii="Arial" w:hAnsi="Arial" w:cs="Arial"/>
        </w:rPr>
      </w:pPr>
      <w:r w:rsidRPr="008E1F89">
        <w:rPr>
          <w:rFonts w:ascii="Arial" w:hAnsi="Arial" w:cs="Arial"/>
          <w:b/>
          <w:bCs/>
        </w:rPr>
        <w:t xml:space="preserve">Zăcăminte de argilă aluvionară </w:t>
      </w:r>
      <w:r w:rsidRPr="008E1F89">
        <w:rPr>
          <w:rFonts w:ascii="Arial" w:hAnsi="Arial" w:cs="Arial"/>
        </w:rPr>
        <w:t xml:space="preserve">cu intercalaţii nisipoase şi granule de CaCO3 la Baldovineşti, argilă prăfoasă nisipoasă la </w:t>
      </w:r>
      <w:r w:rsidR="00217620">
        <w:rPr>
          <w:rFonts w:ascii="Arial" w:hAnsi="Arial" w:cs="Arial"/>
        </w:rPr>
        <w:t>Brăila</w:t>
      </w:r>
      <w:r w:rsidRPr="008E1F89">
        <w:rPr>
          <w:rFonts w:ascii="Arial" w:hAnsi="Arial" w:cs="Arial"/>
        </w:rPr>
        <w:t>, cu rezerve de bilanţ de circa 1200 mii t şi argilă marnoasă cu înalt grad de refractaritate la Făurei-rezerve de bilanţ de circa 8200 mii t. Depunerile loessoide formează materia primă pentru ceramică inferioară, aceste argile fiind utilizate la fa</w:t>
      </w:r>
      <w:r w:rsidR="007C1699">
        <w:rPr>
          <w:rFonts w:ascii="Arial" w:hAnsi="Arial" w:cs="Arial"/>
        </w:rPr>
        <w:t>BR</w:t>
      </w:r>
      <w:r w:rsidRPr="008E1F89">
        <w:rPr>
          <w:rFonts w:ascii="Arial" w:hAnsi="Arial" w:cs="Arial"/>
        </w:rPr>
        <w:t xml:space="preserve">icarea cărămizilor. </w:t>
      </w:r>
    </w:p>
    <w:p w:rsidR="0029748F" w:rsidRPr="008E1F89" w:rsidRDefault="0029748F" w:rsidP="0029748F">
      <w:pPr>
        <w:pStyle w:val="Default"/>
        <w:rPr>
          <w:rFonts w:ascii="Arial" w:hAnsi="Arial" w:cs="Arial"/>
        </w:rPr>
      </w:pPr>
    </w:p>
    <w:p w:rsidR="0029748F" w:rsidRPr="008E1F89" w:rsidRDefault="0029748F" w:rsidP="0029748F">
      <w:pPr>
        <w:pStyle w:val="Default"/>
        <w:rPr>
          <w:rFonts w:ascii="Arial" w:hAnsi="Arial" w:cs="Arial"/>
        </w:rPr>
      </w:pPr>
      <w:r w:rsidRPr="008E1F89">
        <w:rPr>
          <w:rFonts w:ascii="Arial" w:hAnsi="Arial" w:cs="Arial"/>
          <w:b/>
          <w:bCs/>
        </w:rPr>
        <w:t xml:space="preserve">Ape minerale şi termale </w:t>
      </w:r>
    </w:p>
    <w:p w:rsidR="0029748F" w:rsidRPr="008E1F89" w:rsidRDefault="0029748F" w:rsidP="0029748F">
      <w:pPr>
        <w:pStyle w:val="Default"/>
        <w:rPr>
          <w:rFonts w:ascii="Arial" w:hAnsi="Arial" w:cs="Arial"/>
        </w:rPr>
      </w:pPr>
      <w:r w:rsidRPr="008E1F89">
        <w:rPr>
          <w:rFonts w:ascii="Arial" w:hAnsi="Arial" w:cs="Arial"/>
        </w:rPr>
        <w:t xml:space="preserve">În judeţul </w:t>
      </w:r>
      <w:r w:rsidR="00217620">
        <w:rPr>
          <w:rFonts w:ascii="Arial" w:hAnsi="Arial" w:cs="Arial"/>
        </w:rPr>
        <w:t>Brăila</w:t>
      </w:r>
      <w:r w:rsidRPr="008E1F89">
        <w:rPr>
          <w:rFonts w:ascii="Arial" w:hAnsi="Arial" w:cs="Arial"/>
        </w:rPr>
        <w:t xml:space="preserve"> există patru sonde cu ape geotermale, două la Însurăţei, una la Mihai </w:t>
      </w:r>
      <w:r w:rsidR="007C1699">
        <w:rPr>
          <w:rFonts w:ascii="Arial" w:hAnsi="Arial" w:cs="Arial"/>
        </w:rPr>
        <w:t>BR</w:t>
      </w:r>
      <w:r w:rsidRPr="008E1F89">
        <w:rPr>
          <w:rFonts w:ascii="Arial" w:hAnsi="Arial" w:cs="Arial"/>
        </w:rPr>
        <w:t xml:space="preserve">avu şi alta la Victoria. Apa are o temperatură la gura sondei de 90-95oC. Sondele aparţin S.C. FORADEX S.A. Bucureşti şi sunt în custodia primăriilor locale. Apa are un puternic caracter clorurat-sodic-sulfatic-potasic-magnezianocalcic. </w:t>
      </w:r>
    </w:p>
    <w:p w:rsidR="0029748F" w:rsidRPr="008E1F89" w:rsidRDefault="0029748F" w:rsidP="0029748F">
      <w:pPr>
        <w:pStyle w:val="Default"/>
        <w:rPr>
          <w:rFonts w:ascii="Arial" w:hAnsi="Arial" w:cs="Arial"/>
        </w:rPr>
      </w:pPr>
      <w:r w:rsidRPr="008E1F89">
        <w:rPr>
          <w:rFonts w:ascii="Arial" w:hAnsi="Arial" w:cs="Arial"/>
        </w:rPr>
        <w:t xml:space="preserve">Actualmente nu sunt utilizate. În trecut a fost utilizată o singura sondă în Însurăţei pentru preparare agent termic pentru locuinţe. </w:t>
      </w:r>
    </w:p>
    <w:p w:rsidR="0029748F" w:rsidRPr="008E1F89" w:rsidRDefault="0029748F" w:rsidP="0029748F">
      <w:pPr>
        <w:rPr>
          <w:rFonts w:ascii="Arial" w:hAnsi="Arial" w:cs="Arial"/>
          <w:b/>
        </w:rPr>
      </w:pPr>
    </w:p>
    <w:p w:rsidR="0029748F" w:rsidRDefault="0029748F" w:rsidP="0029748F">
      <w:pPr>
        <w:rPr>
          <w:rFonts w:ascii="Arial" w:hAnsi="Arial" w:cs="Arial"/>
          <w:b/>
          <w:sz w:val="24"/>
          <w:szCs w:val="24"/>
        </w:rPr>
      </w:pPr>
      <w:r w:rsidRPr="00A34502">
        <w:rPr>
          <w:rFonts w:ascii="Arial" w:hAnsi="Arial" w:cs="Arial"/>
          <w:b/>
          <w:sz w:val="24"/>
          <w:szCs w:val="24"/>
        </w:rPr>
        <w:t xml:space="preserve">Presiunile asupra mediului cauzate de deșeuri </w:t>
      </w:r>
    </w:p>
    <w:p w:rsidR="0029748F" w:rsidRPr="00A34502" w:rsidRDefault="00A34502" w:rsidP="0029748F">
      <w:pPr>
        <w:pStyle w:val="Default"/>
        <w:rPr>
          <w:rFonts w:ascii="Arial" w:hAnsi="Arial" w:cs="Arial"/>
        </w:rPr>
      </w:pPr>
      <w:r>
        <w:rPr>
          <w:rFonts w:ascii="Arial" w:hAnsi="Arial" w:cs="Arial"/>
          <w:b/>
          <w:bCs/>
        </w:rPr>
        <w:t xml:space="preserve">    </w:t>
      </w:r>
      <w:r w:rsidR="0029748F" w:rsidRPr="00A34502">
        <w:rPr>
          <w:rFonts w:ascii="Arial" w:hAnsi="Arial" w:cs="Arial"/>
          <w:b/>
          <w:bCs/>
        </w:rPr>
        <w:t xml:space="preserve">Evaluarea situaţiei actuale şi a situaţiei prognozate </w:t>
      </w:r>
    </w:p>
    <w:p w:rsidR="0029748F" w:rsidRPr="00A34502" w:rsidRDefault="0029748F" w:rsidP="0029748F">
      <w:pPr>
        <w:pStyle w:val="Default"/>
        <w:rPr>
          <w:rFonts w:ascii="Arial" w:hAnsi="Arial" w:cs="Arial"/>
          <w:b/>
          <w:bCs/>
        </w:rPr>
      </w:pPr>
    </w:p>
    <w:p w:rsidR="0029748F" w:rsidRPr="008E1F89" w:rsidRDefault="0029748F" w:rsidP="0029748F">
      <w:pPr>
        <w:pStyle w:val="Default"/>
        <w:rPr>
          <w:rFonts w:ascii="Arial" w:hAnsi="Arial" w:cs="Arial"/>
        </w:rPr>
      </w:pPr>
      <w:r w:rsidRPr="008E1F89">
        <w:rPr>
          <w:rFonts w:ascii="Arial" w:hAnsi="Arial" w:cs="Arial"/>
          <w:b/>
          <w:bCs/>
        </w:rPr>
        <w:t xml:space="preserve">Date generale </w:t>
      </w:r>
    </w:p>
    <w:p w:rsidR="0029748F" w:rsidRPr="008E1F89" w:rsidRDefault="0029748F" w:rsidP="0029748F">
      <w:pPr>
        <w:pStyle w:val="Default"/>
        <w:rPr>
          <w:rFonts w:ascii="Arial" w:hAnsi="Arial" w:cs="Arial"/>
        </w:rPr>
      </w:pPr>
      <w:r w:rsidRPr="008E1F89">
        <w:rPr>
          <w:rFonts w:ascii="Arial" w:hAnsi="Arial" w:cs="Arial"/>
          <w:b/>
          <w:bCs/>
        </w:rPr>
        <w:t xml:space="preserve">Sursele generatoare </w:t>
      </w:r>
      <w:r w:rsidRPr="008E1F89">
        <w:rPr>
          <w:rFonts w:ascii="Arial" w:hAnsi="Arial" w:cs="Arial"/>
        </w:rPr>
        <w:t xml:space="preserve">pe categorii de deșeuri sunt următoarele: </w:t>
      </w:r>
    </w:p>
    <w:p w:rsidR="0029748F" w:rsidRPr="008E1F89" w:rsidRDefault="0029748F" w:rsidP="0029748F">
      <w:pPr>
        <w:pStyle w:val="Default"/>
        <w:rPr>
          <w:rFonts w:ascii="Arial" w:hAnsi="Arial" w:cs="Arial"/>
        </w:rPr>
      </w:pPr>
      <w:r w:rsidRPr="008E1F89">
        <w:rPr>
          <w:rFonts w:ascii="Arial" w:hAnsi="Arial" w:cs="Arial"/>
        </w:rPr>
        <w:t xml:space="preserve">• </w:t>
      </w:r>
      <w:r w:rsidRPr="008E1F89">
        <w:rPr>
          <w:rFonts w:ascii="Arial" w:hAnsi="Arial" w:cs="Arial"/>
          <w:b/>
          <w:bCs/>
        </w:rPr>
        <w:t>gospodăriile</w:t>
      </w:r>
      <w:r w:rsidRPr="008E1F89">
        <w:rPr>
          <w:rFonts w:ascii="Arial" w:hAnsi="Arial" w:cs="Arial"/>
        </w:rPr>
        <w:t>: generează deșeuri menajere colectate în amestec (fiind principalul flux de deșeuri, cu un conținut important al fracției biodegradabile), deșeuri menajere colectate separat (în vederea reciclării-recuperării de material: hârtie și carton, plastic, sticlă, metal, lemn), deșeuri voluminoase, deșeuri menajere periculoase (reprezentate de mici cantități de baterii pentru aparataj electronic, medicamente expirate, resturi de vopsele și diluanți, etc), deșeuri menajere necolectate generate în general în mediul rural de către populația nedeservită de operatori de salu</w:t>
      </w:r>
      <w:r w:rsidR="007C1699">
        <w:rPr>
          <w:rFonts w:ascii="Arial" w:hAnsi="Arial" w:cs="Arial"/>
        </w:rPr>
        <w:t>BR</w:t>
      </w:r>
      <w:r w:rsidRPr="008E1F89">
        <w:rPr>
          <w:rFonts w:ascii="Arial" w:hAnsi="Arial" w:cs="Arial"/>
        </w:rPr>
        <w:t xml:space="preserve">itate și depozitate ilegal). </w:t>
      </w:r>
    </w:p>
    <w:p w:rsidR="0029748F" w:rsidRPr="008E1F89" w:rsidRDefault="0029748F" w:rsidP="0029748F">
      <w:pPr>
        <w:pStyle w:val="Default"/>
        <w:rPr>
          <w:rFonts w:ascii="Arial" w:hAnsi="Arial" w:cs="Arial"/>
        </w:rPr>
      </w:pPr>
      <w:r w:rsidRPr="008E1F89">
        <w:rPr>
          <w:rFonts w:ascii="Arial" w:hAnsi="Arial" w:cs="Arial"/>
        </w:rPr>
        <w:t xml:space="preserve">• </w:t>
      </w:r>
      <w:r w:rsidRPr="008E1F89">
        <w:rPr>
          <w:rFonts w:ascii="Arial" w:hAnsi="Arial" w:cs="Arial"/>
          <w:b/>
          <w:bCs/>
        </w:rPr>
        <w:t>sectorul industrial</w:t>
      </w:r>
      <w:r w:rsidRPr="008E1F89">
        <w:rPr>
          <w:rFonts w:ascii="Arial" w:hAnsi="Arial" w:cs="Arial"/>
        </w:rPr>
        <w:t xml:space="preserve">: generează deșeuri similare în compoziția celor menajere, provenite din diferite activități ale industriei (clădiri administrative, cantine, etc), deșeuri industriale ne-periculoase (deșeuri în general depozitate în depozite proprii); </w:t>
      </w:r>
    </w:p>
    <w:p w:rsidR="0029748F" w:rsidRPr="008E1F89" w:rsidRDefault="0029748F" w:rsidP="0029748F">
      <w:pPr>
        <w:pStyle w:val="Default"/>
        <w:rPr>
          <w:rFonts w:ascii="Arial" w:hAnsi="Arial" w:cs="Arial"/>
        </w:rPr>
      </w:pPr>
      <w:r w:rsidRPr="008E1F89">
        <w:rPr>
          <w:rFonts w:ascii="Arial" w:hAnsi="Arial" w:cs="Arial"/>
        </w:rPr>
        <w:t xml:space="preserve">• </w:t>
      </w:r>
      <w:r w:rsidRPr="008E1F89">
        <w:rPr>
          <w:rFonts w:ascii="Arial" w:hAnsi="Arial" w:cs="Arial"/>
          <w:b/>
          <w:bCs/>
        </w:rPr>
        <w:t>sectorul comercial şi instituţional</w:t>
      </w:r>
      <w:r w:rsidRPr="008E1F89">
        <w:rPr>
          <w:rFonts w:ascii="Arial" w:hAnsi="Arial" w:cs="Arial"/>
        </w:rPr>
        <w:t>: generează deșeuri similare ăn compozița celor menajere, deșeuri din ambalaje (parte din aceste deșeuri sânt reciclate și recuperate, returnate producătorilor sau sunt depuse la depozit), deșeuri voluminoase, deșeuri medicale periculoase si deșeuri periculoase,</w:t>
      </w:r>
    </w:p>
    <w:p w:rsidR="0029748F" w:rsidRPr="00DB73C7" w:rsidRDefault="0029748F" w:rsidP="0029748F">
      <w:pPr>
        <w:pStyle w:val="Default"/>
        <w:rPr>
          <w:rFonts w:ascii="Arial" w:hAnsi="Arial" w:cs="Arial"/>
        </w:rPr>
      </w:pPr>
      <w:r w:rsidRPr="008E1F89">
        <w:rPr>
          <w:rFonts w:ascii="Arial" w:hAnsi="Arial" w:cs="Arial"/>
        </w:rPr>
        <w:t xml:space="preserve"> </w:t>
      </w:r>
      <w:r w:rsidRPr="00DB73C7">
        <w:rPr>
          <w:rFonts w:ascii="Arial" w:hAnsi="Arial" w:cs="Arial"/>
        </w:rPr>
        <w:t xml:space="preserve">• </w:t>
      </w:r>
      <w:r w:rsidRPr="00DB73C7">
        <w:rPr>
          <w:rFonts w:ascii="Arial" w:hAnsi="Arial" w:cs="Arial"/>
          <w:b/>
          <w:bCs/>
        </w:rPr>
        <w:t>sectorul de construcţii</w:t>
      </w:r>
      <w:r w:rsidRPr="00DB73C7">
        <w:rPr>
          <w:rFonts w:ascii="Arial" w:hAnsi="Arial" w:cs="Arial"/>
        </w:rPr>
        <w:t xml:space="preserve">: fluxul principal este constituit de deșeuri din construcții și demolări (includ diverse cantități de lemn, metal, sticlă, plastic, etc – mare parte a acestor materiale sunt recuperate, restul constiuie un refuz inert, care de obicei se depozitează); </w:t>
      </w:r>
    </w:p>
    <w:p w:rsidR="0029748F" w:rsidRPr="00DB73C7" w:rsidRDefault="0029748F" w:rsidP="0029748F">
      <w:pPr>
        <w:pStyle w:val="Default"/>
        <w:rPr>
          <w:rFonts w:ascii="Arial" w:hAnsi="Arial" w:cs="Arial"/>
        </w:rPr>
      </w:pPr>
      <w:r w:rsidRPr="00DB73C7">
        <w:rPr>
          <w:rFonts w:ascii="Arial" w:hAnsi="Arial" w:cs="Arial"/>
        </w:rPr>
        <w:t xml:space="preserve">• </w:t>
      </w:r>
      <w:r w:rsidRPr="00DB73C7">
        <w:rPr>
          <w:rFonts w:ascii="Arial" w:hAnsi="Arial" w:cs="Arial"/>
          <w:b/>
          <w:bCs/>
        </w:rPr>
        <w:t>sectorul municipal</w:t>
      </w:r>
      <w:r w:rsidRPr="00DB73C7">
        <w:rPr>
          <w:rFonts w:ascii="Arial" w:hAnsi="Arial" w:cs="Arial"/>
        </w:rPr>
        <w:t xml:space="preserve">: este reprezentat de diverse tipuri de deșeuri rezultate din activitățile de curățenie și întreținere a infrastructurii municipale(deșeuri stradale, deșeuri din pieț , deșeuri verzi, fractii biodegradabile, ambalaje, etc), deșeuri din parcuri și grădini </w:t>
      </w:r>
    </w:p>
    <w:p w:rsidR="0029748F" w:rsidRPr="00DB73C7" w:rsidRDefault="0029748F" w:rsidP="0029748F">
      <w:pPr>
        <w:pStyle w:val="Default"/>
        <w:rPr>
          <w:rFonts w:ascii="Arial" w:hAnsi="Arial" w:cs="Arial"/>
        </w:rPr>
      </w:pPr>
      <w:r w:rsidRPr="00DB73C7">
        <w:rPr>
          <w:rFonts w:ascii="Arial" w:hAnsi="Arial" w:cs="Arial"/>
        </w:rPr>
        <w:t xml:space="preserve">• </w:t>
      </w:r>
      <w:r w:rsidRPr="00DB73C7">
        <w:rPr>
          <w:rFonts w:ascii="Arial" w:hAnsi="Arial" w:cs="Arial"/>
          <w:b/>
          <w:bCs/>
        </w:rPr>
        <w:t>activităţi cu impact asupra mediului</w:t>
      </w:r>
      <w:r w:rsidRPr="00DB73C7">
        <w:rPr>
          <w:rFonts w:ascii="Arial" w:hAnsi="Arial" w:cs="Arial"/>
        </w:rPr>
        <w:t>: nămoluri (provenite din stațiile de tratare ape uzate menajere).</w:t>
      </w:r>
    </w:p>
    <w:p w:rsidR="0029748F" w:rsidRPr="00DB73C7" w:rsidRDefault="0029748F" w:rsidP="0029748F">
      <w:pPr>
        <w:rPr>
          <w:rFonts w:ascii="Arial" w:hAnsi="Arial" w:cs="Arial"/>
          <w:sz w:val="24"/>
          <w:szCs w:val="24"/>
        </w:rPr>
      </w:pPr>
      <w:r w:rsidRPr="00DB73C7">
        <w:rPr>
          <w:rFonts w:ascii="Arial" w:hAnsi="Arial" w:cs="Arial"/>
          <w:sz w:val="24"/>
          <w:szCs w:val="24"/>
        </w:rPr>
        <w:t xml:space="preserve">• </w:t>
      </w:r>
      <w:r w:rsidRPr="00DB73C7">
        <w:rPr>
          <w:rFonts w:ascii="Arial" w:hAnsi="Arial" w:cs="Arial"/>
          <w:b/>
          <w:bCs/>
          <w:sz w:val="24"/>
          <w:szCs w:val="24"/>
        </w:rPr>
        <w:t>fluxuri speciale de deşeuri</w:t>
      </w:r>
      <w:r w:rsidRPr="00DB73C7">
        <w:rPr>
          <w:rFonts w:ascii="Arial" w:hAnsi="Arial" w:cs="Arial"/>
          <w:sz w:val="24"/>
          <w:szCs w:val="24"/>
        </w:rPr>
        <w:t>: deșeuri periculoase, deșeuri provenite din echipamente electrice și electronice, deșeuri rezultate din scoterea din uz a autovehicolelor, deșeuri de anvelope uzate.</w:t>
      </w:r>
    </w:p>
    <w:p w:rsidR="0029748F" w:rsidRPr="001C1090" w:rsidRDefault="0029748F" w:rsidP="0029748F">
      <w:pPr>
        <w:rPr>
          <w:rFonts w:ascii="Arial" w:hAnsi="Arial" w:cs="Arial"/>
          <w:b/>
          <w:sz w:val="24"/>
          <w:szCs w:val="24"/>
          <w:lang w:val="it-IT"/>
        </w:rPr>
      </w:pPr>
      <w:r w:rsidRPr="001C1090">
        <w:rPr>
          <w:rFonts w:ascii="Arial" w:hAnsi="Arial" w:cs="Arial"/>
          <w:b/>
          <w:sz w:val="24"/>
          <w:szCs w:val="24"/>
        </w:rPr>
        <w:lastRenderedPageBreak/>
        <w:t>X.4. Prognoze, politici și măsuri privind consumul și mediul</w:t>
      </w:r>
    </w:p>
    <w:p w:rsidR="0029748F" w:rsidRPr="008E1F89" w:rsidRDefault="0029748F" w:rsidP="0029748F">
      <w:pPr>
        <w:pStyle w:val="Default"/>
        <w:rPr>
          <w:rFonts w:ascii="Arial" w:hAnsi="Arial" w:cs="Arial"/>
        </w:rPr>
      </w:pPr>
      <w:r w:rsidRPr="008E1F89">
        <w:rPr>
          <w:rFonts w:ascii="Arial" w:hAnsi="Arial" w:cs="Arial"/>
        </w:rPr>
        <w:t xml:space="preserve">La nivelul judetului </w:t>
      </w:r>
      <w:r w:rsidR="00217620">
        <w:rPr>
          <w:rFonts w:ascii="Arial" w:hAnsi="Arial" w:cs="Arial"/>
        </w:rPr>
        <w:t>Brăila</w:t>
      </w:r>
      <w:r w:rsidRPr="008E1F89">
        <w:rPr>
          <w:rFonts w:ascii="Arial" w:hAnsi="Arial" w:cs="Arial"/>
        </w:rPr>
        <w:t xml:space="preserve"> a fost elaborat Proiectul </w:t>
      </w:r>
      <w:r w:rsidRPr="008E1F89">
        <w:rPr>
          <w:rFonts w:ascii="Arial" w:hAnsi="Arial" w:cs="Arial"/>
          <w:b/>
          <w:bCs/>
        </w:rPr>
        <w:t xml:space="preserve">„Sistem de management integrat al deşeurilor în judeţul </w:t>
      </w:r>
      <w:r w:rsidR="00217620">
        <w:rPr>
          <w:rFonts w:ascii="Arial" w:hAnsi="Arial" w:cs="Arial"/>
          <w:b/>
          <w:bCs/>
        </w:rPr>
        <w:t>Brăila</w:t>
      </w:r>
      <w:r w:rsidRPr="008E1F89">
        <w:rPr>
          <w:rFonts w:ascii="Arial" w:hAnsi="Arial" w:cs="Arial"/>
          <w:b/>
          <w:bCs/>
        </w:rPr>
        <w:t xml:space="preserve">” </w:t>
      </w:r>
      <w:r w:rsidRPr="008E1F89">
        <w:rPr>
          <w:rFonts w:ascii="Arial" w:hAnsi="Arial" w:cs="Arial"/>
        </w:rPr>
        <w:t>care se află în faza de implementare fizică prin POS Mediu.</w:t>
      </w:r>
    </w:p>
    <w:p w:rsidR="0029748F" w:rsidRPr="008E1F89" w:rsidRDefault="0029748F" w:rsidP="0029748F">
      <w:pPr>
        <w:pStyle w:val="Default"/>
        <w:rPr>
          <w:rFonts w:ascii="Arial" w:hAnsi="Arial" w:cs="Arial"/>
        </w:rPr>
      </w:pPr>
      <w:r w:rsidRPr="008E1F89">
        <w:rPr>
          <w:rFonts w:ascii="Arial" w:hAnsi="Arial" w:cs="Arial"/>
          <w:b/>
        </w:rPr>
        <w:t>Scopul acestui proiect</w:t>
      </w:r>
      <w:r w:rsidRPr="008E1F89">
        <w:rPr>
          <w:rFonts w:ascii="Arial" w:hAnsi="Arial" w:cs="Arial"/>
        </w:rPr>
        <w:t xml:space="preserve"> îl reprezintă identificarea  măsurilor, care trebuie îndeplinite pentru dezvoltarea unui sistem de management integrat al deșeurilor solide în județul </w:t>
      </w:r>
      <w:r w:rsidR="00217620">
        <w:rPr>
          <w:rFonts w:ascii="Arial" w:hAnsi="Arial" w:cs="Arial"/>
        </w:rPr>
        <w:t>Brăila</w:t>
      </w:r>
      <w:r w:rsidRPr="008E1F89">
        <w:rPr>
          <w:rFonts w:ascii="Arial" w:hAnsi="Arial" w:cs="Arial"/>
        </w:rPr>
        <w:t xml:space="preserve">, în conformitate cu obligațiile legale. </w:t>
      </w:r>
    </w:p>
    <w:p w:rsidR="0029748F" w:rsidRPr="008E1F89" w:rsidRDefault="0029748F" w:rsidP="0029748F">
      <w:pPr>
        <w:pStyle w:val="Default"/>
        <w:rPr>
          <w:rFonts w:ascii="Arial" w:hAnsi="Arial" w:cs="Arial"/>
        </w:rPr>
      </w:pPr>
      <w:r w:rsidRPr="008E1F89">
        <w:rPr>
          <w:rFonts w:ascii="Arial" w:hAnsi="Arial" w:cs="Arial"/>
          <w:b/>
          <w:bCs/>
        </w:rPr>
        <w:t xml:space="preserve">Obiectivele generale </w:t>
      </w:r>
      <w:r w:rsidRPr="008E1F89">
        <w:rPr>
          <w:rFonts w:ascii="Arial" w:hAnsi="Arial" w:cs="Arial"/>
        </w:rPr>
        <w:t xml:space="preserve">ale proiectului sunt urmatoarele: </w:t>
      </w:r>
    </w:p>
    <w:p w:rsidR="0029748F" w:rsidRPr="008E1F89" w:rsidRDefault="0029748F" w:rsidP="0029748F">
      <w:pPr>
        <w:pStyle w:val="Default"/>
        <w:rPr>
          <w:rFonts w:ascii="Arial" w:hAnsi="Arial" w:cs="Arial"/>
        </w:rPr>
      </w:pPr>
      <w:r w:rsidRPr="008E1F89">
        <w:rPr>
          <w:rFonts w:ascii="Arial" w:hAnsi="Arial" w:cs="Arial"/>
        </w:rPr>
        <w:t xml:space="preserve">Creșterea standardelor de viață și de mediu din județul </w:t>
      </w:r>
      <w:r w:rsidR="00217620">
        <w:rPr>
          <w:rFonts w:ascii="Arial" w:hAnsi="Arial" w:cs="Arial"/>
        </w:rPr>
        <w:t>Brăila</w:t>
      </w:r>
      <w:r w:rsidRPr="008E1F89">
        <w:rPr>
          <w:rFonts w:ascii="Arial" w:hAnsi="Arial" w:cs="Arial"/>
        </w:rPr>
        <w:t xml:space="preserve">, vizând, în principal, respectarea acquis-ului comunitar de mediu; </w:t>
      </w:r>
    </w:p>
    <w:p w:rsidR="0029748F" w:rsidRPr="008E1F89" w:rsidRDefault="0029748F" w:rsidP="0029748F">
      <w:pPr>
        <w:pStyle w:val="Default"/>
        <w:rPr>
          <w:rFonts w:ascii="Arial" w:hAnsi="Arial" w:cs="Arial"/>
        </w:rPr>
      </w:pPr>
      <w:r w:rsidRPr="008E1F89">
        <w:rPr>
          <w:rFonts w:ascii="Arial" w:hAnsi="Arial" w:cs="Arial"/>
        </w:rPr>
        <w:t xml:space="preserve">Dezvoltarea unui sistem durabil de management al deșeurilor în judetul </w:t>
      </w:r>
      <w:r w:rsidR="00217620">
        <w:rPr>
          <w:rFonts w:ascii="Arial" w:hAnsi="Arial" w:cs="Arial"/>
        </w:rPr>
        <w:t>Brăila</w:t>
      </w:r>
      <w:r w:rsidRPr="008E1F89">
        <w:rPr>
          <w:rFonts w:ascii="Arial" w:hAnsi="Arial" w:cs="Arial"/>
        </w:rPr>
        <w:t xml:space="preserve">, prin îmbunătățirea managementului deșeurilor și reducerea numărului de zone poluate din județ. </w:t>
      </w:r>
    </w:p>
    <w:p w:rsidR="0029748F" w:rsidRPr="008E1F89" w:rsidRDefault="0029748F" w:rsidP="0029748F">
      <w:pPr>
        <w:pStyle w:val="Default"/>
        <w:rPr>
          <w:rFonts w:ascii="Arial" w:hAnsi="Arial" w:cs="Arial"/>
        </w:rPr>
      </w:pPr>
      <w:r w:rsidRPr="008E1F89">
        <w:rPr>
          <w:rFonts w:ascii="Arial" w:hAnsi="Arial" w:cs="Arial"/>
          <w:b/>
          <w:bCs/>
        </w:rPr>
        <w:t xml:space="preserve">Obiectivele specifice </w:t>
      </w:r>
      <w:r w:rsidRPr="008E1F89">
        <w:rPr>
          <w:rFonts w:ascii="Arial" w:hAnsi="Arial" w:cs="Arial"/>
        </w:rPr>
        <w:t xml:space="preserve">ale proiectului sunt definite pe baza obiectivelor din cadrul POS Mediu și vizează: </w:t>
      </w:r>
    </w:p>
    <w:p w:rsidR="0029748F" w:rsidRPr="008E1F89" w:rsidRDefault="0029748F" w:rsidP="0029748F">
      <w:pPr>
        <w:pStyle w:val="Default"/>
        <w:rPr>
          <w:rFonts w:ascii="Arial" w:hAnsi="Arial" w:cs="Arial"/>
        </w:rPr>
      </w:pPr>
      <w:r w:rsidRPr="008E1F89">
        <w:rPr>
          <w:rFonts w:ascii="Arial" w:hAnsi="Arial" w:cs="Arial"/>
        </w:rPr>
        <w:t>Creșterea gradului de acoperire cu servicii de salu</w:t>
      </w:r>
      <w:r w:rsidR="007C1699">
        <w:rPr>
          <w:rFonts w:ascii="Arial" w:hAnsi="Arial" w:cs="Arial"/>
        </w:rPr>
        <w:t>BR</w:t>
      </w:r>
      <w:r w:rsidRPr="008E1F89">
        <w:rPr>
          <w:rFonts w:ascii="Arial" w:hAnsi="Arial" w:cs="Arial"/>
        </w:rPr>
        <w:t xml:space="preserve">itate la nivelul judeului </w:t>
      </w:r>
      <w:r w:rsidR="00217620">
        <w:rPr>
          <w:rFonts w:ascii="Arial" w:hAnsi="Arial" w:cs="Arial"/>
        </w:rPr>
        <w:t>Brăila</w:t>
      </w:r>
      <w:r w:rsidRPr="008E1F89">
        <w:rPr>
          <w:rFonts w:ascii="Arial" w:hAnsi="Arial" w:cs="Arial"/>
        </w:rPr>
        <w:t xml:space="preserve">, prin îmbunătățirea managementului deșeurilor; </w:t>
      </w:r>
    </w:p>
    <w:p w:rsidR="0029748F" w:rsidRPr="008E1F89" w:rsidRDefault="0029748F" w:rsidP="0029748F">
      <w:pPr>
        <w:pStyle w:val="Default"/>
        <w:rPr>
          <w:rFonts w:ascii="Arial" w:hAnsi="Arial" w:cs="Arial"/>
          <w:color w:val="auto"/>
        </w:rPr>
      </w:pPr>
      <w:r w:rsidRPr="008E1F89">
        <w:rPr>
          <w:rFonts w:ascii="Arial" w:hAnsi="Arial" w:cs="Arial"/>
          <w:color w:val="auto"/>
        </w:rPr>
        <w:t>Asigurarea unor servicii de salu</w:t>
      </w:r>
      <w:r w:rsidR="007C1699">
        <w:rPr>
          <w:rFonts w:ascii="Arial" w:hAnsi="Arial" w:cs="Arial"/>
          <w:color w:val="auto"/>
        </w:rPr>
        <w:t>BR</w:t>
      </w:r>
      <w:r w:rsidRPr="008E1F89">
        <w:rPr>
          <w:rFonts w:ascii="Arial" w:hAnsi="Arial" w:cs="Arial"/>
          <w:color w:val="auto"/>
        </w:rPr>
        <w:t xml:space="preserve">itate la standarde europene, percepând tarife acceptabile pentru populatia din judet; </w:t>
      </w:r>
    </w:p>
    <w:p w:rsidR="0029748F" w:rsidRPr="008E1F89" w:rsidRDefault="0029748F" w:rsidP="0029748F">
      <w:pPr>
        <w:pStyle w:val="Default"/>
        <w:rPr>
          <w:rFonts w:ascii="Arial" w:hAnsi="Arial" w:cs="Arial"/>
          <w:color w:val="auto"/>
        </w:rPr>
      </w:pPr>
      <w:r w:rsidRPr="008E1F89">
        <w:rPr>
          <w:rFonts w:ascii="Arial" w:hAnsi="Arial" w:cs="Arial"/>
          <w:color w:val="auto"/>
        </w:rPr>
        <w:t xml:space="preserve">Reducerea cantității de deșeuri depozitate pe suprafața judetului </w:t>
      </w:r>
      <w:r w:rsidR="00217620">
        <w:rPr>
          <w:rFonts w:ascii="Arial" w:hAnsi="Arial" w:cs="Arial"/>
          <w:color w:val="auto"/>
        </w:rPr>
        <w:t>Brăila</w:t>
      </w:r>
      <w:r w:rsidRPr="008E1F89">
        <w:rPr>
          <w:rFonts w:ascii="Arial" w:hAnsi="Arial" w:cs="Arial"/>
          <w:color w:val="auto"/>
        </w:rPr>
        <w:t xml:space="preserve">; </w:t>
      </w:r>
    </w:p>
    <w:p w:rsidR="0029748F" w:rsidRPr="008E1F89" w:rsidRDefault="0029748F" w:rsidP="0029748F">
      <w:pPr>
        <w:pStyle w:val="Default"/>
        <w:rPr>
          <w:rFonts w:ascii="Arial" w:hAnsi="Arial" w:cs="Arial"/>
          <w:color w:val="auto"/>
        </w:rPr>
      </w:pPr>
      <w:r w:rsidRPr="008E1F89">
        <w:rPr>
          <w:rFonts w:ascii="Arial" w:hAnsi="Arial" w:cs="Arial"/>
          <w:color w:val="auto"/>
        </w:rPr>
        <w:t xml:space="preserve">Creșterea cantității de deșeuri reciclate si valorificate la nivelul judetului </w:t>
      </w:r>
      <w:r w:rsidR="00217620">
        <w:rPr>
          <w:rFonts w:ascii="Arial" w:hAnsi="Arial" w:cs="Arial"/>
          <w:color w:val="auto"/>
        </w:rPr>
        <w:t>Brăila</w:t>
      </w:r>
      <w:r w:rsidRPr="008E1F89">
        <w:rPr>
          <w:rFonts w:ascii="Arial" w:hAnsi="Arial" w:cs="Arial"/>
          <w:color w:val="auto"/>
        </w:rPr>
        <w:t xml:space="preserve">; </w:t>
      </w:r>
    </w:p>
    <w:p w:rsidR="0029748F" w:rsidRPr="008E1F89" w:rsidRDefault="0029748F" w:rsidP="0029748F">
      <w:pPr>
        <w:pStyle w:val="Default"/>
        <w:rPr>
          <w:rFonts w:ascii="Arial" w:hAnsi="Arial" w:cs="Arial"/>
          <w:color w:val="auto"/>
        </w:rPr>
      </w:pPr>
      <w:r w:rsidRPr="008E1F89">
        <w:rPr>
          <w:rFonts w:ascii="Arial" w:hAnsi="Arial" w:cs="Arial"/>
          <w:color w:val="auto"/>
        </w:rPr>
        <w:t xml:space="preserve">Înființarea la nivelul județului </w:t>
      </w:r>
      <w:r w:rsidR="00217620">
        <w:rPr>
          <w:rFonts w:ascii="Arial" w:hAnsi="Arial" w:cs="Arial"/>
          <w:color w:val="auto"/>
        </w:rPr>
        <w:t>Brăila</w:t>
      </w:r>
      <w:r w:rsidRPr="008E1F89">
        <w:rPr>
          <w:rFonts w:ascii="Arial" w:hAnsi="Arial" w:cs="Arial"/>
          <w:color w:val="auto"/>
        </w:rPr>
        <w:t xml:space="preserve"> a unor structuri eficiente de management al deșeurilor. </w:t>
      </w:r>
    </w:p>
    <w:p w:rsidR="0029748F" w:rsidRPr="008E1F89" w:rsidRDefault="0029748F" w:rsidP="0029748F">
      <w:pPr>
        <w:pStyle w:val="Default"/>
        <w:rPr>
          <w:rFonts w:ascii="Arial" w:hAnsi="Arial" w:cs="Arial"/>
          <w:color w:val="auto"/>
        </w:rPr>
      </w:pPr>
      <w:r w:rsidRPr="008E1F89">
        <w:rPr>
          <w:rFonts w:ascii="Arial" w:hAnsi="Arial" w:cs="Arial"/>
          <w:color w:val="auto"/>
        </w:rPr>
        <w:t xml:space="preserve">Implementarea proiectului în județul </w:t>
      </w:r>
      <w:r w:rsidR="00217620">
        <w:rPr>
          <w:rFonts w:ascii="Arial" w:hAnsi="Arial" w:cs="Arial"/>
          <w:color w:val="auto"/>
        </w:rPr>
        <w:t>Brăila</w:t>
      </w:r>
      <w:r w:rsidRPr="008E1F89">
        <w:rPr>
          <w:rFonts w:ascii="Arial" w:hAnsi="Arial" w:cs="Arial"/>
          <w:color w:val="auto"/>
        </w:rPr>
        <w:t xml:space="preserve"> permite  atingerea următoarelor obiective: </w:t>
      </w:r>
    </w:p>
    <w:p w:rsidR="0029748F" w:rsidRPr="008E1F89" w:rsidRDefault="0029748F" w:rsidP="0029748F">
      <w:pPr>
        <w:pStyle w:val="Default"/>
        <w:rPr>
          <w:rFonts w:ascii="Arial" w:hAnsi="Arial" w:cs="Arial"/>
          <w:color w:val="auto"/>
        </w:rPr>
      </w:pPr>
      <w:r w:rsidRPr="008E1F89">
        <w:rPr>
          <w:rFonts w:ascii="Arial" w:hAnsi="Arial" w:cs="Arial"/>
          <w:color w:val="auto"/>
        </w:rPr>
        <w:t xml:space="preserve">• </w:t>
      </w:r>
      <w:r w:rsidRPr="008E1F89">
        <w:rPr>
          <w:rFonts w:ascii="Arial" w:hAnsi="Arial" w:cs="Arial"/>
          <w:color w:val="auto"/>
        </w:rPr>
        <w:tab/>
        <w:t>asigurarea unui grad de acoperire cu servicii de salu</w:t>
      </w:r>
      <w:r w:rsidR="007C1699">
        <w:rPr>
          <w:rFonts w:ascii="Arial" w:hAnsi="Arial" w:cs="Arial"/>
          <w:color w:val="auto"/>
        </w:rPr>
        <w:t>BR</w:t>
      </w:r>
      <w:r w:rsidRPr="008E1F89">
        <w:rPr>
          <w:rFonts w:ascii="Arial" w:hAnsi="Arial" w:cs="Arial"/>
          <w:color w:val="auto"/>
        </w:rPr>
        <w:t xml:space="preserve">itate de 100%, atât în mediul urban, cât și în mediul rural; </w:t>
      </w:r>
    </w:p>
    <w:p w:rsidR="0029748F" w:rsidRPr="008E1F89" w:rsidRDefault="0029748F" w:rsidP="0029748F">
      <w:pPr>
        <w:pStyle w:val="Default"/>
        <w:rPr>
          <w:rFonts w:ascii="Arial" w:hAnsi="Arial" w:cs="Arial"/>
          <w:color w:val="auto"/>
        </w:rPr>
      </w:pPr>
      <w:r w:rsidRPr="008E1F89">
        <w:rPr>
          <w:rFonts w:ascii="Arial" w:hAnsi="Arial" w:cs="Arial"/>
          <w:color w:val="auto"/>
        </w:rPr>
        <w:t xml:space="preserve">• </w:t>
      </w:r>
      <w:r w:rsidRPr="008E1F89">
        <w:rPr>
          <w:rFonts w:ascii="Arial" w:hAnsi="Arial" w:cs="Arial"/>
          <w:color w:val="auto"/>
        </w:rPr>
        <w:tab/>
        <w:t xml:space="preserve">atingerea țintelor de reciclare/valorificare a deșeurilor din ambalaje. </w:t>
      </w:r>
    </w:p>
    <w:p w:rsidR="0029748F" w:rsidRPr="008E1F89" w:rsidRDefault="0029748F" w:rsidP="0029748F">
      <w:pPr>
        <w:pStyle w:val="Default"/>
        <w:rPr>
          <w:rFonts w:ascii="Arial" w:hAnsi="Arial" w:cs="Arial"/>
          <w:color w:val="auto"/>
        </w:rPr>
      </w:pPr>
      <w:r w:rsidRPr="008E1F89">
        <w:rPr>
          <w:rFonts w:ascii="Arial" w:hAnsi="Arial" w:cs="Arial"/>
          <w:color w:val="auto"/>
        </w:rPr>
        <w:t xml:space="preserve">• </w:t>
      </w:r>
      <w:r w:rsidRPr="008E1F89">
        <w:rPr>
          <w:rFonts w:ascii="Arial" w:hAnsi="Arial" w:cs="Arial"/>
          <w:color w:val="auto"/>
        </w:rPr>
        <w:tab/>
        <w:t xml:space="preserve">conformarea cu privire la Directiva UE privind depozitarea deșeurilor biodegradabile </w:t>
      </w:r>
    </w:p>
    <w:p w:rsidR="0029748F" w:rsidRPr="008E1F89" w:rsidRDefault="0029748F" w:rsidP="0029748F">
      <w:pPr>
        <w:pStyle w:val="Default"/>
        <w:rPr>
          <w:rFonts w:ascii="Arial" w:hAnsi="Arial" w:cs="Arial"/>
          <w:color w:val="auto"/>
        </w:rPr>
      </w:pPr>
      <w:r w:rsidRPr="008E1F89">
        <w:rPr>
          <w:rFonts w:ascii="Arial" w:hAnsi="Arial" w:cs="Arial"/>
          <w:color w:val="auto"/>
        </w:rPr>
        <w:t xml:space="preserve">• </w:t>
      </w:r>
      <w:r w:rsidRPr="008E1F89">
        <w:rPr>
          <w:rFonts w:ascii="Arial" w:hAnsi="Arial" w:cs="Arial"/>
          <w:color w:val="auto"/>
        </w:rPr>
        <w:tab/>
        <w:t xml:space="preserve">reducerea impactului de mediu aferente depozitărilor neconforme. </w:t>
      </w:r>
    </w:p>
    <w:p w:rsidR="0033527B" w:rsidRPr="008E1F89" w:rsidRDefault="0033527B" w:rsidP="0033527B">
      <w:pPr>
        <w:spacing w:line="240" w:lineRule="auto"/>
        <w:rPr>
          <w:rFonts w:ascii="Arial" w:hAnsi="Arial" w:cs="Arial"/>
          <w:b/>
          <w:color w:val="FF0000"/>
          <w:sz w:val="24"/>
          <w:szCs w:val="24"/>
          <w:u w:val="single"/>
        </w:rPr>
      </w:pPr>
    </w:p>
    <w:p w:rsidR="0033527B" w:rsidRPr="008E1F89" w:rsidRDefault="0033527B" w:rsidP="0033527B">
      <w:pPr>
        <w:rPr>
          <w:rFonts w:ascii="Arial" w:hAnsi="Arial" w:cs="Arial"/>
          <w:b/>
          <w:sz w:val="24"/>
          <w:szCs w:val="24"/>
        </w:rPr>
      </w:pPr>
    </w:p>
    <w:sectPr w:rsidR="0033527B" w:rsidRPr="008E1F89" w:rsidSect="0055231E">
      <w:footerReference w:type="default" r:id="rId157"/>
      <w:pgSz w:w="11906" w:h="16838"/>
      <w:pgMar w:top="851"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8F6" w:rsidRDefault="009458F6" w:rsidP="00867CE1">
      <w:pPr>
        <w:spacing w:after="0" w:line="240" w:lineRule="auto"/>
      </w:pPr>
      <w:r>
        <w:separator/>
      </w:r>
    </w:p>
  </w:endnote>
  <w:endnote w:type="continuationSeparator" w:id="1">
    <w:p w:rsidR="009458F6" w:rsidRDefault="009458F6" w:rsidP="00867C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Univers Cd (WE)">
    <w:altName w:val="Arial"/>
    <w:panose1 w:val="00000000000000000000"/>
    <w:charset w:val="EE"/>
    <w:family w:val="swiss"/>
    <w:notTrueType/>
    <w:pitch w:val="variable"/>
    <w:sig w:usb0="00000005" w:usb1="00000000" w:usb2="00000000" w:usb3="00000000" w:csb0="00000002"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0" w:usb1="00000000" w:usb2="00000000" w:usb3="00000000" w:csb0="00000000" w:csb1="00000000"/>
  </w:font>
  <w:font w:name="Ro Times New Roman">
    <w:altName w:val="Times New Roman"/>
    <w:charset w:val="00"/>
    <w:family w:val="roman"/>
    <w:pitch w:val="variable"/>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4597"/>
      <w:docPartObj>
        <w:docPartGallery w:val="Page Numbers (Bottom of Page)"/>
        <w:docPartUnique/>
      </w:docPartObj>
    </w:sdtPr>
    <w:sdtContent>
      <w:p w:rsidR="009A58CA" w:rsidRDefault="003D04DD">
        <w:pPr>
          <w:pStyle w:val="Footer"/>
          <w:jc w:val="center"/>
        </w:pPr>
        <w:fldSimple w:instr=" PAGE   \* MERGEFORMAT ">
          <w:r w:rsidR="004775EA">
            <w:rPr>
              <w:noProof/>
            </w:rPr>
            <w:t>18</w:t>
          </w:r>
        </w:fldSimple>
      </w:p>
    </w:sdtContent>
  </w:sdt>
  <w:p w:rsidR="009A58CA" w:rsidRDefault="009A58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8CA" w:rsidRDefault="003D04DD">
    <w:pPr>
      <w:pStyle w:val="Footer"/>
      <w:jc w:val="center"/>
    </w:pPr>
    <w:fldSimple w:instr=" PAGE   \* MERGEFORMAT ">
      <w:r w:rsidR="000D5637">
        <w:rPr>
          <w:noProof/>
        </w:rPr>
        <w:t>166</w:t>
      </w:r>
    </w:fldSimple>
  </w:p>
  <w:p w:rsidR="009A58CA" w:rsidRDefault="009A58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8F6" w:rsidRDefault="009458F6" w:rsidP="00867CE1">
      <w:pPr>
        <w:spacing w:after="0" w:line="240" w:lineRule="auto"/>
      </w:pPr>
      <w:r>
        <w:separator/>
      </w:r>
    </w:p>
  </w:footnote>
  <w:footnote w:type="continuationSeparator" w:id="1">
    <w:p w:rsidR="009458F6" w:rsidRDefault="009458F6" w:rsidP="00867C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FA57D7"/>
    <w:multiLevelType w:val="hybridMultilevel"/>
    <w:tmpl w:val="5E2F082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D47BFB1"/>
    <w:multiLevelType w:val="hybridMultilevel"/>
    <w:tmpl w:val="88496FE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0A75926"/>
    <w:multiLevelType w:val="hybridMultilevel"/>
    <w:tmpl w:val="8C0221E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29055FE"/>
    <w:multiLevelType w:val="hybridMultilevel"/>
    <w:tmpl w:val="DBF6937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5A5DDF8"/>
    <w:multiLevelType w:val="hybridMultilevel"/>
    <w:tmpl w:val="E1DDDB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83CFD56"/>
    <w:multiLevelType w:val="hybridMultilevel"/>
    <w:tmpl w:val="0BC0211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5B601E2"/>
    <w:multiLevelType w:val="hybridMultilevel"/>
    <w:tmpl w:val="C53582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D79E0D0"/>
    <w:multiLevelType w:val="hybridMultilevel"/>
    <w:tmpl w:val="25C3011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D2B1C92"/>
    <w:multiLevelType w:val="hybridMultilevel"/>
    <w:tmpl w:val="B0387D9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F4F789B"/>
    <w:multiLevelType w:val="hybridMultilevel"/>
    <w:tmpl w:val="69D7612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2"/>
    <w:multiLevelType w:val="singleLevel"/>
    <w:tmpl w:val="00000002"/>
    <w:name w:val="WW8Num2"/>
    <w:lvl w:ilvl="0">
      <w:start w:val="1"/>
      <w:numFmt w:val="decimal"/>
      <w:lvlText w:val="%1."/>
      <w:lvlJc w:val="left"/>
      <w:pPr>
        <w:tabs>
          <w:tab w:val="num" w:pos="720"/>
        </w:tabs>
        <w:ind w:left="720" w:hanging="720"/>
      </w:pPr>
    </w:lvl>
  </w:abstractNum>
  <w:abstractNum w:abstractNumId="11">
    <w:nsid w:val="01344BF1"/>
    <w:multiLevelType w:val="multilevel"/>
    <w:tmpl w:val="22B4B0B2"/>
    <w:lvl w:ilvl="0">
      <w:start w:val="1"/>
      <w:numFmt w:val="bullet"/>
      <w:lvlText w:val=""/>
      <w:lvlJc w:val="left"/>
      <w:pPr>
        <w:ind w:left="2300" w:hanging="360"/>
      </w:pPr>
      <w:rPr>
        <w:rFonts w:ascii="Wingdings" w:hAnsi="Wingdings" w:hint="default"/>
      </w:rPr>
    </w:lvl>
    <w:lvl w:ilvl="1">
      <w:start w:val="1"/>
      <w:numFmt w:val="bullet"/>
      <w:lvlText w:val="o"/>
      <w:lvlJc w:val="left"/>
      <w:pPr>
        <w:ind w:left="3020" w:hanging="360"/>
      </w:pPr>
      <w:rPr>
        <w:rFonts w:ascii="Courier New" w:hAnsi="Courier New" w:cs="Courier New" w:hint="default"/>
      </w:rPr>
    </w:lvl>
    <w:lvl w:ilvl="2">
      <w:start w:val="1"/>
      <w:numFmt w:val="bullet"/>
      <w:lvlText w:val=""/>
      <w:lvlJc w:val="left"/>
      <w:pPr>
        <w:ind w:left="3740" w:hanging="360"/>
      </w:pPr>
      <w:rPr>
        <w:rFonts w:ascii="Wingdings" w:hAnsi="Wingdings" w:cs="Wingdings" w:hint="default"/>
      </w:rPr>
    </w:lvl>
    <w:lvl w:ilvl="3">
      <w:start w:val="1"/>
      <w:numFmt w:val="bullet"/>
      <w:lvlText w:val=""/>
      <w:lvlJc w:val="left"/>
      <w:pPr>
        <w:ind w:left="4460" w:hanging="360"/>
      </w:pPr>
      <w:rPr>
        <w:rFonts w:ascii="Symbol" w:hAnsi="Symbol" w:cs="Symbol" w:hint="default"/>
      </w:rPr>
    </w:lvl>
    <w:lvl w:ilvl="4">
      <w:start w:val="1"/>
      <w:numFmt w:val="bullet"/>
      <w:lvlText w:val="o"/>
      <w:lvlJc w:val="left"/>
      <w:pPr>
        <w:ind w:left="5180" w:hanging="360"/>
      </w:pPr>
      <w:rPr>
        <w:rFonts w:ascii="Courier New" w:hAnsi="Courier New" w:cs="Courier New" w:hint="default"/>
      </w:rPr>
    </w:lvl>
    <w:lvl w:ilvl="5">
      <w:start w:val="1"/>
      <w:numFmt w:val="bullet"/>
      <w:lvlText w:val=""/>
      <w:lvlJc w:val="left"/>
      <w:pPr>
        <w:ind w:left="5900" w:hanging="360"/>
      </w:pPr>
      <w:rPr>
        <w:rFonts w:ascii="Wingdings" w:hAnsi="Wingdings" w:cs="Wingdings" w:hint="default"/>
      </w:rPr>
    </w:lvl>
    <w:lvl w:ilvl="6">
      <w:start w:val="1"/>
      <w:numFmt w:val="bullet"/>
      <w:lvlText w:val=""/>
      <w:lvlJc w:val="left"/>
      <w:pPr>
        <w:ind w:left="6620" w:hanging="360"/>
      </w:pPr>
      <w:rPr>
        <w:rFonts w:ascii="Symbol" w:hAnsi="Symbol" w:cs="Symbol" w:hint="default"/>
      </w:rPr>
    </w:lvl>
    <w:lvl w:ilvl="7">
      <w:start w:val="1"/>
      <w:numFmt w:val="bullet"/>
      <w:lvlText w:val="o"/>
      <w:lvlJc w:val="left"/>
      <w:pPr>
        <w:ind w:left="7340" w:hanging="360"/>
      </w:pPr>
      <w:rPr>
        <w:rFonts w:ascii="Courier New" w:hAnsi="Courier New" w:cs="Courier New" w:hint="default"/>
      </w:rPr>
    </w:lvl>
    <w:lvl w:ilvl="8">
      <w:start w:val="1"/>
      <w:numFmt w:val="bullet"/>
      <w:lvlText w:val=""/>
      <w:lvlJc w:val="left"/>
      <w:pPr>
        <w:ind w:left="8060" w:hanging="360"/>
      </w:pPr>
      <w:rPr>
        <w:rFonts w:ascii="Wingdings" w:hAnsi="Wingdings" w:cs="Wingdings" w:hint="default"/>
      </w:rPr>
    </w:lvl>
  </w:abstractNum>
  <w:abstractNum w:abstractNumId="12">
    <w:nsid w:val="06C01646"/>
    <w:multiLevelType w:val="hybridMultilevel"/>
    <w:tmpl w:val="78527E92"/>
    <w:lvl w:ilvl="0" w:tplc="97924416">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nsid w:val="096A64CE"/>
    <w:multiLevelType w:val="hybridMultilevel"/>
    <w:tmpl w:val="160E8B6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0B0C7C8C"/>
    <w:multiLevelType w:val="hybridMultilevel"/>
    <w:tmpl w:val="A310299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0E2B3C98"/>
    <w:multiLevelType w:val="hybridMultilevel"/>
    <w:tmpl w:val="288030DA"/>
    <w:lvl w:ilvl="0" w:tplc="04180001">
      <w:start w:val="1"/>
      <w:numFmt w:val="bullet"/>
      <w:lvlText w:val=""/>
      <w:lvlJc w:val="left"/>
      <w:pPr>
        <w:ind w:left="975" w:hanging="360"/>
      </w:pPr>
      <w:rPr>
        <w:rFonts w:ascii="Symbol" w:hAnsi="Symbol" w:hint="default"/>
      </w:rPr>
    </w:lvl>
    <w:lvl w:ilvl="1" w:tplc="04180003" w:tentative="1">
      <w:start w:val="1"/>
      <w:numFmt w:val="bullet"/>
      <w:lvlText w:val="o"/>
      <w:lvlJc w:val="left"/>
      <w:pPr>
        <w:ind w:left="1695" w:hanging="360"/>
      </w:pPr>
      <w:rPr>
        <w:rFonts w:ascii="Courier New" w:hAnsi="Courier New" w:cs="Courier New" w:hint="default"/>
      </w:rPr>
    </w:lvl>
    <w:lvl w:ilvl="2" w:tplc="04180005" w:tentative="1">
      <w:start w:val="1"/>
      <w:numFmt w:val="bullet"/>
      <w:lvlText w:val=""/>
      <w:lvlJc w:val="left"/>
      <w:pPr>
        <w:ind w:left="2415" w:hanging="360"/>
      </w:pPr>
      <w:rPr>
        <w:rFonts w:ascii="Wingdings" w:hAnsi="Wingdings" w:hint="default"/>
      </w:rPr>
    </w:lvl>
    <w:lvl w:ilvl="3" w:tplc="04180001" w:tentative="1">
      <w:start w:val="1"/>
      <w:numFmt w:val="bullet"/>
      <w:lvlText w:val=""/>
      <w:lvlJc w:val="left"/>
      <w:pPr>
        <w:ind w:left="3135" w:hanging="360"/>
      </w:pPr>
      <w:rPr>
        <w:rFonts w:ascii="Symbol" w:hAnsi="Symbol" w:hint="default"/>
      </w:rPr>
    </w:lvl>
    <w:lvl w:ilvl="4" w:tplc="04180003" w:tentative="1">
      <w:start w:val="1"/>
      <w:numFmt w:val="bullet"/>
      <w:lvlText w:val="o"/>
      <w:lvlJc w:val="left"/>
      <w:pPr>
        <w:ind w:left="3855" w:hanging="360"/>
      </w:pPr>
      <w:rPr>
        <w:rFonts w:ascii="Courier New" w:hAnsi="Courier New" w:cs="Courier New" w:hint="default"/>
      </w:rPr>
    </w:lvl>
    <w:lvl w:ilvl="5" w:tplc="04180005" w:tentative="1">
      <w:start w:val="1"/>
      <w:numFmt w:val="bullet"/>
      <w:lvlText w:val=""/>
      <w:lvlJc w:val="left"/>
      <w:pPr>
        <w:ind w:left="4575" w:hanging="360"/>
      </w:pPr>
      <w:rPr>
        <w:rFonts w:ascii="Wingdings" w:hAnsi="Wingdings" w:hint="default"/>
      </w:rPr>
    </w:lvl>
    <w:lvl w:ilvl="6" w:tplc="04180001" w:tentative="1">
      <w:start w:val="1"/>
      <w:numFmt w:val="bullet"/>
      <w:lvlText w:val=""/>
      <w:lvlJc w:val="left"/>
      <w:pPr>
        <w:ind w:left="5295" w:hanging="360"/>
      </w:pPr>
      <w:rPr>
        <w:rFonts w:ascii="Symbol" w:hAnsi="Symbol" w:hint="default"/>
      </w:rPr>
    </w:lvl>
    <w:lvl w:ilvl="7" w:tplc="04180003" w:tentative="1">
      <w:start w:val="1"/>
      <w:numFmt w:val="bullet"/>
      <w:lvlText w:val="o"/>
      <w:lvlJc w:val="left"/>
      <w:pPr>
        <w:ind w:left="6015" w:hanging="360"/>
      </w:pPr>
      <w:rPr>
        <w:rFonts w:ascii="Courier New" w:hAnsi="Courier New" w:cs="Courier New" w:hint="default"/>
      </w:rPr>
    </w:lvl>
    <w:lvl w:ilvl="8" w:tplc="04180005" w:tentative="1">
      <w:start w:val="1"/>
      <w:numFmt w:val="bullet"/>
      <w:lvlText w:val=""/>
      <w:lvlJc w:val="left"/>
      <w:pPr>
        <w:ind w:left="6735" w:hanging="360"/>
      </w:pPr>
      <w:rPr>
        <w:rFonts w:ascii="Wingdings" w:hAnsi="Wingdings" w:hint="default"/>
      </w:rPr>
    </w:lvl>
  </w:abstractNum>
  <w:abstractNum w:abstractNumId="16">
    <w:nsid w:val="119408B9"/>
    <w:multiLevelType w:val="hybridMultilevel"/>
    <w:tmpl w:val="AF1AED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2057CE8"/>
    <w:multiLevelType w:val="hybridMultilevel"/>
    <w:tmpl w:val="4600F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2091AA6"/>
    <w:multiLevelType w:val="multilevel"/>
    <w:tmpl w:val="3740F760"/>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
    <w:nsid w:val="14290F4D"/>
    <w:multiLevelType w:val="hybridMultilevel"/>
    <w:tmpl w:val="784C5988"/>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0">
    <w:nsid w:val="14844589"/>
    <w:multiLevelType w:val="hybridMultilevel"/>
    <w:tmpl w:val="C3B6B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16957F97"/>
    <w:multiLevelType w:val="hybridMultilevel"/>
    <w:tmpl w:val="3496D3E2"/>
    <w:lvl w:ilvl="0" w:tplc="04180001">
      <w:start w:val="1"/>
      <w:numFmt w:val="bullet"/>
      <w:lvlText w:val=""/>
      <w:lvlJc w:val="left"/>
      <w:pPr>
        <w:tabs>
          <w:tab w:val="num" w:pos="786"/>
        </w:tabs>
        <w:ind w:left="786" w:hanging="360"/>
      </w:pPr>
      <w:rPr>
        <w:rFonts w:ascii="Symbol" w:hAnsi="Symbol" w:hint="default"/>
      </w:rPr>
    </w:lvl>
    <w:lvl w:ilvl="1" w:tplc="04180003" w:tentative="1">
      <w:start w:val="1"/>
      <w:numFmt w:val="bullet"/>
      <w:lvlText w:val="o"/>
      <w:lvlJc w:val="left"/>
      <w:pPr>
        <w:tabs>
          <w:tab w:val="num" w:pos="1506"/>
        </w:tabs>
        <w:ind w:left="1506" w:hanging="360"/>
      </w:pPr>
      <w:rPr>
        <w:rFonts w:ascii="Courier New" w:hAnsi="Courier New" w:cs="Courier New" w:hint="default"/>
      </w:rPr>
    </w:lvl>
    <w:lvl w:ilvl="2" w:tplc="04180005" w:tentative="1">
      <w:start w:val="1"/>
      <w:numFmt w:val="bullet"/>
      <w:lvlText w:val=""/>
      <w:lvlJc w:val="left"/>
      <w:pPr>
        <w:tabs>
          <w:tab w:val="num" w:pos="2226"/>
        </w:tabs>
        <w:ind w:left="2226" w:hanging="360"/>
      </w:pPr>
      <w:rPr>
        <w:rFonts w:ascii="Wingdings" w:hAnsi="Wingdings" w:hint="default"/>
      </w:rPr>
    </w:lvl>
    <w:lvl w:ilvl="3" w:tplc="04180001" w:tentative="1">
      <w:start w:val="1"/>
      <w:numFmt w:val="bullet"/>
      <w:lvlText w:val=""/>
      <w:lvlJc w:val="left"/>
      <w:pPr>
        <w:tabs>
          <w:tab w:val="num" w:pos="2946"/>
        </w:tabs>
        <w:ind w:left="2946" w:hanging="360"/>
      </w:pPr>
      <w:rPr>
        <w:rFonts w:ascii="Symbol" w:hAnsi="Symbol" w:hint="default"/>
      </w:rPr>
    </w:lvl>
    <w:lvl w:ilvl="4" w:tplc="04180003" w:tentative="1">
      <w:start w:val="1"/>
      <w:numFmt w:val="bullet"/>
      <w:lvlText w:val="o"/>
      <w:lvlJc w:val="left"/>
      <w:pPr>
        <w:tabs>
          <w:tab w:val="num" w:pos="3666"/>
        </w:tabs>
        <w:ind w:left="3666" w:hanging="360"/>
      </w:pPr>
      <w:rPr>
        <w:rFonts w:ascii="Courier New" w:hAnsi="Courier New" w:cs="Courier New" w:hint="default"/>
      </w:rPr>
    </w:lvl>
    <w:lvl w:ilvl="5" w:tplc="04180005" w:tentative="1">
      <w:start w:val="1"/>
      <w:numFmt w:val="bullet"/>
      <w:lvlText w:val=""/>
      <w:lvlJc w:val="left"/>
      <w:pPr>
        <w:tabs>
          <w:tab w:val="num" w:pos="4386"/>
        </w:tabs>
        <w:ind w:left="4386" w:hanging="360"/>
      </w:pPr>
      <w:rPr>
        <w:rFonts w:ascii="Wingdings" w:hAnsi="Wingdings" w:hint="default"/>
      </w:rPr>
    </w:lvl>
    <w:lvl w:ilvl="6" w:tplc="04180001" w:tentative="1">
      <w:start w:val="1"/>
      <w:numFmt w:val="bullet"/>
      <w:lvlText w:val=""/>
      <w:lvlJc w:val="left"/>
      <w:pPr>
        <w:tabs>
          <w:tab w:val="num" w:pos="5106"/>
        </w:tabs>
        <w:ind w:left="5106" w:hanging="360"/>
      </w:pPr>
      <w:rPr>
        <w:rFonts w:ascii="Symbol" w:hAnsi="Symbol" w:hint="default"/>
      </w:rPr>
    </w:lvl>
    <w:lvl w:ilvl="7" w:tplc="04180003" w:tentative="1">
      <w:start w:val="1"/>
      <w:numFmt w:val="bullet"/>
      <w:lvlText w:val="o"/>
      <w:lvlJc w:val="left"/>
      <w:pPr>
        <w:tabs>
          <w:tab w:val="num" w:pos="5826"/>
        </w:tabs>
        <w:ind w:left="5826" w:hanging="360"/>
      </w:pPr>
      <w:rPr>
        <w:rFonts w:ascii="Courier New" w:hAnsi="Courier New" w:cs="Courier New" w:hint="default"/>
      </w:rPr>
    </w:lvl>
    <w:lvl w:ilvl="8" w:tplc="04180005" w:tentative="1">
      <w:start w:val="1"/>
      <w:numFmt w:val="bullet"/>
      <w:lvlText w:val=""/>
      <w:lvlJc w:val="left"/>
      <w:pPr>
        <w:tabs>
          <w:tab w:val="num" w:pos="6546"/>
        </w:tabs>
        <w:ind w:left="6546" w:hanging="360"/>
      </w:pPr>
      <w:rPr>
        <w:rFonts w:ascii="Wingdings" w:hAnsi="Wingdings" w:hint="default"/>
      </w:rPr>
    </w:lvl>
  </w:abstractNum>
  <w:abstractNum w:abstractNumId="22">
    <w:nsid w:val="174B42F7"/>
    <w:multiLevelType w:val="hybridMultilevel"/>
    <w:tmpl w:val="63F08E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1855242D"/>
    <w:multiLevelType w:val="hybridMultilevel"/>
    <w:tmpl w:val="167617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1A822165"/>
    <w:multiLevelType w:val="hybridMultilevel"/>
    <w:tmpl w:val="CBD4385C"/>
    <w:lvl w:ilvl="0" w:tplc="04180001">
      <w:start w:val="1"/>
      <w:numFmt w:val="bullet"/>
      <w:lvlText w:val=""/>
      <w:lvlJc w:val="left"/>
      <w:pPr>
        <w:tabs>
          <w:tab w:val="num" w:pos="1776"/>
        </w:tabs>
        <w:ind w:left="1776"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5">
    <w:nsid w:val="1A956F5B"/>
    <w:multiLevelType w:val="hybridMultilevel"/>
    <w:tmpl w:val="6B5411B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1D340AAD"/>
    <w:multiLevelType w:val="multilevel"/>
    <w:tmpl w:val="2474DE34"/>
    <w:lvl w:ilvl="0">
      <w:start w:val="1"/>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rPr>
    </w:lvl>
    <w:lvl w:ilvl="1">
      <w:start w:val="1"/>
      <w:numFmt w:val="decimal"/>
      <w:suff w:val="space"/>
      <w:lvlText w:val="%1.%2."/>
      <w:lvlJc w:val="left"/>
      <w:pPr>
        <w:ind w:left="1191" w:hanging="624"/>
      </w:pPr>
      <w:rPr>
        <w:rFonts w:hint="default"/>
        <w:sz w:val="22"/>
      </w:rPr>
    </w:lvl>
    <w:lvl w:ilvl="2">
      <w:start w:val="1"/>
      <w:numFmt w:val="decimal"/>
      <w:lvlText w:val="%1.%2.%3."/>
      <w:lvlJc w:val="left"/>
      <w:pPr>
        <w:tabs>
          <w:tab w:val="num" w:pos="0"/>
        </w:tabs>
        <w:ind w:left="567"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27">
    <w:nsid w:val="1E8E64D8"/>
    <w:multiLevelType w:val="hybridMultilevel"/>
    <w:tmpl w:val="EDA80974"/>
    <w:lvl w:ilvl="0" w:tplc="27229B74">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1EB37745"/>
    <w:multiLevelType w:val="multilevel"/>
    <w:tmpl w:val="E64A5560"/>
    <w:lvl w:ilvl="0">
      <w:start w:val="1"/>
      <w:numFmt w:val="bullet"/>
      <w:lvlText w:val=""/>
      <w:lvlJc w:val="left"/>
      <w:pPr>
        <w:ind w:left="2300" w:hanging="360"/>
      </w:pPr>
      <w:rPr>
        <w:rFonts w:ascii="Symbol" w:hAnsi="Symbol" w:cs="Symbol" w:hint="default"/>
      </w:rPr>
    </w:lvl>
    <w:lvl w:ilvl="1">
      <w:start w:val="1"/>
      <w:numFmt w:val="bullet"/>
      <w:lvlText w:val="o"/>
      <w:lvlJc w:val="left"/>
      <w:pPr>
        <w:ind w:left="3020" w:hanging="360"/>
      </w:pPr>
      <w:rPr>
        <w:rFonts w:ascii="Courier New" w:hAnsi="Courier New" w:cs="Courier New" w:hint="default"/>
      </w:rPr>
    </w:lvl>
    <w:lvl w:ilvl="2">
      <w:start w:val="1"/>
      <w:numFmt w:val="bullet"/>
      <w:lvlText w:val=""/>
      <w:lvlJc w:val="left"/>
      <w:pPr>
        <w:ind w:left="3740" w:hanging="360"/>
      </w:pPr>
      <w:rPr>
        <w:rFonts w:ascii="Wingdings" w:hAnsi="Wingdings" w:cs="Wingdings" w:hint="default"/>
      </w:rPr>
    </w:lvl>
    <w:lvl w:ilvl="3">
      <w:start w:val="1"/>
      <w:numFmt w:val="bullet"/>
      <w:lvlText w:val=""/>
      <w:lvlJc w:val="left"/>
      <w:pPr>
        <w:ind w:left="4460" w:hanging="360"/>
      </w:pPr>
      <w:rPr>
        <w:rFonts w:ascii="Symbol" w:hAnsi="Symbol" w:cs="Symbol" w:hint="default"/>
      </w:rPr>
    </w:lvl>
    <w:lvl w:ilvl="4">
      <w:start w:val="1"/>
      <w:numFmt w:val="bullet"/>
      <w:lvlText w:val="o"/>
      <w:lvlJc w:val="left"/>
      <w:pPr>
        <w:ind w:left="5180" w:hanging="360"/>
      </w:pPr>
      <w:rPr>
        <w:rFonts w:ascii="Courier New" w:hAnsi="Courier New" w:cs="Courier New" w:hint="default"/>
      </w:rPr>
    </w:lvl>
    <w:lvl w:ilvl="5">
      <w:start w:val="1"/>
      <w:numFmt w:val="bullet"/>
      <w:lvlText w:val=""/>
      <w:lvlJc w:val="left"/>
      <w:pPr>
        <w:ind w:left="5900" w:hanging="360"/>
      </w:pPr>
      <w:rPr>
        <w:rFonts w:ascii="Wingdings" w:hAnsi="Wingdings" w:cs="Wingdings" w:hint="default"/>
      </w:rPr>
    </w:lvl>
    <w:lvl w:ilvl="6">
      <w:start w:val="1"/>
      <w:numFmt w:val="bullet"/>
      <w:lvlText w:val=""/>
      <w:lvlJc w:val="left"/>
      <w:pPr>
        <w:ind w:left="6620" w:hanging="360"/>
      </w:pPr>
      <w:rPr>
        <w:rFonts w:ascii="Symbol" w:hAnsi="Symbol" w:cs="Symbol" w:hint="default"/>
      </w:rPr>
    </w:lvl>
    <w:lvl w:ilvl="7">
      <w:start w:val="1"/>
      <w:numFmt w:val="bullet"/>
      <w:lvlText w:val="o"/>
      <w:lvlJc w:val="left"/>
      <w:pPr>
        <w:ind w:left="7340" w:hanging="360"/>
      </w:pPr>
      <w:rPr>
        <w:rFonts w:ascii="Courier New" w:hAnsi="Courier New" w:cs="Courier New" w:hint="default"/>
      </w:rPr>
    </w:lvl>
    <w:lvl w:ilvl="8">
      <w:start w:val="1"/>
      <w:numFmt w:val="bullet"/>
      <w:lvlText w:val=""/>
      <w:lvlJc w:val="left"/>
      <w:pPr>
        <w:ind w:left="8060" w:hanging="360"/>
      </w:pPr>
      <w:rPr>
        <w:rFonts w:ascii="Wingdings" w:hAnsi="Wingdings" w:cs="Wingdings" w:hint="default"/>
      </w:rPr>
    </w:lvl>
  </w:abstractNum>
  <w:abstractNum w:abstractNumId="29">
    <w:nsid w:val="1F233BAF"/>
    <w:multiLevelType w:val="hybridMultilevel"/>
    <w:tmpl w:val="E384C46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36F1E96"/>
    <w:multiLevelType w:val="hybridMultilevel"/>
    <w:tmpl w:val="B6A0B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51957DF"/>
    <w:multiLevelType w:val="hybridMultilevel"/>
    <w:tmpl w:val="857C7C2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26846293"/>
    <w:multiLevelType w:val="hybridMultilevel"/>
    <w:tmpl w:val="E8E435F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27134C21"/>
    <w:multiLevelType w:val="hybridMultilevel"/>
    <w:tmpl w:val="161C2AD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72F7628"/>
    <w:multiLevelType w:val="hybridMultilevel"/>
    <w:tmpl w:val="5324262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2ACE6C66"/>
    <w:multiLevelType w:val="hybridMultilevel"/>
    <w:tmpl w:val="B39604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2B26055A"/>
    <w:multiLevelType w:val="hybridMultilevel"/>
    <w:tmpl w:val="F8D49230"/>
    <w:lvl w:ilvl="0" w:tplc="D3CE15C0">
      <w:start w:val="9"/>
      <w:numFmt w:val="bullet"/>
      <w:lvlText w:val="-"/>
      <w:lvlJc w:val="left"/>
      <w:pPr>
        <w:ind w:left="644" w:hanging="360"/>
      </w:pPr>
      <w:rPr>
        <w:rFonts w:ascii="Times New Roman" w:eastAsia="Calibri" w:hAnsi="Times New Roman" w:cs="Times New Roman" w:hint="default"/>
        <w:b/>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37">
    <w:nsid w:val="2C0452B3"/>
    <w:multiLevelType w:val="hybridMultilevel"/>
    <w:tmpl w:val="E05840E6"/>
    <w:lvl w:ilvl="0" w:tplc="04180001">
      <w:start w:val="1"/>
      <w:numFmt w:val="bullet"/>
      <w:lvlText w:val=""/>
      <w:lvlJc w:val="left"/>
      <w:pPr>
        <w:ind w:left="1410" w:hanging="360"/>
      </w:pPr>
      <w:rPr>
        <w:rFonts w:ascii="Symbol" w:hAnsi="Symbol" w:hint="default"/>
      </w:rPr>
    </w:lvl>
    <w:lvl w:ilvl="1" w:tplc="04180003" w:tentative="1">
      <w:start w:val="1"/>
      <w:numFmt w:val="bullet"/>
      <w:lvlText w:val="o"/>
      <w:lvlJc w:val="left"/>
      <w:pPr>
        <w:ind w:left="2130" w:hanging="360"/>
      </w:pPr>
      <w:rPr>
        <w:rFonts w:ascii="Courier New" w:hAnsi="Courier New" w:cs="Courier New" w:hint="default"/>
      </w:rPr>
    </w:lvl>
    <w:lvl w:ilvl="2" w:tplc="04180005" w:tentative="1">
      <w:start w:val="1"/>
      <w:numFmt w:val="bullet"/>
      <w:lvlText w:val=""/>
      <w:lvlJc w:val="left"/>
      <w:pPr>
        <w:ind w:left="2850" w:hanging="360"/>
      </w:pPr>
      <w:rPr>
        <w:rFonts w:ascii="Wingdings" w:hAnsi="Wingdings" w:hint="default"/>
      </w:rPr>
    </w:lvl>
    <w:lvl w:ilvl="3" w:tplc="04180001" w:tentative="1">
      <w:start w:val="1"/>
      <w:numFmt w:val="bullet"/>
      <w:lvlText w:val=""/>
      <w:lvlJc w:val="left"/>
      <w:pPr>
        <w:ind w:left="3570" w:hanging="360"/>
      </w:pPr>
      <w:rPr>
        <w:rFonts w:ascii="Symbol" w:hAnsi="Symbol" w:hint="default"/>
      </w:rPr>
    </w:lvl>
    <w:lvl w:ilvl="4" w:tplc="04180003" w:tentative="1">
      <w:start w:val="1"/>
      <w:numFmt w:val="bullet"/>
      <w:lvlText w:val="o"/>
      <w:lvlJc w:val="left"/>
      <w:pPr>
        <w:ind w:left="4290" w:hanging="360"/>
      </w:pPr>
      <w:rPr>
        <w:rFonts w:ascii="Courier New" w:hAnsi="Courier New" w:cs="Courier New" w:hint="default"/>
      </w:rPr>
    </w:lvl>
    <w:lvl w:ilvl="5" w:tplc="04180005" w:tentative="1">
      <w:start w:val="1"/>
      <w:numFmt w:val="bullet"/>
      <w:lvlText w:val=""/>
      <w:lvlJc w:val="left"/>
      <w:pPr>
        <w:ind w:left="5010" w:hanging="360"/>
      </w:pPr>
      <w:rPr>
        <w:rFonts w:ascii="Wingdings" w:hAnsi="Wingdings" w:hint="default"/>
      </w:rPr>
    </w:lvl>
    <w:lvl w:ilvl="6" w:tplc="04180001" w:tentative="1">
      <w:start w:val="1"/>
      <w:numFmt w:val="bullet"/>
      <w:lvlText w:val=""/>
      <w:lvlJc w:val="left"/>
      <w:pPr>
        <w:ind w:left="5730" w:hanging="360"/>
      </w:pPr>
      <w:rPr>
        <w:rFonts w:ascii="Symbol" w:hAnsi="Symbol" w:hint="default"/>
      </w:rPr>
    </w:lvl>
    <w:lvl w:ilvl="7" w:tplc="04180003" w:tentative="1">
      <w:start w:val="1"/>
      <w:numFmt w:val="bullet"/>
      <w:lvlText w:val="o"/>
      <w:lvlJc w:val="left"/>
      <w:pPr>
        <w:ind w:left="6450" w:hanging="360"/>
      </w:pPr>
      <w:rPr>
        <w:rFonts w:ascii="Courier New" w:hAnsi="Courier New" w:cs="Courier New" w:hint="default"/>
      </w:rPr>
    </w:lvl>
    <w:lvl w:ilvl="8" w:tplc="04180005" w:tentative="1">
      <w:start w:val="1"/>
      <w:numFmt w:val="bullet"/>
      <w:lvlText w:val=""/>
      <w:lvlJc w:val="left"/>
      <w:pPr>
        <w:ind w:left="7170" w:hanging="360"/>
      </w:pPr>
      <w:rPr>
        <w:rFonts w:ascii="Wingdings" w:hAnsi="Wingdings" w:hint="default"/>
      </w:rPr>
    </w:lvl>
  </w:abstractNum>
  <w:abstractNum w:abstractNumId="38">
    <w:nsid w:val="2FA04AE5"/>
    <w:multiLevelType w:val="hybridMultilevel"/>
    <w:tmpl w:val="044C17C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9">
    <w:nsid w:val="2FF9206B"/>
    <w:multiLevelType w:val="hybridMultilevel"/>
    <w:tmpl w:val="DB6087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313160BB"/>
    <w:multiLevelType w:val="hybridMultilevel"/>
    <w:tmpl w:val="6ED8DDE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1">
    <w:nsid w:val="33D06807"/>
    <w:multiLevelType w:val="hybridMultilevel"/>
    <w:tmpl w:val="A238E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4A55AAD"/>
    <w:multiLevelType w:val="hybridMultilevel"/>
    <w:tmpl w:val="E0B8B1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36132502"/>
    <w:multiLevelType w:val="hybridMultilevel"/>
    <w:tmpl w:val="DBFE3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85D18DF"/>
    <w:multiLevelType w:val="hybridMultilevel"/>
    <w:tmpl w:val="C42EAB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8C06B14"/>
    <w:multiLevelType w:val="hybridMultilevel"/>
    <w:tmpl w:val="7A14C338"/>
    <w:lvl w:ilvl="0" w:tplc="97924416">
      <w:start w:val="1"/>
      <w:numFmt w:val="bullet"/>
      <w:lvlText w:val=""/>
      <w:lvlJc w:val="left"/>
      <w:pPr>
        <w:ind w:left="1287" w:hanging="360"/>
      </w:pPr>
      <w:rPr>
        <w:rFonts w:ascii="Wingdings" w:hAnsi="Wingdings" w:hint="default"/>
        <w:b w:val="0"/>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6">
    <w:nsid w:val="3AC1491C"/>
    <w:multiLevelType w:val="hybridMultilevel"/>
    <w:tmpl w:val="F320A6CE"/>
    <w:lvl w:ilvl="0" w:tplc="9EA4715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3B5D1629"/>
    <w:multiLevelType w:val="hybridMultilevel"/>
    <w:tmpl w:val="A3DE09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4171542D"/>
    <w:multiLevelType w:val="hybridMultilevel"/>
    <w:tmpl w:val="2292AC1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9">
    <w:nsid w:val="41AE7C56"/>
    <w:multiLevelType w:val="hybridMultilevel"/>
    <w:tmpl w:val="92705D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42630F3F"/>
    <w:multiLevelType w:val="hybridMultilevel"/>
    <w:tmpl w:val="26EEE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43100559"/>
    <w:multiLevelType w:val="hybridMultilevel"/>
    <w:tmpl w:val="BD2602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44D85482"/>
    <w:multiLevelType w:val="hybridMultilevel"/>
    <w:tmpl w:val="906E66F2"/>
    <w:lvl w:ilvl="0" w:tplc="D3CE15C0">
      <w:start w:val="9"/>
      <w:numFmt w:val="bullet"/>
      <w:lvlText w:val="-"/>
      <w:lvlJc w:val="left"/>
      <w:pPr>
        <w:ind w:left="1287" w:hanging="360"/>
      </w:pPr>
      <w:rPr>
        <w:rFonts w:ascii="Times New Roman" w:eastAsia="Calibri" w:hAnsi="Times New Roman" w:cs="Times New Roman" w:hint="default"/>
        <w:b/>
        <w:color w:val="auto"/>
        <w:sz w:val="32"/>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3">
    <w:nsid w:val="45E92CBD"/>
    <w:multiLevelType w:val="hybridMultilevel"/>
    <w:tmpl w:val="27F8982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471A6941"/>
    <w:multiLevelType w:val="hybridMultilevel"/>
    <w:tmpl w:val="629096E8"/>
    <w:lvl w:ilvl="0" w:tplc="D3CE15C0">
      <w:start w:val="9"/>
      <w:numFmt w:val="bullet"/>
      <w:lvlText w:val="-"/>
      <w:lvlJc w:val="left"/>
      <w:pPr>
        <w:ind w:left="360" w:hanging="360"/>
      </w:pPr>
      <w:rPr>
        <w:rFonts w:ascii="Times New Roman" w:eastAsia="Calibri" w:hAnsi="Times New Roman" w:cs="Times New Roman" w:hint="default"/>
        <w:b/>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5">
    <w:nsid w:val="48006490"/>
    <w:multiLevelType w:val="hybridMultilevel"/>
    <w:tmpl w:val="591C01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49CB2B5F"/>
    <w:multiLevelType w:val="hybridMultilevel"/>
    <w:tmpl w:val="B1B4EAE8"/>
    <w:lvl w:ilvl="0" w:tplc="97924416">
      <w:start w:val="1"/>
      <w:numFmt w:val="bullet"/>
      <w:lvlText w:val=""/>
      <w:lvlJc w:val="left"/>
      <w:pPr>
        <w:ind w:left="1287" w:hanging="360"/>
      </w:pPr>
      <w:rPr>
        <w:rFonts w:ascii="Wingdings" w:hAnsi="Wingdings" w:hint="default"/>
        <w:b w:val="0"/>
        <w:color w:val="auto"/>
        <w:sz w:val="32"/>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7">
    <w:nsid w:val="50727174"/>
    <w:multiLevelType w:val="hybridMultilevel"/>
    <w:tmpl w:val="836648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528D255A"/>
    <w:multiLevelType w:val="hybridMultilevel"/>
    <w:tmpl w:val="B10A153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56B05EB7"/>
    <w:multiLevelType w:val="hybridMultilevel"/>
    <w:tmpl w:val="CF2451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5CA8576A"/>
    <w:multiLevelType w:val="hybridMultilevel"/>
    <w:tmpl w:val="6846DA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5DCA4762"/>
    <w:multiLevelType w:val="hybridMultilevel"/>
    <w:tmpl w:val="F53CA008"/>
    <w:lvl w:ilvl="0" w:tplc="DA26730C">
      <w:start w:val="2010"/>
      <w:numFmt w:val="bullet"/>
      <w:lvlText w:val="-"/>
      <w:lvlJc w:val="left"/>
      <w:pPr>
        <w:tabs>
          <w:tab w:val="num" w:pos="1068"/>
        </w:tabs>
        <w:ind w:left="1068" w:hanging="360"/>
      </w:pPr>
      <w:rPr>
        <w:rFonts w:ascii="Arial" w:eastAsia="Times New Roman" w:hAnsi="Arial" w:cs="Arial"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62">
    <w:nsid w:val="5EA356A8"/>
    <w:multiLevelType w:val="hybridMultilevel"/>
    <w:tmpl w:val="8AC636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5EEB3A98"/>
    <w:multiLevelType w:val="multilevel"/>
    <w:tmpl w:val="0418001F"/>
    <w:styleLink w:val="111111"/>
    <w:lvl w:ilvl="0">
      <w:start w:val="3"/>
      <w:numFmt w:val="decimal"/>
      <w:lvlText w:val="%1."/>
      <w:lvlJc w:val="left"/>
      <w:pPr>
        <w:tabs>
          <w:tab w:val="num" w:pos="360"/>
        </w:tabs>
        <w:ind w:left="360" w:hanging="360"/>
      </w:pPr>
    </w:lvl>
    <w:lvl w:ilvl="1">
      <w:start w:val="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610E1C26"/>
    <w:multiLevelType w:val="hybridMultilevel"/>
    <w:tmpl w:val="36A81E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nsid w:val="616407F9"/>
    <w:multiLevelType w:val="hybridMultilevel"/>
    <w:tmpl w:val="243EA1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61925AED"/>
    <w:multiLevelType w:val="multilevel"/>
    <w:tmpl w:val="F0A448A2"/>
    <w:lvl w:ilvl="0">
      <w:start w:val="1"/>
      <w:numFmt w:val="decimal"/>
      <w:lvlText w:val="%1."/>
      <w:lvlJc w:val="left"/>
      <w:pPr>
        <w:tabs>
          <w:tab w:val="num" w:pos="720"/>
        </w:tabs>
        <w:ind w:left="720" w:hanging="360"/>
      </w:pPr>
    </w:lvl>
    <w:lvl w:ilvl="1">
      <w:start w:val="5"/>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65AD62BE"/>
    <w:multiLevelType w:val="hybridMultilevel"/>
    <w:tmpl w:val="D4D6CB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6A5807C7"/>
    <w:multiLevelType w:val="hybridMultilevel"/>
    <w:tmpl w:val="30383B52"/>
    <w:lvl w:ilvl="0" w:tplc="0418000F">
      <w:start w:val="1"/>
      <w:numFmt w:val="decimal"/>
      <w:lvlText w:val="%1."/>
      <w:lvlJc w:val="left"/>
      <w:pPr>
        <w:tabs>
          <w:tab w:val="num" w:pos="360"/>
        </w:tabs>
        <w:ind w:left="360" w:hanging="360"/>
      </w:p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69">
    <w:nsid w:val="6A772EF7"/>
    <w:multiLevelType w:val="hybridMultilevel"/>
    <w:tmpl w:val="DA06960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6AD37583"/>
    <w:multiLevelType w:val="hybridMultilevel"/>
    <w:tmpl w:val="062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8B0786"/>
    <w:multiLevelType w:val="hybridMultilevel"/>
    <w:tmpl w:val="8C0C17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6C8C7F82"/>
    <w:multiLevelType w:val="hybridMultilevel"/>
    <w:tmpl w:val="CDA014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nsid w:val="6D3436AE"/>
    <w:multiLevelType w:val="hybridMultilevel"/>
    <w:tmpl w:val="BDAA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6EA050F0"/>
    <w:multiLevelType w:val="hybridMultilevel"/>
    <w:tmpl w:val="A872C1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nsid w:val="70443E45"/>
    <w:multiLevelType w:val="hybridMultilevel"/>
    <w:tmpl w:val="3C224C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74953D61"/>
    <w:multiLevelType w:val="hybridMultilevel"/>
    <w:tmpl w:val="F52EAD62"/>
    <w:lvl w:ilvl="0" w:tplc="04180001">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7">
    <w:nsid w:val="74E7211D"/>
    <w:multiLevelType w:val="hybridMultilevel"/>
    <w:tmpl w:val="1F369C26"/>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6794D47"/>
    <w:multiLevelType w:val="hybridMultilevel"/>
    <w:tmpl w:val="A80A281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9">
    <w:nsid w:val="77DB0F27"/>
    <w:multiLevelType w:val="hybridMultilevel"/>
    <w:tmpl w:val="5A68ED04"/>
    <w:lvl w:ilvl="0" w:tplc="04180001">
      <w:start w:val="1"/>
      <w:numFmt w:val="decimal"/>
      <w:suff w:val="nothing"/>
      <w:lvlText w:val=""/>
      <w:lvlJc w:val="left"/>
    </w:lvl>
    <w:lvl w:ilvl="1" w:tplc="04180003">
      <w:numFmt w:val="decimal"/>
      <w:lvlText w:val=""/>
      <w:lvlJc w:val="left"/>
    </w:lvl>
    <w:lvl w:ilvl="2" w:tplc="04180005">
      <w:numFmt w:val="decimal"/>
      <w:lvlText w:val=""/>
      <w:lvlJc w:val="left"/>
    </w:lvl>
    <w:lvl w:ilvl="3" w:tplc="04180001">
      <w:numFmt w:val="decimal"/>
      <w:lvlText w:val=""/>
      <w:lvlJc w:val="left"/>
    </w:lvl>
    <w:lvl w:ilvl="4" w:tplc="04180003">
      <w:numFmt w:val="decimal"/>
      <w:lvlText w:val=""/>
      <w:lvlJc w:val="left"/>
    </w:lvl>
    <w:lvl w:ilvl="5" w:tplc="04180005">
      <w:numFmt w:val="decimal"/>
      <w:lvlText w:val=""/>
      <w:lvlJc w:val="left"/>
    </w:lvl>
    <w:lvl w:ilvl="6" w:tplc="04180001">
      <w:numFmt w:val="decimal"/>
      <w:lvlText w:val=""/>
      <w:lvlJc w:val="left"/>
    </w:lvl>
    <w:lvl w:ilvl="7" w:tplc="04180003">
      <w:numFmt w:val="decimal"/>
      <w:lvlText w:val=""/>
      <w:lvlJc w:val="left"/>
    </w:lvl>
    <w:lvl w:ilvl="8" w:tplc="04180005">
      <w:numFmt w:val="decimal"/>
      <w:lvlText w:val=""/>
      <w:lvlJc w:val="left"/>
    </w:lvl>
  </w:abstractNum>
  <w:abstractNum w:abstractNumId="80">
    <w:nsid w:val="7BB475FD"/>
    <w:multiLevelType w:val="multilevel"/>
    <w:tmpl w:val="6D4A3084"/>
    <w:styleLink w:val="Listacurent1"/>
    <w:lvl w:ilvl="0">
      <w:start w:val="1"/>
      <w:numFmt w:val="decimal"/>
      <w:lvlText w:val="3.%1."/>
      <w:lvlJc w:val="left"/>
      <w:pPr>
        <w:tabs>
          <w:tab w:val="num" w:pos="720"/>
        </w:tabs>
        <w:ind w:left="720" w:firstLine="0"/>
      </w:pPr>
      <w:rPr>
        <w:rFonts w:hint="default"/>
        <w:b/>
        <w:i w:val="0"/>
        <w:caps w:val="0"/>
        <w:strike w:val="0"/>
        <w:dstrike w:val="0"/>
        <w:vanish w:val="0"/>
        <w:color w:val="003300"/>
        <w:sz w:val="20"/>
        <w:szCs w:val="20"/>
        <w:vertAlign w:val="baseline"/>
      </w:rPr>
    </w:lvl>
    <w:lvl w:ilvl="1">
      <w:start w:val="1"/>
      <w:numFmt w:val="decimal"/>
      <w:lvlText w:val="3.3.%2."/>
      <w:lvlJc w:val="right"/>
      <w:pPr>
        <w:tabs>
          <w:tab w:val="num" w:pos="1260"/>
        </w:tabs>
        <w:ind w:left="1260" w:hanging="180"/>
      </w:pPr>
      <w:rPr>
        <w:rFonts w:hint="default"/>
        <w:b w:val="0"/>
        <w:i w:val="0"/>
        <w:caps w:val="0"/>
        <w:strike w:val="0"/>
        <w:dstrike w:val="0"/>
        <w:vanish w:val="0"/>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nsid w:val="7C2E56A8"/>
    <w:multiLevelType w:val="hybridMultilevel"/>
    <w:tmpl w:val="51826E7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nsid w:val="7D7B375F"/>
    <w:multiLevelType w:val="hybridMultilevel"/>
    <w:tmpl w:val="DDE8B64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nsid w:val="7DBBE596"/>
    <w:multiLevelType w:val="hybridMultilevel"/>
    <w:tmpl w:val="3A0EAF29"/>
    <w:lvl w:ilvl="0" w:tplc="FF7A988C">
      <w:start w:val="1"/>
      <w:numFmt w:val="decimal"/>
      <w:suff w:val="nothing"/>
      <w:lvlText w:val=""/>
      <w:lvlJc w:val="left"/>
    </w:lvl>
    <w:lvl w:ilvl="1" w:tplc="DA14D7E0">
      <w:numFmt w:val="decimal"/>
      <w:lvlText w:val=""/>
      <w:lvlJc w:val="left"/>
    </w:lvl>
    <w:lvl w:ilvl="2" w:tplc="2730E98A">
      <w:numFmt w:val="decimal"/>
      <w:lvlText w:val=""/>
      <w:lvlJc w:val="left"/>
    </w:lvl>
    <w:lvl w:ilvl="3" w:tplc="FE62B54C">
      <w:numFmt w:val="decimal"/>
      <w:lvlText w:val=""/>
      <w:lvlJc w:val="left"/>
    </w:lvl>
    <w:lvl w:ilvl="4" w:tplc="C1C40408">
      <w:numFmt w:val="decimal"/>
      <w:lvlText w:val=""/>
      <w:lvlJc w:val="left"/>
    </w:lvl>
    <w:lvl w:ilvl="5" w:tplc="106A310E">
      <w:numFmt w:val="decimal"/>
      <w:lvlText w:val=""/>
      <w:lvlJc w:val="left"/>
    </w:lvl>
    <w:lvl w:ilvl="6" w:tplc="770227B2">
      <w:numFmt w:val="decimal"/>
      <w:lvlText w:val=""/>
      <w:lvlJc w:val="left"/>
    </w:lvl>
    <w:lvl w:ilvl="7" w:tplc="4B3E08DE">
      <w:numFmt w:val="decimal"/>
      <w:lvlText w:val=""/>
      <w:lvlJc w:val="left"/>
    </w:lvl>
    <w:lvl w:ilvl="8" w:tplc="74A0B478">
      <w:numFmt w:val="decimal"/>
      <w:lvlText w:val=""/>
      <w:lvlJc w:val="left"/>
    </w:lvl>
  </w:abstractNum>
  <w:abstractNum w:abstractNumId="84">
    <w:nsid w:val="7FF3510D"/>
    <w:multiLevelType w:val="hybridMultilevel"/>
    <w:tmpl w:val="544422E6"/>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7"/>
  </w:num>
  <w:num w:numId="4">
    <w:abstractNumId w:val="0"/>
  </w:num>
  <w:num w:numId="5">
    <w:abstractNumId w:val="1"/>
  </w:num>
  <w:num w:numId="6">
    <w:abstractNumId w:val="58"/>
  </w:num>
  <w:num w:numId="7">
    <w:abstractNumId w:val="79"/>
  </w:num>
  <w:num w:numId="8">
    <w:abstractNumId w:val="5"/>
  </w:num>
  <w:num w:numId="9">
    <w:abstractNumId w:val="8"/>
  </w:num>
  <w:num w:numId="10">
    <w:abstractNumId w:val="83"/>
  </w:num>
  <w:num w:numId="11">
    <w:abstractNumId w:val="33"/>
  </w:num>
  <w:num w:numId="12">
    <w:abstractNumId w:val="2"/>
  </w:num>
  <w:num w:numId="13">
    <w:abstractNumId w:val="6"/>
  </w:num>
  <w:num w:numId="14">
    <w:abstractNumId w:val="9"/>
  </w:num>
  <w:num w:numId="15">
    <w:abstractNumId w:val="4"/>
  </w:num>
  <w:num w:numId="16">
    <w:abstractNumId w:val="3"/>
  </w:num>
  <w:num w:numId="17">
    <w:abstractNumId w:val="49"/>
  </w:num>
  <w:num w:numId="18">
    <w:abstractNumId w:val="47"/>
  </w:num>
  <w:num w:numId="19">
    <w:abstractNumId w:val="63"/>
  </w:num>
  <w:num w:numId="20">
    <w:abstractNumId w:val="80"/>
  </w:num>
  <w:num w:numId="21">
    <w:abstractNumId w:val="68"/>
  </w:num>
  <w:num w:numId="22">
    <w:abstractNumId w:val="61"/>
  </w:num>
  <w:num w:numId="23">
    <w:abstractNumId w:val="76"/>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8"/>
  </w:num>
  <w:num w:numId="32">
    <w:abstractNumId w:val="60"/>
  </w:num>
  <w:num w:numId="33">
    <w:abstractNumId w:val="65"/>
  </w:num>
  <w:num w:numId="34">
    <w:abstractNumId w:val="21"/>
  </w:num>
  <w:num w:numId="35">
    <w:abstractNumId w:val="84"/>
  </w:num>
  <w:num w:numId="36">
    <w:abstractNumId w:val="13"/>
  </w:num>
  <w:num w:numId="37">
    <w:abstractNumId w:val="77"/>
  </w:num>
  <w:num w:numId="38">
    <w:abstractNumId w:val="55"/>
  </w:num>
  <w:num w:numId="39">
    <w:abstractNumId w:val="25"/>
  </w:num>
  <w:num w:numId="40">
    <w:abstractNumId w:val="66"/>
    <w:lvlOverride w:ilvl="0">
      <w:startOverride w:val="1"/>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70"/>
  </w:num>
  <w:num w:numId="43">
    <w:abstractNumId w:val="15"/>
  </w:num>
  <w:num w:numId="44">
    <w:abstractNumId w:val="16"/>
  </w:num>
  <w:num w:numId="45">
    <w:abstractNumId w:val="57"/>
  </w:num>
  <w:num w:numId="46">
    <w:abstractNumId w:val="39"/>
  </w:num>
  <w:num w:numId="47">
    <w:abstractNumId w:val="62"/>
  </w:num>
  <w:num w:numId="48">
    <w:abstractNumId w:val="34"/>
  </w:num>
  <w:num w:numId="49">
    <w:abstractNumId w:val="44"/>
  </w:num>
  <w:num w:numId="50">
    <w:abstractNumId w:val="32"/>
  </w:num>
  <w:num w:numId="51">
    <w:abstractNumId w:val="82"/>
  </w:num>
  <w:num w:numId="52">
    <w:abstractNumId w:val="59"/>
  </w:num>
  <w:num w:numId="53">
    <w:abstractNumId w:val="31"/>
  </w:num>
  <w:num w:numId="54">
    <w:abstractNumId w:val="78"/>
  </w:num>
  <w:num w:numId="55">
    <w:abstractNumId w:val="53"/>
  </w:num>
  <w:num w:numId="56">
    <w:abstractNumId w:val="75"/>
  </w:num>
  <w:num w:numId="57">
    <w:abstractNumId w:val="20"/>
  </w:num>
  <w:num w:numId="58">
    <w:abstractNumId w:val="74"/>
  </w:num>
  <w:num w:numId="59">
    <w:abstractNumId w:val="22"/>
  </w:num>
  <w:num w:numId="60">
    <w:abstractNumId w:val="67"/>
  </w:num>
  <w:num w:numId="61">
    <w:abstractNumId w:val="50"/>
  </w:num>
  <w:num w:numId="62">
    <w:abstractNumId w:val="69"/>
  </w:num>
  <w:num w:numId="63">
    <w:abstractNumId w:val="42"/>
  </w:num>
  <w:num w:numId="64">
    <w:abstractNumId w:val="64"/>
  </w:num>
  <w:num w:numId="65">
    <w:abstractNumId w:val="71"/>
  </w:num>
  <w:num w:numId="66">
    <w:abstractNumId w:val="81"/>
  </w:num>
  <w:num w:numId="67">
    <w:abstractNumId w:val="35"/>
  </w:num>
  <w:num w:numId="68">
    <w:abstractNumId w:val="14"/>
  </w:num>
  <w:num w:numId="69">
    <w:abstractNumId w:val="23"/>
  </w:num>
  <w:num w:numId="70">
    <w:abstractNumId w:val="24"/>
  </w:num>
  <w:num w:numId="71">
    <w:abstractNumId w:val="11"/>
  </w:num>
  <w:num w:numId="72">
    <w:abstractNumId w:val="72"/>
  </w:num>
  <w:num w:numId="73">
    <w:abstractNumId w:val="51"/>
  </w:num>
  <w:num w:numId="74">
    <w:abstractNumId w:val="56"/>
  </w:num>
  <w:num w:numId="75">
    <w:abstractNumId w:val="45"/>
  </w:num>
  <w:num w:numId="76">
    <w:abstractNumId w:val="12"/>
  </w:num>
  <w:num w:numId="77">
    <w:abstractNumId w:val="52"/>
  </w:num>
  <w:num w:numId="78">
    <w:abstractNumId w:val="36"/>
  </w:num>
  <w:num w:numId="79">
    <w:abstractNumId w:val="54"/>
  </w:num>
  <w:num w:numId="80">
    <w:abstractNumId w:val="37"/>
  </w:num>
  <w:num w:numId="81">
    <w:abstractNumId w:val="46"/>
  </w:num>
  <w:num w:numId="82">
    <w:abstractNumId w:val="19"/>
  </w:num>
  <w:num w:numId="83">
    <w:abstractNumId w:val="73"/>
  </w:num>
  <w:num w:numId="84">
    <w:abstractNumId w:val="38"/>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70658"/>
  </w:hdrShapeDefaults>
  <w:footnotePr>
    <w:footnote w:id="0"/>
    <w:footnote w:id="1"/>
  </w:footnotePr>
  <w:endnotePr>
    <w:endnote w:id="0"/>
    <w:endnote w:id="1"/>
  </w:endnotePr>
  <w:compat/>
  <w:rsids>
    <w:rsidRoot w:val="0079242F"/>
    <w:rsid w:val="000029FA"/>
    <w:rsid w:val="00007026"/>
    <w:rsid w:val="00030676"/>
    <w:rsid w:val="00032C23"/>
    <w:rsid w:val="0003497B"/>
    <w:rsid w:val="00051008"/>
    <w:rsid w:val="00070626"/>
    <w:rsid w:val="00086CBF"/>
    <w:rsid w:val="000A4BED"/>
    <w:rsid w:val="000A7839"/>
    <w:rsid w:val="000C7034"/>
    <w:rsid w:val="000C7B40"/>
    <w:rsid w:val="000D2B8F"/>
    <w:rsid w:val="000D31B1"/>
    <w:rsid w:val="000D5637"/>
    <w:rsid w:val="000E6941"/>
    <w:rsid w:val="000E6D76"/>
    <w:rsid w:val="0010438F"/>
    <w:rsid w:val="001138F6"/>
    <w:rsid w:val="00121D9E"/>
    <w:rsid w:val="001315D1"/>
    <w:rsid w:val="00132910"/>
    <w:rsid w:val="00133892"/>
    <w:rsid w:val="0013502B"/>
    <w:rsid w:val="00142DC8"/>
    <w:rsid w:val="00151495"/>
    <w:rsid w:val="00155044"/>
    <w:rsid w:val="00156E35"/>
    <w:rsid w:val="00162D37"/>
    <w:rsid w:val="001719D1"/>
    <w:rsid w:val="0017373D"/>
    <w:rsid w:val="001814C2"/>
    <w:rsid w:val="0018399B"/>
    <w:rsid w:val="001852B0"/>
    <w:rsid w:val="001C1090"/>
    <w:rsid w:val="001C6AE3"/>
    <w:rsid w:val="001C7ED6"/>
    <w:rsid w:val="001D07E2"/>
    <w:rsid w:val="001D49DF"/>
    <w:rsid w:val="001E49EB"/>
    <w:rsid w:val="001F153F"/>
    <w:rsid w:val="00202088"/>
    <w:rsid w:val="00206D64"/>
    <w:rsid w:val="00217569"/>
    <w:rsid w:val="00217620"/>
    <w:rsid w:val="00220154"/>
    <w:rsid w:val="00225F21"/>
    <w:rsid w:val="00231660"/>
    <w:rsid w:val="00233724"/>
    <w:rsid w:val="002375D1"/>
    <w:rsid w:val="002442D1"/>
    <w:rsid w:val="00247579"/>
    <w:rsid w:val="00251000"/>
    <w:rsid w:val="00252ED3"/>
    <w:rsid w:val="002569BB"/>
    <w:rsid w:val="00256E42"/>
    <w:rsid w:val="00257D97"/>
    <w:rsid w:val="002631A5"/>
    <w:rsid w:val="002631C7"/>
    <w:rsid w:val="00274508"/>
    <w:rsid w:val="002757ED"/>
    <w:rsid w:val="00285A6D"/>
    <w:rsid w:val="0029217B"/>
    <w:rsid w:val="00295F6C"/>
    <w:rsid w:val="0029748F"/>
    <w:rsid w:val="002A09AC"/>
    <w:rsid w:val="002A1D63"/>
    <w:rsid w:val="002A34AA"/>
    <w:rsid w:val="002A781B"/>
    <w:rsid w:val="002A7B1E"/>
    <w:rsid w:val="002B6803"/>
    <w:rsid w:val="002C52AE"/>
    <w:rsid w:val="002D0189"/>
    <w:rsid w:val="002D0C2A"/>
    <w:rsid w:val="002D37E6"/>
    <w:rsid w:val="002F5120"/>
    <w:rsid w:val="00307F78"/>
    <w:rsid w:val="003112DC"/>
    <w:rsid w:val="00317590"/>
    <w:rsid w:val="00323572"/>
    <w:rsid w:val="003303E5"/>
    <w:rsid w:val="00330480"/>
    <w:rsid w:val="00332B9C"/>
    <w:rsid w:val="0033334A"/>
    <w:rsid w:val="0033527B"/>
    <w:rsid w:val="00376DC8"/>
    <w:rsid w:val="003771CC"/>
    <w:rsid w:val="00384BCA"/>
    <w:rsid w:val="00385E86"/>
    <w:rsid w:val="00387899"/>
    <w:rsid w:val="00390A91"/>
    <w:rsid w:val="003927B9"/>
    <w:rsid w:val="00392FE6"/>
    <w:rsid w:val="003A19BA"/>
    <w:rsid w:val="003A3564"/>
    <w:rsid w:val="003A3A15"/>
    <w:rsid w:val="003A43A4"/>
    <w:rsid w:val="003A60AE"/>
    <w:rsid w:val="003A7CAB"/>
    <w:rsid w:val="003B2BE5"/>
    <w:rsid w:val="003D04DD"/>
    <w:rsid w:val="003D153D"/>
    <w:rsid w:val="003F0D6F"/>
    <w:rsid w:val="00410EDF"/>
    <w:rsid w:val="00411B7A"/>
    <w:rsid w:val="004338B6"/>
    <w:rsid w:val="004346D5"/>
    <w:rsid w:val="0043712C"/>
    <w:rsid w:val="004431B9"/>
    <w:rsid w:val="00450FC5"/>
    <w:rsid w:val="004524FE"/>
    <w:rsid w:val="00452FDD"/>
    <w:rsid w:val="00464BFA"/>
    <w:rsid w:val="00470238"/>
    <w:rsid w:val="004775EA"/>
    <w:rsid w:val="00486DC1"/>
    <w:rsid w:val="00495609"/>
    <w:rsid w:val="004A21DE"/>
    <w:rsid w:val="004A43EA"/>
    <w:rsid w:val="004A78D9"/>
    <w:rsid w:val="004C036F"/>
    <w:rsid w:val="004D277D"/>
    <w:rsid w:val="004D67C3"/>
    <w:rsid w:val="004E1C28"/>
    <w:rsid w:val="004E2294"/>
    <w:rsid w:val="004E287C"/>
    <w:rsid w:val="004E2C68"/>
    <w:rsid w:val="004E4F65"/>
    <w:rsid w:val="004E720D"/>
    <w:rsid w:val="00500C7C"/>
    <w:rsid w:val="00524A7D"/>
    <w:rsid w:val="00524EBC"/>
    <w:rsid w:val="005346B8"/>
    <w:rsid w:val="00541BE4"/>
    <w:rsid w:val="00543526"/>
    <w:rsid w:val="0054441E"/>
    <w:rsid w:val="005444A6"/>
    <w:rsid w:val="0054708F"/>
    <w:rsid w:val="0055231E"/>
    <w:rsid w:val="00562CF5"/>
    <w:rsid w:val="00573740"/>
    <w:rsid w:val="005902E7"/>
    <w:rsid w:val="005A0DAA"/>
    <w:rsid w:val="005A5996"/>
    <w:rsid w:val="005B14CF"/>
    <w:rsid w:val="005D1973"/>
    <w:rsid w:val="005D3788"/>
    <w:rsid w:val="005D5C12"/>
    <w:rsid w:val="005D6311"/>
    <w:rsid w:val="005E33A1"/>
    <w:rsid w:val="005E7A5C"/>
    <w:rsid w:val="005F065F"/>
    <w:rsid w:val="005F4D45"/>
    <w:rsid w:val="00601DC2"/>
    <w:rsid w:val="00607AC2"/>
    <w:rsid w:val="006137F5"/>
    <w:rsid w:val="006157E7"/>
    <w:rsid w:val="006269F2"/>
    <w:rsid w:val="0063047E"/>
    <w:rsid w:val="00630DB9"/>
    <w:rsid w:val="006459D7"/>
    <w:rsid w:val="00656F6D"/>
    <w:rsid w:val="0067112E"/>
    <w:rsid w:val="00672B27"/>
    <w:rsid w:val="00672B69"/>
    <w:rsid w:val="0068294C"/>
    <w:rsid w:val="006908FA"/>
    <w:rsid w:val="00692907"/>
    <w:rsid w:val="006947D2"/>
    <w:rsid w:val="006A0BE1"/>
    <w:rsid w:val="006A65EA"/>
    <w:rsid w:val="006B7857"/>
    <w:rsid w:val="006D4D2E"/>
    <w:rsid w:val="006E6DDF"/>
    <w:rsid w:val="006F0D6B"/>
    <w:rsid w:val="006F3B1E"/>
    <w:rsid w:val="00700F4D"/>
    <w:rsid w:val="00730E88"/>
    <w:rsid w:val="00734C43"/>
    <w:rsid w:val="007378FA"/>
    <w:rsid w:val="00745725"/>
    <w:rsid w:val="00745B51"/>
    <w:rsid w:val="00752512"/>
    <w:rsid w:val="007551D0"/>
    <w:rsid w:val="007652A5"/>
    <w:rsid w:val="00784BB5"/>
    <w:rsid w:val="0078523D"/>
    <w:rsid w:val="0078543C"/>
    <w:rsid w:val="0079026F"/>
    <w:rsid w:val="0079242F"/>
    <w:rsid w:val="007932F4"/>
    <w:rsid w:val="007A3783"/>
    <w:rsid w:val="007B25D9"/>
    <w:rsid w:val="007C1699"/>
    <w:rsid w:val="007C55CD"/>
    <w:rsid w:val="007D3B15"/>
    <w:rsid w:val="007E0DAD"/>
    <w:rsid w:val="007E1C84"/>
    <w:rsid w:val="007E78B4"/>
    <w:rsid w:val="007F35C9"/>
    <w:rsid w:val="007F5401"/>
    <w:rsid w:val="00803E3E"/>
    <w:rsid w:val="0081615B"/>
    <w:rsid w:val="00817954"/>
    <w:rsid w:val="00833976"/>
    <w:rsid w:val="00845DF8"/>
    <w:rsid w:val="00860935"/>
    <w:rsid w:val="00862174"/>
    <w:rsid w:val="00867CE1"/>
    <w:rsid w:val="00871BA3"/>
    <w:rsid w:val="00880E32"/>
    <w:rsid w:val="008914B8"/>
    <w:rsid w:val="008A1026"/>
    <w:rsid w:val="008A3921"/>
    <w:rsid w:val="008A7F47"/>
    <w:rsid w:val="008E17F9"/>
    <w:rsid w:val="008E1F7E"/>
    <w:rsid w:val="008E2396"/>
    <w:rsid w:val="008E6C7B"/>
    <w:rsid w:val="009069A2"/>
    <w:rsid w:val="009078D0"/>
    <w:rsid w:val="009209C1"/>
    <w:rsid w:val="00920E72"/>
    <w:rsid w:val="00921973"/>
    <w:rsid w:val="0093284E"/>
    <w:rsid w:val="00935948"/>
    <w:rsid w:val="00935C2D"/>
    <w:rsid w:val="00935EDA"/>
    <w:rsid w:val="009458F6"/>
    <w:rsid w:val="00946060"/>
    <w:rsid w:val="009474A2"/>
    <w:rsid w:val="00972F0D"/>
    <w:rsid w:val="00975662"/>
    <w:rsid w:val="00976D8A"/>
    <w:rsid w:val="00977BAE"/>
    <w:rsid w:val="009961E6"/>
    <w:rsid w:val="0099641A"/>
    <w:rsid w:val="009A54E2"/>
    <w:rsid w:val="009A58CA"/>
    <w:rsid w:val="009A6745"/>
    <w:rsid w:val="009B30B2"/>
    <w:rsid w:val="009B37FE"/>
    <w:rsid w:val="009B53B3"/>
    <w:rsid w:val="009C1C9F"/>
    <w:rsid w:val="009C24E2"/>
    <w:rsid w:val="009F49AC"/>
    <w:rsid w:val="009F4B16"/>
    <w:rsid w:val="009F750E"/>
    <w:rsid w:val="00A04365"/>
    <w:rsid w:val="00A055FA"/>
    <w:rsid w:val="00A159C9"/>
    <w:rsid w:val="00A20DD3"/>
    <w:rsid w:val="00A224A8"/>
    <w:rsid w:val="00A25D9F"/>
    <w:rsid w:val="00A34502"/>
    <w:rsid w:val="00A40F43"/>
    <w:rsid w:val="00A433A4"/>
    <w:rsid w:val="00A47B8D"/>
    <w:rsid w:val="00A54188"/>
    <w:rsid w:val="00A71189"/>
    <w:rsid w:val="00A8211A"/>
    <w:rsid w:val="00A85246"/>
    <w:rsid w:val="00A914B2"/>
    <w:rsid w:val="00A9322F"/>
    <w:rsid w:val="00A94DED"/>
    <w:rsid w:val="00AB1A9D"/>
    <w:rsid w:val="00AB4C01"/>
    <w:rsid w:val="00AB5FA1"/>
    <w:rsid w:val="00AC20A7"/>
    <w:rsid w:val="00AC2817"/>
    <w:rsid w:val="00AC5ECD"/>
    <w:rsid w:val="00AE3406"/>
    <w:rsid w:val="00B05AC0"/>
    <w:rsid w:val="00B32FD1"/>
    <w:rsid w:val="00B756D4"/>
    <w:rsid w:val="00B77C04"/>
    <w:rsid w:val="00B77E7C"/>
    <w:rsid w:val="00B80190"/>
    <w:rsid w:val="00BA0B99"/>
    <w:rsid w:val="00BB0CF9"/>
    <w:rsid w:val="00BB49A2"/>
    <w:rsid w:val="00BB71FF"/>
    <w:rsid w:val="00BC32DF"/>
    <w:rsid w:val="00BC5D6B"/>
    <w:rsid w:val="00BD22FA"/>
    <w:rsid w:val="00BD71DD"/>
    <w:rsid w:val="00BF1AD7"/>
    <w:rsid w:val="00BF31B6"/>
    <w:rsid w:val="00BF38C9"/>
    <w:rsid w:val="00C0261B"/>
    <w:rsid w:val="00C02C8F"/>
    <w:rsid w:val="00C20CCA"/>
    <w:rsid w:val="00C36A94"/>
    <w:rsid w:val="00C42431"/>
    <w:rsid w:val="00C47E8D"/>
    <w:rsid w:val="00C55310"/>
    <w:rsid w:val="00C625DB"/>
    <w:rsid w:val="00C629D9"/>
    <w:rsid w:val="00C67001"/>
    <w:rsid w:val="00C704AA"/>
    <w:rsid w:val="00CD4A56"/>
    <w:rsid w:val="00CD5BE5"/>
    <w:rsid w:val="00CF2603"/>
    <w:rsid w:val="00D11D4B"/>
    <w:rsid w:val="00D4086A"/>
    <w:rsid w:val="00D575A4"/>
    <w:rsid w:val="00D60462"/>
    <w:rsid w:val="00D62ED1"/>
    <w:rsid w:val="00D65FC4"/>
    <w:rsid w:val="00D71FA6"/>
    <w:rsid w:val="00D85801"/>
    <w:rsid w:val="00D9560C"/>
    <w:rsid w:val="00D96692"/>
    <w:rsid w:val="00DA274A"/>
    <w:rsid w:val="00DA49AF"/>
    <w:rsid w:val="00DB2B5E"/>
    <w:rsid w:val="00DB73C7"/>
    <w:rsid w:val="00DC03E4"/>
    <w:rsid w:val="00DC23A1"/>
    <w:rsid w:val="00DC3AA0"/>
    <w:rsid w:val="00DD64A4"/>
    <w:rsid w:val="00DD70B7"/>
    <w:rsid w:val="00DE5170"/>
    <w:rsid w:val="00E00628"/>
    <w:rsid w:val="00E0148D"/>
    <w:rsid w:val="00E046A5"/>
    <w:rsid w:val="00E114E7"/>
    <w:rsid w:val="00E118BF"/>
    <w:rsid w:val="00E11BB2"/>
    <w:rsid w:val="00E1720C"/>
    <w:rsid w:val="00E2170A"/>
    <w:rsid w:val="00E30663"/>
    <w:rsid w:val="00E40A0A"/>
    <w:rsid w:val="00E55412"/>
    <w:rsid w:val="00E62C2F"/>
    <w:rsid w:val="00E67FA9"/>
    <w:rsid w:val="00E71D51"/>
    <w:rsid w:val="00E72B0C"/>
    <w:rsid w:val="00E8083F"/>
    <w:rsid w:val="00E82ACA"/>
    <w:rsid w:val="00E83B2E"/>
    <w:rsid w:val="00E860C3"/>
    <w:rsid w:val="00E867B9"/>
    <w:rsid w:val="00E939D3"/>
    <w:rsid w:val="00EA10C5"/>
    <w:rsid w:val="00EA2194"/>
    <w:rsid w:val="00EA4091"/>
    <w:rsid w:val="00EA6509"/>
    <w:rsid w:val="00EB083D"/>
    <w:rsid w:val="00EB1AAD"/>
    <w:rsid w:val="00EB3F12"/>
    <w:rsid w:val="00EC4C72"/>
    <w:rsid w:val="00EC6F7C"/>
    <w:rsid w:val="00EE08BA"/>
    <w:rsid w:val="00EE1961"/>
    <w:rsid w:val="00EF3202"/>
    <w:rsid w:val="00EF3FCD"/>
    <w:rsid w:val="00F065B7"/>
    <w:rsid w:val="00F17AF8"/>
    <w:rsid w:val="00F2189E"/>
    <w:rsid w:val="00F42083"/>
    <w:rsid w:val="00F64379"/>
    <w:rsid w:val="00F7205C"/>
    <w:rsid w:val="00F7233F"/>
    <w:rsid w:val="00F72B4B"/>
    <w:rsid w:val="00F767E8"/>
    <w:rsid w:val="00F95462"/>
    <w:rsid w:val="00FA5CE1"/>
    <w:rsid w:val="00FB6218"/>
    <w:rsid w:val="00FB7704"/>
    <w:rsid w:val="00FC5B08"/>
    <w:rsid w:val="00FD08D0"/>
    <w:rsid w:val="00FD1AC7"/>
    <w:rsid w:val="00FE711E"/>
    <w:rsid w:val="00FF320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Typewriter" w:uiPriority="0"/>
    <w:lsdException w:name="Outline List 2" w:uiPriority="0"/>
    <w:lsdException w:name="Table Grid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000"/>
  </w:style>
  <w:style w:type="paragraph" w:styleId="Heading1">
    <w:name w:val="heading 1"/>
    <w:basedOn w:val="Normal"/>
    <w:next w:val="Normal"/>
    <w:link w:val="Heading1Char"/>
    <w:qFormat/>
    <w:rsid w:val="003A3564"/>
    <w:pPr>
      <w:keepNext/>
      <w:spacing w:before="240" w:after="60" w:line="240" w:lineRule="auto"/>
      <w:outlineLvl w:val="0"/>
    </w:pPr>
    <w:rPr>
      <w:rFonts w:ascii="Arial" w:eastAsia="SimSun" w:hAnsi="Arial" w:cs="Arial"/>
      <w:b/>
      <w:bCs/>
      <w:kern w:val="32"/>
      <w:sz w:val="32"/>
      <w:szCs w:val="32"/>
      <w:lang w:val="en-GB"/>
    </w:rPr>
  </w:style>
  <w:style w:type="paragraph" w:styleId="Heading2">
    <w:name w:val="heading 2"/>
    <w:basedOn w:val="Normal"/>
    <w:next w:val="Normal"/>
    <w:link w:val="Heading2Char"/>
    <w:unhideWhenUsed/>
    <w:qFormat/>
    <w:rsid w:val="003A3564"/>
    <w:pPr>
      <w:keepNext/>
      <w:spacing w:before="240" w:after="60" w:line="240" w:lineRule="auto"/>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nhideWhenUsed/>
    <w:qFormat/>
    <w:rsid w:val="003A3564"/>
    <w:pPr>
      <w:keepNext/>
      <w:spacing w:before="240" w:after="60" w:line="240" w:lineRule="auto"/>
      <w:outlineLvl w:val="2"/>
    </w:pPr>
    <w:rPr>
      <w:rFonts w:ascii="Cambria" w:eastAsia="Times New Roman" w:hAnsi="Cambria" w:cs="Times New Roman"/>
      <w:b/>
      <w:bCs/>
      <w:sz w:val="26"/>
      <w:szCs w:val="26"/>
      <w:lang w:val="en-GB"/>
    </w:rPr>
  </w:style>
  <w:style w:type="paragraph" w:styleId="Heading4">
    <w:name w:val="heading 4"/>
    <w:basedOn w:val="Normal"/>
    <w:next w:val="Normal"/>
    <w:link w:val="Heading4Char"/>
    <w:unhideWhenUsed/>
    <w:qFormat/>
    <w:rsid w:val="003A3564"/>
    <w:pPr>
      <w:keepNext/>
      <w:spacing w:before="240" w:after="60" w:line="240" w:lineRule="auto"/>
      <w:outlineLvl w:val="3"/>
    </w:pPr>
    <w:rPr>
      <w:rFonts w:ascii="Calibri" w:eastAsia="Times New Roman" w:hAnsi="Calibri" w:cs="Times New Roman"/>
      <w:b/>
      <w:bCs/>
      <w:sz w:val="28"/>
      <w:szCs w:val="28"/>
      <w:lang w:val="en-GB"/>
    </w:rPr>
  </w:style>
  <w:style w:type="paragraph" w:styleId="Heading5">
    <w:name w:val="heading 5"/>
    <w:basedOn w:val="Normal"/>
    <w:next w:val="Normal"/>
    <w:link w:val="Heading5Char"/>
    <w:uiPriority w:val="9"/>
    <w:qFormat/>
    <w:rsid w:val="00FA5CE1"/>
    <w:pPr>
      <w:spacing w:before="240" w:after="60" w:line="240" w:lineRule="auto"/>
      <w:outlineLvl w:val="4"/>
    </w:pPr>
    <w:rPr>
      <w:rFonts w:ascii="Times New Roman" w:eastAsia="Times New Roman" w:hAnsi="Times New Roman" w:cs="Times New Roman"/>
      <w:b/>
      <w:bCs/>
      <w:i/>
      <w:iCs/>
      <w:sz w:val="26"/>
      <w:szCs w:val="26"/>
    </w:rPr>
  </w:style>
  <w:style w:type="paragraph" w:styleId="Heading7">
    <w:name w:val="heading 7"/>
    <w:basedOn w:val="Normal"/>
    <w:next w:val="Normal"/>
    <w:link w:val="Heading7Char"/>
    <w:qFormat/>
    <w:rsid w:val="003A3564"/>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3564"/>
    <w:rPr>
      <w:rFonts w:ascii="Arial" w:eastAsia="SimSun" w:hAnsi="Arial" w:cs="Arial"/>
      <w:b/>
      <w:bCs/>
      <w:kern w:val="32"/>
      <w:sz w:val="32"/>
      <w:szCs w:val="32"/>
      <w:lang w:val="en-GB"/>
    </w:rPr>
  </w:style>
  <w:style w:type="character" w:customStyle="1" w:styleId="Heading2Char">
    <w:name w:val="Heading 2 Char"/>
    <w:basedOn w:val="DefaultParagraphFont"/>
    <w:link w:val="Heading2"/>
    <w:rsid w:val="003A3564"/>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rsid w:val="003A3564"/>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3A3564"/>
    <w:rPr>
      <w:rFonts w:ascii="Calibri" w:eastAsia="Times New Roman" w:hAnsi="Calibri" w:cs="Times New Roman"/>
      <w:b/>
      <w:bCs/>
      <w:sz w:val="28"/>
      <w:szCs w:val="28"/>
      <w:lang w:val="en-GB"/>
    </w:rPr>
  </w:style>
  <w:style w:type="character" w:customStyle="1" w:styleId="Heading7Char">
    <w:name w:val="Heading 7 Char"/>
    <w:basedOn w:val="DefaultParagraphFont"/>
    <w:link w:val="Heading7"/>
    <w:rsid w:val="003A356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67CE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67CE1"/>
  </w:style>
  <w:style w:type="paragraph" w:styleId="Footer">
    <w:name w:val="footer"/>
    <w:basedOn w:val="Normal"/>
    <w:link w:val="FooterChar"/>
    <w:unhideWhenUsed/>
    <w:rsid w:val="00867CE1"/>
    <w:pPr>
      <w:tabs>
        <w:tab w:val="center" w:pos="4536"/>
        <w:tab w:val="right" w:pos="9072"/>
      </w:tabs>
      <w:spacing w:after="0" w:line="240" w:lineRule="auto"/>
    </w:pPr>
  </w:style>
  <w:style w:type="character" w:customStyle="1" w:styleId="FooterChar">
    <w:name w:val="Footer Char"/>
    <w:basedOn w:val="DefaultParagraphFont"/>
    <w:link w:val="Footer"/>
    <w:rsid w:val="00867CE1"/>
  </w:style>
  <w:style w:type="character" w:styleId="Strong">
    <w:name w:val="Strong"/>
    <w:basedOn w:val="DefaultParagraphFont"/>
    <w:uiPriority w:val="22"/>
    <w:qFormat/>
    <w:rsid w:val="003A3564"/>
    <w:rPr>
      <w:b/>
      <w:bCs/>
    </w:rPr>
  </w:style>
  <w:style w:type="paragraph" w:customStyle="1" w:styleId="Listparagraf1">
    <w:name w:val="Listă paragraf1"/>
    <w:basedOn w:val="Normal"/>
    <w:link w:val="ListparagrafCaracter"/>
    <w:qFormat/>
    <w:rsid w:val="003A3564"/>
    <w:pPr>
      <w:ind w:left="720"/>
      <w:contextualSpacing/>
    </w:pPr>
    <w:rPr>
      <w:rFonts w:ascii="Calibri" w:eastAsia="Calibri" w:hAnsi="Calibri" w:cs="Times New Roman"/>
    </w:rPr>
  </w:style>
  <w:style w:type="character" w:customStyle="1" w:styleId="ListparagrafCaracter">
    <w:name w:val="Listă paragraf Caracter"/>
    <w:basedOn w:val="DefaultParagraphFont"/>
    <w:link w:val="Listparagraf1"/>
    <w:rsid w:val="003A3564"/>
    <w:rPr>
      <w:rFonts w:ascii="Calibri" w:eastAsia="Calibri" w:hAnsi="Calibri" w:cs="Times New Roman"/>
    </w:rPr>
  </w:style>
  <w:style w:type="paragraph" w:styleId="BalloonText">
    <w:name w:val="Balloon Text"/>
    <w:basedOn w:val="Normal"/>
    <w:link w:val="BalloonTextChar"/>
    <w:semiHidden/>
    <w:rsid w:val="003A3564"/>
    <w:pPr>
      <w:spacing w:after="0" w:line="240" w:lineRule="auto"/>
    </w:pPr>
    <w:rPr>
      <w:rFonts w:ascii="Tahoma" w:eastAsia="SimSun" w:hAnsi="Tahoma" w:cs="Tahoma"/>
      <w:sz w:val="16"/>
      <w:szCs w:val="16"/>
      <w:lang w:val="en-GB"/>
    </w:rPr>
  </w:style>
  <w:style w:type="character" w:customStyle="1" w:styleId="BalloonTextChar">
    <w:name w:val="Balloon Text Char"/>
    <w:basedOn w:val="DefaultParagraphFont"/>
    <w:link w:val="BalloonText"/>
    <w:semiHidden/>
    <w:rsid w:val="003A3564"/>
    <w:rPr>
      <w:rFonts w:ascii="Tahoma" w:eastAsia="SimSun" w:hAnsi="Tahoma" w:cs="Tahoma"/>
      <w:sz w:val="16"/>
      <w:szCs w:val="16"/>
      <w:lang w:val="en-GB"/>
    </w:rPr>
  </w:style>
  <w:style w:type="paragraph" w:styleId="BodyTextIndent">
    <w:name w:val="Body Text Indent"/>
    <w:basedOn w:val="Normal"/>
    <w:link w:val="BodyTextIndentChar"/>
    <w:rsid w:val="003A3564"/>
    <w:pPr>
      <w:spacing w:after="120"/>
      <w:ind w:left="283"/>
    </w:pPr>
    <w:rPr>
      <w:rFonts w:ascii="Calibri" w:eastAsia="Times New Roman" w:hAnsi="Calibri" w:cs="Times New Roman"/>
      <w:lang w:val="en-US"/>
    </w:rPr>
  </w:style>
  <w:style w:type="character" w:customStyle="1" w:styleId="BodyTextIndentChar">
    <w:name w:val="Body Text Indent Char"/>
    <w:basedOn w:val="DefaultParagraphFont"/>
    <w:link w:val="BodyTextIndent"/>
    <w:rsid w:val="003A3564"/>
    <w:rPr>
      <w:rFonts w:ascii="Calibri" w:eastAsia="Times New Roman" w:hAnsi="Calibri" w:cs="Times New Roman"/>
      <w:lang w:val="en-US"/>
    </w:rPr>
  </w:style>
  <w:style w:type="paragraph" w:styleId="BodyText">
    <w:name w:val="Body Text"/>
    <w:aliases w:val=" Caracter,Caracter"/>
    <w:basedOn w:val="Normal"/>
    <w:link w:val="BodyTextChar"/>
    <w:rsid w:val="003A3564"/>
    <w:pPr>
      <w:spacing w:after="120"/>
    </w:pPr>
    <w:rPr>
      <w:rFonts w:ascii="Calibri" w:eastAsia="Times New Roman" w:hAnsi="Calibri" w:cs="Times New Roman"/>
      <w:lang w:val="en-US"/>
    </w:rPr>
  </w:style>
  <w:style w:type="character" w:customStyle="1" w:styleId="BodyTextChar">
    <w:name w:val="Body Text Char"/>
    <w:aliases w:val=" Caracter Char1,Caracter Char1"/>
    <w:basedOn w:val="DefaultParagraphFont"/>
    <w:link w:val="BodyText"/>
    <w:rsid w:val="003A3564"/>
    <w:rPr>
      <w:rFonts w:ascii="Calibri" w:eastAsia="Times New Roman" w:hAnsi="Calibri" w:cs="Times New Roman"/>
      <w:lang w:val="en-US"/>
    </w:rPr>
  </w:style>
  <w:style w:type="paragraph" w:customStyle="1" w:styleId="Indentcorptext21">
    <w:name w:val="Indent corp text 21"/>
    <w:basedOn w:val="Normal"/>
    <w:rsid w:val="003A3564"/>
    <w:pPr>
      <w:suppressAutoHyphens/>
      <w:spacing w:after="0" w:line="240" w:lineRule="auto"/>
      <w:ind w:firstLine="720"/>
      <w:jc w:val="both"/>
    </w:pPr>
    <w:rPr>
      <w:rFonts w:ascii="Times New Roman" w:eastAsia="Times New Roman" w:hAnsi="Times New Roman" w:cs="Times New Roman"/>
      <w:szCs w:val="20"/>
      <w:lang w:eastAsia="ar-SA"/>
    </w:rPr>
  </w:style>
  <w:style w:type="paragraph" w:styleId="NormalWeb">
    <w:name w:val="Normal (Web)"/>
    <w:basedOn w:val="Normal"/>
    <w:link w:val="NormalWebChar"/>
    <w:rsid w:val="003A3564"/>
    <w:pPr>
      <w:spacing w:before="100" w:beforeAutospacing="1" w:after="0" w:line="240" w:lineRule="auto"/>
      <w:jc w:val="both"/>
    </w:pPr>
    <w:rPr>
      <w:rFonts w:ascii="Times New Roman" w:eastAsia="Times New Roman" w:hAnsi="Times New Roman" w:cs="Times New Roman"/>
      <w:color w:val="000000"/>
      <w:sz w:val="24"/>
      <w:szCs w:val="24"/>
    </w:rPr>
  </w:style>
  <w:style w:type="character" w:customStyle="1" w:styleId="NormalWebChar">
    <w:name w:val="Normal (Web) Char"/>
    <w:basedOn w:val="DefaultParagraphFont"/>
    <w:link w:val="NormalWeb"/>
    <w:rsid w:val="003A3564"/>
    <w:rPr>
      <w:rFonts w:ascii="Times New Roman" w:eastAsia="Times New Roman" w:hAnsi="Times New Roman" w:cs="Times New Roman"/>
      <w:color w:val="000000"/>
      <w:sz w:val="24"/>
      <w:szCs w:val="24"/>
    </w:rPr>
  </w:style>
  <w:style w:type="paragraph" w:customStyle="1" w:styleId="TableContents">
    <w:name w:val="Table Contents"/>
    <w:basedOn w:val="Normal"/>
    <w:rsid w:val="003A356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Title">
    <w:name w:val="Title"/>
    <w:basedOn w:val="Normal"/>
    <w:link w:val="TitleChar"/>
    <w:qFormat/>
    <w:rsid w:val="003A356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3A3564"/>
    <w:rPr>
      <w:rFonts w:ascii="Times New Roman" w:eastAsia="Times New Roman" w:hAnsi="Times New Roman" w:cs="Times New Roman"/>
      <w:b/>
      <w:bCs/>
      <w:sz w:val="24"/>
      <w:szCs w:val="24"/>
    </w:rPr>
  </w:style>
  <w:style w:type="paragraph" w:styleId="ListParagraph">
    <w:name w:val="List Paragraph"/>
    <w:aliases w:val="body 2,lp1,Heading x1,Lista 1,lp11,Lettre d'introduction,1st level - Bullet List Paragraph,Paragrafo elenco,List Paragraph11,Heading 2_sj"/>
    <w:basedOn w:val="Normal"/>
    <w:link w:val="ListParagraphChar"/>
    <w:uiPriority w:val="34"/>
    <w:qFormat/>
    <w:rsid w:val="003A3564"/>
    <w:pPr>
      <w:spacing w:after="0" w:line="240" w:lineRule="auto"/>
      <w:ind w:left="720"/>
      <w:contextualSpacing/>
    </w:pPr>
    <w:rPr>
      <w:rFonts w:ascii="Times New Roman" w:eastAsia="Times New Roman" w:hAnsi="Times New Roman" w:cs="Times New Roman"/>
      <w:sz w:val="24"/>
      <w:szCs w:val="24"/>
      <w:lang w:eastAsia="ro-RO"/>
    </w:rPr>
  </w:style>
  <w:style w:type="paragraph" w:customStyle="1" w:styleId="BodyText21">
    <w:name w:val="Body Text 21"/>
    <w:basedOn w:val="Normal"/>
    <w:rsid w:val="003A3564"/>
    <w:pPr>
      <w:widowControl w:val="0"/>
      <w:spacing w:after="0" w:line="240" w:lineRule="auto"/>
      <w:jc w:val="both"/>
    </w:pPr>
    <w:rPr>
      <w:rFonts w:ascii="Times New Roman" w:eastAsia="Times New Roman" w:hAnsi="Times New Roman" w:cs="Times New Roman"/>
      <w:snapToGrid w:val="0"/>
      <w:sz w:val="24"/>
      <w:szCs w:val="24"/>
      <w:lang w:val="en-US"/>
    </w:rPr>
  </w:style>
  <w:style w:type="paragraph" w:customStyle="1" w:styleId="CaracterCaracterCharCharCaracterCaracterCharCharCaracterCaracter">
    <w:name w:val="Caracter Caracter Char Char Caracter Caracter Char Char Caracter Caracter"/>
    <w:basedOn w:val="Normal"/>
    <w:rsid w:val="003A3564"/>
    <w:pPr>
      <w:spacing w:after="0" w:line="240" w:lineRule="auto"/>
    </w:pPr>
    <w:rPr>
      <w:rFonts w:ascii="Times New Roman" w:eastAsia="Times New Roman" w:hAnsi="Times New Roman" w:cs="Times New Roman"/>
      <w:sz w:val="24"/>
      <w:szCs w:val="24"/>
      <w:lang w:val="pl-PL" w:eastAsia="pl-PL"/>
    </w:rPr>
  </w:style>
  <w:style w:type="paragraph" w:styleId="BodyText3">
    <w:name w:val="Body Text 3"/>
    <w:basedOn w:val="Normal"/>
    <w:link w:val="BodyText3Char"/>
    <w:rsid w:val="003A3564"/>
    <w:pPr>
      <w:spacing w:after="120" w:line="240" w:lineRule="auto"/>
    </w:pPr>
    <w:rPr>
      <w:rFonts w:ascii="Times New Roman" w:eastAsia="Times New Roman" w:hAnsi="Times New Roman" w:cs="Times New Roman"/>
      <w:sz w:val="16"/>
      <w:szCs w:val="16"/>
      <w:lang w:val="en-AU"/>
    </w:rPr>
  </w:style>
  <w:style w:type="character" w:customStyle="1" w:styleId="BodyText3Char">
    <w:name w:val="Body Text 3 Char"/>
    <w:basedOn w:val="DefaultParagraphFont"/>
    <w:link w:val="BodyText3"/>
    <w:rsid w:val="003A3564"/>
    <w:rPr>
      <w:rFonts w:ascii="Times New Roman" w:eastAsia="Times New Roman" w:hAnsi="Times New Roman" w:cs="Times New Roman"/>
      <w:sz w:val="16"/>
      <w:szCs w:val="16"/>
      <w:lang w:val="en-AU"/>
    </w:rPr>
  </w:style>
  <w:style w:type="paragraph" w:styleId="BodyTextIndent2">
    <w:name w:val="Body Text Indent 2"/>
    <w:aliases w:val="Body Text Indent 2 Char Char Char"/>
    <w:basedOn w:val="Normal"/>
    <w:link w:val="BodyTextIndent2Char"/>
    <w:rsid w:val="003A3564"/>
    <w:pPr>
      <w:spacing w:after="120" w:line="480" w:lineRule="auto"/>
      <w:ind w:left="283"/>
    </w:pPr>
    <w:rPr>
      <w:rFonts w:ascii="Times New Roman" w:eastAsia="SimSun" w:hAnsi="Times New Roman" w:cs="Times New Roman"/>
      <w:sz w:val="24"/>
      <w:szCs w:val="24"/>
      <w:lang w:val="en-GB"/>
    </w:rPr>
  </w:style>
  <w:style w:type="character" w:customStyle="1" w:styleId="BodyTextIndent2Char">
    <w:name w:val="Body Text Indent 2 Char"/>
    <w:aliases w:val="Body Text Indent 2 Char Char Char Char1"/>
    <w:basedOn w:val="DefaultParagraphFont"/>
    <w:link w:val="BodyTextIndent2"/>
    <w:rsid w:val="003A3564"/>
    <w:rPr>
      <w:rFonts w:ascii="Times New Roman" w:eastAsia="SimSun" w:hAnsi="Times New Roman" w:cs="Times New Roman"/>
      <w:sz w:val="24"/>
      <w:szCs w:val="24"/>
      <w:lang w:val="en-GB"/>
    </w:rPr>
  </w:style>
  <w:style w:type="paragraph" w:styleId="BodyText2">
    <w:name w:val="Body Text 2"/>
    <w:aliases w:val="Body Text Numbered"/>
    <w:basedOn w:val="Normal"/>
    <w:link w:val="BodyText2Char"/>
    <w:rsid w:val="003A3564"/>
    <w:pPr>
      <w:spacing w:after="120" w:line="480" w:lineRule="auto"/>
    </w:pPr>
    <w:rPr>
      <w:rFonts w:ascii="Times New Roman" w:eastAsia="SimSun" w:hAnsi="Times New Roman" w:cs="Times New Roman"/>
      <w:sz w:val="24"/>
      <w:szCs w:val="24"/>
      <w:lang w:val="en-GB"/>
    </w:rPr>
  </w:style>
  <w:style w:type="character" w:customStyle="1" w:styleId="BodyText2Char">
    <w:name w:val="Body Text 2 Char"/>
    <w:aliases w:val="Body Text Numbered Char"/>
    <w:basedOn w:val="DefaultParagraphFont"/>
    <w:link w:val="BodyText2"/>
    <w:rsid w:val="003A3564"/>
    <w:rPr>
      <w:rFonts w:ascii="Times New Roman" w:eastAsia="SimSun" w:hAnsi="Times New Roman" w:cs="Times New Roman"/>
      <w:sz w:val="24"/>
      <w:szCs w:val="24"/>
      <w:lang w:val="en-GB"/>
    </w:rPr>
  </w:style>
  <w:style w:type="character" w:customStyle="1" w:styleId="content">
    <w:name w:val="content"/>
    <w:basedOn w:val="DefaultParagraphFont"/>
    <w:rsid w:val="003A3564"/>
  </w:style>
  <w:style w:type="paragraph" w:customStyle="1" w:styleId="Level1">
    <w:name w:val="Level 1"/>
    <w:basedOn w:val="Normal"/>
    <w:rsid w:val="003A3564"/>
    <w:pPr>
      <w:widowControl w:val="0"/>
      <w:spacing w:after="0" w:line="240" w:lineRule="auto"/>
    </w:pPr>
    <w:rPr>
      <w:rFonts w:ascii="Times New Roman" w:eastAsia="Times New Roman" w:hAnsi="Times New Roman" w:cs="Times New Roman"/>
      <w:snapToGrid w:val="0"/>
      <w:sz w:val="24"/>
      <w:szCs w:val="20"/>
      <w:lang w:val="en-US"/>
    </w:rPr>
  </w:style>
  <w:style w:type="character" w:customStyle="1" w:styleId="tpt1">
    <w:name w:val="tpt1"/>
    <w:basedOn w:val="DefaultParagraphFont"/>
    <w:rsid w:val="003A3564"/>
  </w:style>
  <w:style w:type="character" w:customStyle="1" w:styleId="do1">
    <w:name w:val="do1"/>
    <w:basedOn w:val="DefaultParagraphFont"/>
    <w:rsid w:val="003A3564"/>
    <w:rPr>
      <w:b/>
      <w:bCs/>
      <w:sz w:val="26"/>
      <w:szCs w:val="26"/>
    </w:rPr>
  </w:style>
  <w:style w:type="character" w:customStyle="1" w:styleId="tli1">
    <w:name w:val="tli1"/>
    <w:basedOn w:val="DefaultParagraphFont"/>
    <w:rsid w:val="003A3564"/>
  </w:style>
  <w:style w:type="character" w:customStyle="1" w:styleId="li1">
    <w:name w:val="li1"/>
    <w:basedOn w:val="DefaultParagraphFont"/>
    <w:rsid w:val="003A3564"/>
    <w:rPr>
      <w:b/>
      <w:bCs/>
      <w:color w:val="8F0000"/>
    </w:rPr>
  </w:style>
  <w:style w:type="paragraph" w:customStyle="1" w:styleId="Default">
    <w:name w:val="Default"/>
    <w:rsid w:val="003A356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al1">
    <w:name w:val="tal1"/>
    <w:basedOn w:val="DefaultParagraphFont"/>
    <w:rsid w:val="003A3564"/>
  </w:style>
  <w:style w:type="character" w:styleId="Hyperlink">
    <w:name w:val="Hyperlink"/>
    <w:basedOn w:val="DefaultParagraphFont"/>
    <w:rsid w:val="003A3564"/>
    <w:rPr>
      <w:color w:val="0000FF"/>
      <w:u w:val="single"/>
    </w:rPr>
  </w:style>
  <w:style w:type="character" w:customStyle="1" w:styleId="tpa1">
    <w:name w:val="tpa1"/>
    <w:basedOn w:val="DefaultParagraphFont"/>
    <w:rsid w:val="003A3564"/>
  </w:style>
  <w:style w:type="character" w:styleId="HTMLTypewriter">
    <w:name w:val="HTML Typewriter"/>
    <w:basedOn w:val="DefaultParagraphFont"/>
    <w:rsid w:val="003A3564"/>
    <w:rPr>
      <w:rFonts w:ascii="Courier New" w:eastAsia="Times New Roman" w:hAnsi="Courier New" w:cs="Wingdings" w:hint="default"/>
      <w:sz w:val="20"/>
      <w:szCs w:val="20"/>
    </w:rPr>
  </w:style>
  <w:style w:type="paragraph" w:customStyle="1" w:styleId="BodyTextIndent2BodyTextIndent2Char">
    <w:name w:val="Body Text Indent 2.Body Text Indent 2 Char"/>
    <w:basedOn w:val="Normal"/>
    <w:rsid w:val="003A3564"/>
    <w:pPr>
      <w:spacing w:after="0" w:line="240" w:lineRule="auto"/>
      <w:ind w:left="1843"/>
      <w:jc w:val="both"/>
    </w:pPr>
    <w:rPr>
      <w:rFonts w:ascii="Times New Roman" w:eastAsia="Times New Roman" w:hAnsi="Times New Roman" w:cs="Times New Roman"/>
      <w:sz w:val="20"/>
      <w:szCs w:val="20"/>
    </w:rPr>
  </w:style>
  <w:style w:type="paragraph" w:customStyle="1" w:styleId="CharCaracterCaracterChar">
    <w:name w:val="Char Caracter Caracter Char"/>
    <w:basedOn w:val="Normal"/>
    <w:rsid w:val="003A3564"/>
    <w:pPr>
      <w:spacing w:after="0" w:line="240" w:lineRule="auto"/>
    </w:pPr>
    <w:rPr>
      <w:rFonts w:ascii="Times New Roman" w:eastAsia="Times New Roman" w:hAnsi="Times New Roman" w:cs="Times New Roman"/>
      <w:sz w:val="24"/>
      <w:szCs w:val="24"/>
      <w:lang w:val="pl-PL" w:eastAsia="pl-PL"/>
    </w:rPr>
  </w:style>
  <w:style w:type="paragraph" w:styleId="Caption">
    <w:name w:val="caption"/>
    <w:basedOn w:val="Normal"/>
    <w:next w:val="Normal"/>
    <w:unhideWhenUsed/>
    <w:qFormat/>
    <w:rsid w:val="003A3564"/>
    <w:pPr>
      <w:spacing w:after="0" w:line="240" w:lineRule="auto"/>
    </w:pPr>
    <w:rPr>
      <w:rFonts w:ascii="Times New Roman" w:eastAsia="SimSun" w:hAnsi="Times New Roman" w:cs="Times New Roman"/>
      <w:b/>
      <w:bCs/>
      <w:sz w:val="20"/>
      <w:szCs w:val="20"/>
      <w:lang w:val="en-GB"/>
    </w:rPr>
  </w:style>
  <w:style w:type="paragraph" w:customStyle="1" w:styleId="CharChar1">
    <w:name w:val="Char Char1"/>
    <w:basedOn w:val="Normal"/>
    <w:rsid w:val="003A3564"/>
    <w:pPr>
      <w:spacing w:after="0" w:line="240" w:lineRule="auto"/>
    </w:pPr>
    <w:rPr>
      <w:rFonts w:ascii="Times New Roman" w:eastAsia="Times New Roman" w:hAnsi="Times New Roman" w:cs="Times New Roman"/>
      <w:sz w:val="24"/>
      <w:szCs w:val="24"/>
      <w:lang w:val="pl-PL" w:eastAsia="pl-PL"/>
    </w:rPr>
  </w:style>
  <w:style w:type="paragraph" w:customStyle="1" w:styleId="Pa4">
    <w:name w:val="Pa4"/>
    <w:basedOn w:val="Normal"/>
    <w:next w:val="Normal"/>
    <w:rsid w:val="003A3564"/>
    <w:pPr>
      <w:autoSpaceDE w:val="0"/>
      <w:autoSpaceDN w:val="0"/>
      <w:adjustRightInd w:val="0"/>
      <w:spacing w:after="0" w:line="201" w:lineRule="atLeast"/>
    </w:pPr>
    <w:rPr>
      <w:rFonts w:ascii="Times New Roman" w:eastAsia="Times New Roman" w:hAnsi="Times New Roman" w:cs="Times New Roman"/>
      <w:sz w:val="24"/>
      <w:szCs w:val="24"/>
      <w:lang w:val="en-US"/>
    </w:rPr>
  </w:style>
  <w:style w:type="character" w:customStyle="1" w:styleId="text1">
    <w:name w:val="text1"/>
    <w:basedOn w:val="DefaultParagraphFont"/>
    <w:rsid w:val="003A3564"/>
    <w:rPr>
      <w:rFonts w:ascii="Verdana" w:hAnsi="Verdana" w:hint="default"/>
      <w:sz w:val="18"/>
      <w:szCs w:val="18"/>
    </w:rPr>
  </w:style>
  <w:style w:type="paragraph" w:customStyle="1" w:styleId="Char">
    <w:name w:val="Char"/>
    <w:basedOn w:val="Normal"/>
    <w:rsid w:val="003A3564"/>
    <w:pPr>
      <w:spacing w:after="0" w:line="240" w:lineRule="auto"/>
    </w:pPr>
    <w:rPr>
      <w:rFonts w:ascii="Times New Roman" w:eastAsia="Times New Roman" w:hAnsi="Times New Roman" w:cs="Times New Roman"/>
      <w:sz w:val="24"/>
      <w:szCs w:val="24"/>
      <w:lang w:val="pl-PL" w:eastAsia="pl-PL"/>
    </w:rPr>
  </w:style>
  <w:style w:type="paragraph" w:customStyle="1" w:styleId="NormalWeb3">
    <w:name w:val="Normal (Web)3"/>
    <w:basedOn w:val="Default"/>
    <w:next w:val="Default"/>
    <w:rsid w:val="003A3564"/>
    <w:pPr>
      <w:spacing w:before="100" w:after="100"/>
    </w:pPr>
    <w:rPr>
      <w:rFonts w:ascii="Arial" w:hAnsi="Arial"/>
      <w:color w:val="auto"/>
    </w:rPr>
  </w:style>
  <w:style w:type="paragraph" w:styleId="DocumentMap">
    <w:name w:val="Document Map"/>
    <w:basedOn w:val="Normal"/>
    <w:link w:val="DocumentMapChar"/>
    <w:rsid w:val="003A356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3A3564"/>
    <w:rPr>
      <w:rFonts w:ascii="Tahoma" w:eastAsia="Times New Roman" w:hAnsi="Tahoma" w:cs="Tahoma"/>
      <w:sz w:val="20"/>
      <w:szCs w:val="20"/>
      <w:shd w:val="clear" w:color="auto" w:fill="000080"/>
      <w:lang w:val="en-US"/>
    </w:rPr>
  </w:style>
  <w:style w:type="character" w:customStyle="1" w:styleId="articlenormal1">
    <w:name w:val="articlenormal1"/>
    <w:basedOn w:val="DefaultParagraphFont"/>
    <w:rsid w:val="003A3564"/>
    <w:rPr>
      <w:color w:val="000000"/>
      <w:sz w:val="19"/>
      <w:szCs w:val="19"/>
      <w:shd w:val="clear" w:color="auto" w:fill="auto"/>
    </w:rPr>
  </w:style>
  <w:style w:type="character" w:customStyle="1" w:styleId="BodyTextChar1">
    <w:name w:val="Body Text Char1"/>
    <w:aliases w:val="Body Text Char Char, Caracter Char,Caracter Char"/>
    <w:basedOn w:val="DefaultParagraphFont"/>
    <w:rsid w:val="003A3564"/>
    <w:rPr>
      <w:sz w:val="24"/>
      <w:szCs w:val="24"/>
      <w:lang w:val="ro-RO" w:eastAsia="en-US" w:bidi="ar-SA"/>
    </w:rPr>
  </w:style>
  <w:style w:type="character" w:customStyle="1" w:styleId="a">
    <w:name w:val="a"/>
    <w:basedOn w:val="DefaultParagraphFont"/>
    <w:rsid w:val="003A3564"/>
  </w:style>
  <w:style w:type="paragraph" w:styleId="BodyTextIndent3">
    <w:name w:val="Body Text Indent 3"/>
    <w:basedOn w:val="Normal"/>
    <w:link w:val="BodyTextIndent3Char"/>
    <w:rsid w:val="003A3564"/>
    <w:pPr>
      <w:spacing w:after="120" w:line="240" w:lineRule="auto"/>
      <w:ind w:left="283"/>
    </w:pPr>
    <w:rPr>
      <w:rFonts w:ascii="Times New Roman" w:eastAsia="SimSun" w:hAnsi="Times New Roman" w:cs="Times New Roman"/>
      <w:sz w:val="16"/>
      <w:szCs w:val="16"/>
      <w:lang w:val="en-GB"/>
    </w:rPr>
  </w:style>
  <w:style w:type="character" w:customStyle="1" w:styleId="BodyTextIndent3Char">
    <w:name w:val="Body Text Indent 3 Char"/>
    <w:basedOn w:val="DefaultParagraphFont"/>
    <w:link w:val="BodyTextIndent3"/>
    <w:rsid w:val="003A3564"/>
    <w:rPr>
      <w:rFonts w:ascii="Times New Roman" w:eastAsia="SimSun" w:hAnsi="Times New Roman" w:cs="Times New Roman"/>
      <w:sz w:val="16"/>
      <w:szCs w:val="16"/>
      <w:lang w:val="en-GB"/>
    </w:rPr>
  </w:style>
  <w:style w:type="paragraph" w:customStyle="1" w:styleId="CharCaracterCharCharCharCaracter">
    <w:name w:val="Char Caracter Char Char Char Caracter"/>
    <w:basedOn w:val="Normal"/>
    <w:rsid w:val="003A3564"/>
    <w:pPr>
      <w:spacing w:after="0" w:line="240" w:lineRule="auto"/>
    </w:pPr>
    <w:rPr>
      <w:rFonts w:ascii="Times New Roman" w:eastAsia="Times New Roman" w:hAnsi="Times New Roman" w:cs="Times New Roman"/>
      <w:sz w:val="24"/>
      <w:szCs w:val="24"/>
      <w:lang w:val="pl-PL" w:eastAsia="pl-PL"/>
    </w:rPr>
  </w:style>
  <w:style w:type="paragraph" w:customStyle="1" w:styleId="char0">
    <w:name w:val="char"/>
    <w:basedOn w:val="Normal"/>
    <w:rsid w:val="003A3564"/>
    <w:pPr>
      <w:spacing w:after="0" w:line="240" w:lineRule="auto"/>
    </w:pPr>
    <w:rPr>
      <w:rFonts w:ascii="Times New Roman" w:eastAsia="Times New Roman" w:hAnsi="Times New Roman" w:cs="Times New Roman"/>
      <w:sz w:val="24"/>
      <w:szCs w:val="24"/>
      <w:lang w:val="en-US"/>
    </w:rPr>
  </w:style>
  <w:style w:type="character" w:styleId="PageNumber">
    <w:name w:val="page number"/>
    <w:basedOn w:val="DefaultParagraphFont"/>
    <w:rsid w:val="003A3564"/>
  </w:style>
  <w:style w:type="character" w:customStyle="1" w:styleId="ar1">
    <w:name w:val="ar1"/>
    <w:basedOn w:val="DefaultParagraphFont"/>
    <w:rsid w:val="003A3564"/>
    <w:rPr>
      <w:b/>
      <w:bCs/>
      <w:color w:val="0000AF"/>
      <w:sz w:val="22"/>
      <w:szCs w:val="22"/>
    </w:rPr>
  </w:style>
  <w:style w:type="character" w:customStyle="1" w:styleId="CharChar15">
    <w:name w:val="Char Char15"/>
    <w:basedOn w:val="DefaultParagraphFont"/>
    <w:rsid w:val="003A3564"/>
    <w:rPr>
      <w:rFonts w:ascii="Arial" w:eastAsia="SimSun" w:hAnsi="Arial" w:cs="Arial"/>
      <w:b/>
      <w:bCs/>
      <w:kern w:val="32"/>
      <w:sz w:val="32"/>
      <w:szCs w:val="32"/>
      <w:lang w:val="en-GB" w:eastAsia="en-US" w:bidi="ar-SA"/>
    </w:rPr>
  </w:style>
  <w:style w:type="character" w:customStyle="1" w:styleId="CharChar7">
    <w:name w:val="Char Char7"/>
    <w:basedOn w:val="DefaultParagraphFont"/>
    <w:rsid w:val="003A3564"/>
    <w:rPr>
      <w:rFonts w:ascii="Calibri" w:hAnsi="Calibri"/>
      <w:sz w:val="22"/>
      <w:szCs w:val="22"/>
      <w:lang w:val="en-US" w:eastAsia="en-US"/>
    </w:rPr>
  </w:style>
  <w:style w:type="character" w:customStyle="1" w:styleId="BodyTextIndent2Char1">
    <w:name w:val="Body Text Indent 2 Char1"/>
    <w:aliases w:val="Body Text Indent 2 Char Char Char Char,Body Text Indent 2 Char Char"/>
    <w:basedOn w:val="DefaultParagraphFont"/>
    <w:rsid w:val="003A3564"/>
    <w:rPr>
      <w:rFonts w:eastAsia="SimSun"/>
      <w:sz w:val="24"/>
      <w:szCs w:val="24"/>
      <w:lang w:val="en-GB" w:eastAsia="en-US" w:bidi="ar-SA"/>
    </w:rPr>
  </w:style>
  <w:style w:type="character" w:customStyle="1" w:styleId="al1">
    <w:name w:val="al1"/>
    <w:basedOn w:val="DefaultParagraphFont"/>
    <w:rsid w:val="003A3564"/>
    <w:rPr>
      <w:b/>
      <w:bCs/>
      <w:color w:val="008F00"/>
    </w:rPr>
  </w:style>
  <w:style w:type="character" w:customStyle="1" w:styleId="pt1">
    <w:name w:val="pt1"/>
    <w:basedOn w:val="DefaultParagraphFont"/>
    <w:rsid w:val="003A3564"/>
    <w:rPr>
      <w:b/>
      <w:bCs/>
      <w:color w:val="8F0000"/>
    </w:rPr>
  </w:style>
  <w:style w:type="paragraph" w:customStyle="1" w:styleId="CaracterCaracterCaracterCharCharCaracterCharCharCaracterCharCharCaracterCarCarCharCharCaracterCharChar">
    <w:name w:val="Caracter Caracter Caracter Char Char Caracter Char Char Caracter Char Char Caracter Car Car Char Char Caracter Char Char"/>
    <w:basedOn w:val="Normal"/>
    <w:uiPriority w:val="99"/>
    <w:rsid w:val="003A3564"/>
    <w:pPr>
      <w:spacing w:after="0" w:line="240" w:lineRule="auto"/>
    </w:pPr>
    <w:rPr>
      <w:rFonts w:ascii="Times New Roman" w:eastAsia="Times New Roman" w:hAnsi="Times New Roman" w:cs="Times New Roman"/>
      <w:sz w:val="24"/>
      <w:szCs w:val="24"/>
      <w:lang w:val="pl-PL" w:eastAsia="pl-PL"/>
    </w:rPr>
  </w:style>
  <w:style w:type="character" w:styleId="FollowedHyperlink">
    <w:name w:val="FollowedHyperlink"/>
    <w:basedOn w:val="DefaultParagraphFont"/>
    <w:rsid w:val="003A3564"/>
    <w:rPr>
      <w:color w:val="800080"/>
      <w:u w:val="single"/>
    </w:rPr>
  </w:style>
  <w:style w:type="character" w:styleId="Emphasis">
    <w:name w:val="Emphasis"/>
    <w:basedOn w:val="DefaultParagraphFont"/>
    <w:qFormat/>
    <w:rsid w:val="003A3564"/>
    <w:rPr>
      <w:i/>
      <w:iCs/>
    </w:rPr>
  </w:style>
  <w:style w:type="character" w:customStyle="1" w:styleId="Heading5Char">
    <w:name w:val="Heading 5 Char"/>
    <w:basedOn w:val="DefaultParagraphFont"/>
    <w:link w:val="Heading5"/>
    <w:uiPriority w:val="9"/>
    <w:rsid w:val="00FA5CE1"/>
    <w:rPr>
      <w:rFonts w:ascii="Times New Roman" w:eastAsia="Times New Roman" w:hAnsi="Times New Roman" w:cs="Times New Roman"/>
      <w:b/>
      <w:bCs/>
      <w:i/>
      <w:iCs/>
      <w:sz w:val="26"/>
      <w:szCs w:val="26"/>
    </w:rPr>
  </w:style>
  <w:style w:type="table" w:styleId="TableGrid">
    <w:name w:val="Table Grid"/>
    <w:basedOn w:val="TableNormal"/>
    <w:uiPriority w:val="59"/>
    <w:rsid w:val="00FA5CE1"/>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8">
    <w:name w:val="Table Grid 8"/>
    <w:basedOn w:val="TableNormal"/>
    <w:rsid w:val="00FA5CE1"/>
    <w:pPr>
      <w:spacing w:after="0" w:line="240" w:lineRule="auto"/>
    </w:pPr>
    <w:rPr>
      <w:rFonts w:ascii="Times New Roman" w:eastAsia="Times New Roman" w:hAnsi="Times New Roman" w:cs="Times New Roman"/>
      <w:sz w:val="20"/>
      <w:szCs w:val="20"/>
      <w:lang w:eastAsia="ro-R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Implicit">
    <w:name w:val="Implicit"/>
    <w:rsid w:val="00FA5CE1"/>
    <w:pPr>
      <w:tabs>
        <w:tab w:val="left" w:pos="720"/>
      </w:tabs>
      <w:suppressAutoHyphens/>
    </w:pPr>
    <w:rPr>
      <w:rFonts w:ascii="Times New Roman" w:eastAsia="Times New Roman" w:hAnsi="Times New Roman" w:cs="Times New Roman"/>
      <w:color w:val="00000A"/>
      <w:sz w:val="24"/>
      <w:szCs w:val="24"/>
      <w:lang w:val="en-US"/>
    </w:rPr>
  </w:style>
  <w:style w:type="paragraph" w:customStyle="1" w:styleId="Char1CharChar1Char">
    <w:name w:val="Char1 Char Char1 Char"/>
    <w:basedOn w:val="Normal"/>
    <w:uiPriority w:val="99"/>
    <w:rsid w:val="00FA5CE1"/>
    <w:pPr>
      <w:tabs>
        <w:tab w:val="left" w:pos="709"/>
      </w:tabs>
      <w:overflowPunct w:val="0"/>
      <w:autoSpaceDE w:val="0"/>
      <w:autoSpaceDN w:val="0"/>
      <w:adjustRightInd w:val="0"/>
      <w:spacing w:after="0" w:line="264" w:lineRule="auto"/>
      <w:textAlignment w:val="baseline"/>
    </w:pPr>
    <w:rPr>
      <w:rFonts w:ascii="Tahoma" w:eastAsia="Times New Roman" w:hAnsi="Tahoma" w:cs="Tahoma"/>
      <w:lang w:val="pl-PL" w:eastAsia="pl-PL"/>
    </w:rPr>
  </w:style>
  <w:style w:type="paragraph" w:customStyle="1" w:styleId="externalclass684e6937532b40bc957069edaade015e">
    <w:name w:val="externalclass684e6937532b40bc957069edaade015e"/>
    <w:basedOn w:val="Normal"/>
    <w:uiPriority w:val="99"/>
    <w:rsid w:val="00FA5CE1"/>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span-24column">
    <w:name w:val="span-24  column"/>
    <w:basedOn w:val="Normal"/>
    <w:uiPriority w:val="99"/>
    <w:rsid w:val="00FA5CE1"/>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span-24column0">
    <w:name w:val="span-24 column"/>
    <w:basedOn w:val="Normal"/>
    <w:uiPriority w:val="99"/>
    <w:rsid w:val="00FA5CE1"/>
    <w:pPr>
      <w:spacing w:before="100" w:beforeAutospacing="1" w:after="100" w:afterAutospacing="1" w:line="240" w:lineRule="auto"/>
    </w:pPr>
    <w:rPr>
      <w:rFonts w:ascii="Calibri" w:eastAsia="Times New Roman" w:hAnsi="Calibri" w:cs="Times New Roman"/>
      <w:sz w:val="24"/>
      <w:szCs w:val="24"/>
      <w:lang w:val="en-US"/>
    </w:rPr>
  </w:style>
  <w:style w:type="character" w:customStyle="1" w:styleId="stire">
    <w:name w:val="stire"/>
    <w:basedOn w:val="DefaultParagraphFont"/>
    <w:uiPriority w:val="99"/>
    <w:rsid w:val="00FA5CE1"/>
  </w:style>
  <w:style w:type="table" w:styleId="LightShading-Accent5">
    <w:name w:val="Light Shading Accent 5"/>
    <w:basedOn w:val="TableNormal"/>
    <w:uiPriority w:val="99"/>
    <w:rsid w:val="00FA5CE1"/>
    <w:pPr>
      <w:spacing w:after="0" w:line="240" w:lineRule="auto"/>
    </w:pPr>
    <w:rPr>
      <w:rFonts w:ascii="Calibri" w:eastAsia="Times New Roman" w:hAnsi="Calibri" w:cs="Calibri"/>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uiPriority w:val="99"/>
    <w:rsid w:val="00FA5CE1"/>
    <w:pPr>
      <w:spacing w:after="0" w:line="240" w:lineRule="auto"/>
    </w:pPr>
    <w:rPr>
      <w:rFonts w:ascii="Calibri" w:eastAsia="Times New Roman" w:hAnsi="Calibri" w:cs="Calibri"/>
      <w:color w:val="000000"/>
      <w:sz w:val="2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8">
    <w:name w:val="Style8"/>
    <w:basedOn w:val="Normal"/>
    <w:rsid w:val="00FA5CE1"/>
    <w:pPr>
      <w:widowControl w:val="0"/>
      <w:autoSpaceDE w:val="0"/>
      <w:autoSpaceDN w:val="0"/>
      <w:adjustRightInd w:val="0"/>
      <w:spacing w:after="0" w:line="300" w:lineRule="exact"/>
      <w:ind w:firstLine="706"/>
      <w:jc w:val="both"/>
    </w:pPr>
    <w:rPr>
      <w:rFonts w:ascii="Times New Roman" w:eastAsia="Times New Roman" w:hAnsi="Times New Roman" w:cs="Times New Roman"/>
      <w:sz w:val="24"/>
      <w:szCs w:val="24"/>
      <w:lang w:val="en-US"/>
    </w:rPr>
  </w:style>
  <w:style w:type="character" w:customStyle="1" w:styleId="FontStyle22">
    <w:name w:val="Font Style22"/>
    <w:basedOn w:val="DefaultParagraphFont"/>
    <w:rsid w:val="00FA5CE1"/>
    <w:rPr>
      <w:rFonts w:ascii="Times New Roman" w:hAnsi="Times New Roman" w:cs="Times New Roman"/>
      <w:sz w:val="24"/>
      <w:szCs w:val="24"/>
    </w:rPr>
  </w:style>
  <w:style w:type="paragraph" w:customStyle="1" w:styleId="x95">
    <w:name w:val="x95"/>
    <w:basedOn w:val="Normal"/>
    <w:rsid w:val="00FA5CE1"/>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Listparagraf">
    <w:name w:val="Listă paragraf"/>
    <w:basedOn w:val="Normal"/>
    <w:qFormat/>
    <w:rsid w:val="00FA5CE1"/>
    <w:pPr>
      <w:ind w:left="720"/>
      <w:contextualSpacing/>
    </w:pPr>
    <w:rPr>
      <w:rFonts w:ascii="Calibri" w:eastAsia="Calibri" w:hAnsi="Calibri" w:cs="Times New Roman"/>
    </w:rPr>
  </w:style>
  <w:style w:type="paragraph" w:styleId="FootnoteText">
    <w:name w:val="footnote text"/>
    <w:basedOn w:val="Normal"/>
    <w:link w:val="FootnoteTextChar"/>
    <w:uiPriority w:val="99"/>
    <w:rsid w:val="00FA5CE1"/>
    <w:pPr>
      <w:spacing w:after="0" w:line="240" w:lineRule="auto"/>
    </w:pPr>
    <w:rPr>
      <w:rFonts w:ascii="Univers Cd (WE)" w:eastAsia="Univers Cd (WE)" w:hAnsi="Univers Cd (WE)" w:cs="Times New Roman"/>
      <w:kern w:val="16"/>
      <w:sz w:val="20"/>
      <w:szCs w:val="20"/>
      <w:lang w:val="en-US"/>
    </w:rPr>
  </w:style>
  <w:style w:type="character" w:customStyle="1" w:styleId="FootnoteTextChar">
    <w:name w:val="Footnote Text Char"/>
    <w:basedOn w:val="DefaultParagraphFont"/>
    <w:link w:val="FootnoteText"/>
    <w:uiPriority w:val="99"/>
    <w:rsid w:val="00FA5CE1"/>
    <w:rPr>
      <w:rFonts w:ascii="Univers Cd (WE)" w:eastAsia="Univers Cd (WE)" w:hAnsi="Univers Cd (WE)" w:cs="Times New Roman"/>
      <w:kern w:val="16"/>
      <w:sz w:val="20"/>
      <w:szCs w:val="20"/>
      <w:lang w:val="en-US"/>
    </w:rPr>
  </w:style>
  <w:style w:type="character" w:styleId="FootnoteReference">
    <w:name w:val="footnote reference"/>
    <w:basedOn w:val="DefaultParagraphFont"/>
    <w:uiPriority w:val="99"/>
    <w:rsid w:val="00FA5CE1"/>
    <w:rPr>
      <w:vertAlign w:val="superscript"/>
    </w:rPr>
  </w:style>
  <w:style w:type="character" w:customStyle="1" w:styleId="partttl">
    <w:name w:val="p_art_ttl"/>
    <w:basedOn w:val="DefaultParagraphFont"/>
    <w:rsid w:val="00FA5CE1"/>
    <w:rPr>
      <w:b/>
      <w:bCs/>
      <w:vanish w:val="0"/>
      <w:webHidden w:val="0"/>
      <w:sz w:val="16"/>
      <w:szCs w:val="16"/>
      <w:specVanish w:val="0"/>
    </w:rPr>
  </w:style>
  <w:style w:type="character" w:customStyle="1" w:styleId="part">
    <w:name w:val="p_art"/>
    <w:basedOn w:val="DefaultParagraphFont"/>
    <w:rsid w:val="00FA5CE1"/>
    <w:rPr>
      <w:vanish w:val="0"/>
      <w:webHidden w:val="0"/>
      <w:specVanish w:val="0"/>
    </w:rPr>
  </w:style>
  <w:style w:type="character" w:customStyle="1" w:styleId="sttlitera">
    <w:name w:val="st_tlitera"/>
    <w:basedOn w:val="DefaultParagraphFont"/>
    <w:rsid w:val="00FA5CE1"/>
  </w:style>
  <w:style w:type="paragraph" w:customStyle="1" w:styleId="CM4">
    <w:name w:val="CM4"/>
    <w:basedOn w:val="Default"/>
    <w:next w:val="Default"/>
    <w:uiPriority w:val="99"/>
    <w:rsid w:val="00FA5CE1"/>
    <w:pPr>
      <w:spacing w:before="60" w:after="60"/>
    </w:pPr>
    <w:rPr>
      <w:rFonts w:ascii="EU Albertina" w:hAnsi="EU Albertina"/>
      <w:color w:val="auto"/>
      <w:lang w:val="ro-RO" w:eastAsia="ro-RO"/>
    </w:rPr>
  </w:style>
  <w:style w:type="paragraph" w:customStyle="1" w:styleId="CM1">
    <w:name w:val="CM1"/>
    <w:basedOn w:val="Default"/>
    <w:next w:val="Default"/>
    <w:uiPriority w:val="99"/>
    <w:rsid w:val="00FA5CE1"/>
    <w:pPr>
      <w:spacing w:before="200" w:after="200"/>
    </w:pPr>
    <w:rPr>
      <w:rFonts w:ascii="EU Albertina" w:hAnsi="EU Albertina"/>
      <w:color w:val="auto"/>
      <w:lang w:val="ro-RO" w:eastAsia="ro-RO"/>
    </w:rPr>
  </w:style>
  <w:style w:type="paragraph" w:customStyle="1" w:styleId="titlu">
    <w:name w:val="titlu"/>
    <w:basedOn w:val="Normal"/>
    <w:rsid w:val="00FA5CE1"/>
    <w:pPr>
      <w:spacing w:after="0" w:line="360" w:lineRule="atLeast"/>
      <w:jc w:val="both"/>
    </w:pPr>
    <w:rPr>
      <w:rFonts w:ascii="Tahoma" w:eastAsia="Times New Roman" w:hAnsi="Tahoma" w:cs="Tahoma"/>
      <w:b/>
      <w:bCs/>
      <w:color w:val="0099CC"/>
      <w:sz w:val="21"/>
      <w:szCs w:val="21"/>
      <w:lang w:eastAsia="ro-RO"/>
    </w:rPr>
  </w:style>
  <w:style w:type="paragraph" w:customStyle="1" w:styleId="CM3">
    <w:name w:val="CM3"/>
    <w:basedOn w:val="Default"/>
    <w:next w:val="Default"/>
    <w:uiPriority w:val="99"/>
    <w:rsid w:val="00FA5CE1"/>
    <w:rPr>
      <w:rFonts w:ascii="EUAlbertina" w:hAnsi="EUAlbertina"/>
      <w:color w:val="auto"/>
      <w:lang w:val="ro-RO" w:eastAsia="ro-RO"/>
    </w:rPr>
  </w:style>
  <w:style w:type="paragraph" w:styleId="NoSpacing">
    <w:name w:val="No Spacing"/>
    <w:uiPriority w:val="1"/>
    <w:qFormat/>
    <w:rsid w:val="00FA5CE1"/>
    <w:pPr>
      <w:spacing w:after="0" w:line="240" w:lineRule="auto"/>
    </w:pPr>
    <w:rPr>
      <w:rFonts w:ascii="Calibri" w:eastAsia="Calibri" w:hAnsi="Calibri" w:cs="Times New Roman"/>
    </w:rPr>
  </w:style>
  <w:style w:type="paragraph" w:customStyle="1" w:styleId="Corptext">
    <w:name w:val="Corp text"/>
    <w:basedOn w:val="Implicit"/>
    <w:rsid w:val="00FA5CE1"/>
    <w:pPr>
      <w:tabs>
        <w:tab w:val="left" w:pos="1677"/>
      </w:tabs>
      <w:spacing w:after="120" w:line="360" w:lineRule="auto"/>
      <w:jc w:val="both"/>
    </w:pPr>
    <w:rPr>
      <w:rFonts w:ascii="Arial" w:hAnsi="Arial" w:cs="Arial"/>
      <w:sz w:val="20"/>
      <w:szCs w:val="20"/>
      <w:lang w:val="it-IT"/>
    </w:rPr>
  </w:style>
  <w:style w:type="character" w:customStyle="1" w:styleId="ListParagraphChar">
    <w:name w:val="List Paragraph Char"/>
    <w:aliases w:val="body 2 Char,lp1 Char,Heading x1 Char,Lista 1 Char,lp11 Char,Lettre d'introduction Char,1st level - Bullet List Paragraph Char,Paragrafo elenco Char,List Paragraph11 Char,Heading 2_sj Char"/>
    <w:link w:val="ListParagraph"/>
    <w:uiPriority w:val="34"/>
    <w:rsid w:val="00FA5CE1"/>
    <w:rPr>
      <w:rFonts w:ascii="Times New Roman" w:eastAsia="Times New Roman" w:hAnsi="Times New Roman" w:cs="Times New Roman"/>
      <w:sz w:val="24"/>
      <w:szCs w:val="24"/>
      <w:lang w:eastAsia="ro-RO"/>
    </w:rPr>
  </w:style>
  <w:style w:type="numbering" w:styleId="111111">
    <w:name w:val="Outline List 2"/>
    <w:basedOn w:val="NoList"/>
    <w:rsid w:val="00FA5CE1"/>
    <w:pPr>
      <w:numPr>
        <w:numId w:val="19"/>
      </w:numPr>
    </w:pPr>
  </w:style>
  <w:style w:type="numbering" w:customStyle="1" w:styleId="Listacurent1">
    <w:name w:val="Lista curentă1"/>
    <w:rsid w:val="00FA5CE1"/>
    <w:pPr>
      <w:numPr>
        <w:numId w:val="20"/>
      </w:numPr>
    </w:pPr>
  </w:style>
  <w:style w:type="paragraph" w:styleId="TOCHeading">
    <w:name w:val="TOC Heading"/>
    <w:basedOn w:val="Heading1"/>
    <w:next w:val="Normal"/>
    <w:uiPriority w:val="39"/>
    <w:semiHidden/>
    <w:unhideWhenUsed/>
    <w:qFormat/>
    <w:rsid w:val="00FA5CE1"/>
    <w:pPr>
      <w:keepLines/>
      <w:spacing w:before="480" w:after="0" w:line="276" w:lineRule="auto"/>
      <w:outlineLvl w:val="9"/>
    </w:pPr>
    <w:rPr>
      <w:rFonts w:ascii="Cambria" w:eastAsia="Times New Roman" w:hAnsi="Cambria" w:cs="Times New Roman"/>
      <w:color w:val="365F91"/>
      <w:kern w:val="0"/>
      <w:sz w:val="28"/>
      <w:szCs w:val="28"/>
      <w:lang w:val="ro-RO" w:eastAsia="ro-RO"/>
    </w:rPr>
  </w:style>
  <w:style w:type="paragraph" w:customStyle="1" w:styleId="Paragraf">
    <w:name w:val="Paragraf"/>
    <w:basedOn w:val="Normal"/>
    <w:rsid w:val="00FA5CE1"/>
    <w:pPr>
      <w:tabs>
        <w:tab w:val="left" w:pos="851"/>
        <w:tab w:val="left" w:pos="1418"/>
        <w:tab w:val="num" w:pos="2160"/>
      </w:tabs>
      <w:spacing w:before="40" w:after="40" w:line="240" w:lineRule="auto"/>
      <w:ind w:left="2160" w:hanging="180"/>
      <w:jc w:val="both"/>
    </w:pPr>
    <w:rPr>
      <w:rFonts w:ascii="Arial" w:eastAsia="Times New Roman" w:hAnsi="Arial" w:cs="Times New Roman"/>
      <w:sz w:val="24"/>
      <w:szCs w:val="20"/>
    </w:rPr>
  </w:style>
  <w:style w:type="paragraph" w:styleId="TOC1">
    <w:name w:val="toc 1"/>
    <w:basedOn w:val="Normal"/>
    <w:next w:val="Normal"/>
    <w:autoRedefine/>
    <w:rsid w:val="00FA5CE1"/>
    <w:pPr>
      <w:spacing w:after="100" w:line="240" w:lineRule="auto"/>
    </w:pPr>
    <w:rPr>
      <w:rFonts w:ascii="Times New Roman" w:eastAsia="SimSun" w:hAnsi="Times New Roman" w:cs="Times New Roman"/>
      <w:sz w:val="24"/>
      <w:szCs w:val="24"/>
      <w:lang w:val="en-GB"/>
    </w:rPr>
  </w:style>
  <w:style w:type="paragraph" w:styleId="TOC2">
    <w:name w:val="toc 2"/>
    <w:basedOn w:val="Normal"/>
    <w:next w:val="Normal"/>
    <w:autoRedefine/>
    <w:rsid w:val="00FA5CE1"/>
    <w:pPr>
      <w:spacing w:after="100" w:line="240" w:lineRule="auto"/>
      <w:ind w:left="240"/>
    </w:pPr>
    <w:rPr>
      <w:rFonts w:ascii="Times New Roman" w:eastAsia="SimSun" w:hAnsi="Times New Roman" w:cs="Times New Roman"/>
      <w:sz w:val="24"/>
      <w:szCs w:val="24"/>
      <w:lang w:val="en-GB"/>
    </w:rPr>
  </w:style>
  <w:style w:type="paragraph" w:styleId="TOC3">
    <w:name w:val="toc 3"/>
    <w:basedOn w:val="Normal"/>
    <w:next w:val="Normal"/>
    <w:autoRedefine/>
    <w:rsid w:val="00FA5CE1"/>
    <w:pPr>
      <w:spacing w:after="100" w:line="240" w:lineRule="auto"/>
      <w:ind w:left="480"/>
    </w:pPr>
    <w:rPr>
      <w:rFonts w:ascii="Times New Roman" w:eastAsia="SimSun" w:hAnsi="Times New Roman" w:cs="Times New Roman"/>
      <w:sz w:val="24"/>
      <w:szCs w:val="24"/>
      <w:lang w:val="en-GB"/>
    </w:rPr>
  </w:style>
  <w:style w:type="paragraph" w:styleId="TOC4">
    <w:name w:val="toc 4"/>
    <w:basedOn w:val="Normal"/>
    <w:next w:val="Normal"/>
    <w:autoRedefine/>
    <w:rsid w:val="00FA5CE1"/>
    <w:pPr>
      <w:spacing w:after="100" w:line="240" w:lineRule="auto"/>
      <w:ind w:left="720"/>
    </w:pPr>
    <w:rPr>
      <w:rFonts w:ascii="Times New Roman" w:eastAsia="SimSun" w:hAnsi="Times New Roman" w:cs="Times New Roman"/>
      <w:sz w:val="24"/>
      <w:szCs w:val="24"/>
      <w:lang w:val="en-GB"/>
    </w:rPr>
  </w:style>
  <w:style w:type="paragraph" w:styleId="TOC5">
    <w:name w:val="toc 5"/>
    <w:basedOn w:val="Normal"/>
    <w:next w:val="Normal"/>
    <w:autoRedefine/>
    <w:rsid w:val="00FA5CE1"/>
    <w:pPr>
      <w:spacing w:after="100" w:line="240" w:lineRule="auto"/>
      <w:ind w:left="960"/>
    </w:pPr>
    <w:rPr>
      <w:rFonts w:ascii="Times New Roman" w:eastAsia="SimSun" w:hAnsi="Times New Roman" w:cs="Times New Roman"/>
      <w:sz w:val="24"/>
      <w:szCs w:val="24"/>
      <w:lang w:val="en-GB"/>
    </w:rPr>
  </w:style>
  <w:style w:type="paragraph" w:styleId="TOC6">
    <w:name w:val="toc 6"/>
    <w:basedOn w:val="Normal"/>
    <w:next w:val="Normal"/>
    <w:autoRedefine/>
    <w:rsid w:val="00FA5CE1"/>
    <w:pPr>
      <w:spacing w:after="100" w:line="240" w:lineRule="auto"/>
      <w:ind w:left="1200"/>
    </w:pPr>
    <w:rPr>
      <w:rFonts w:ascii="Times New Roman" w:eastAsia="SimSun" w:hAnsi="Times New Roman" w:cs="Times New Roman"/>
      <w:sz w:val="24"/>
      <w:szCs w:val="24"/>
      <w:lang w:val="en-GB"/>
    </w:rPr>
  </w:style>
  <w:style w:type="paragraph" w:styleId="TOC7">
    <w:name w:val="toc 7"/>
    <w:basedOn w:val="Normal"/>
    <w:next w:val="Normal"/>
    <w:autoRedefine/>
    <w:rsid w:val="00FA5CE1"/>
    <w:pPr>
      <w:spacing w:after="100" w:line="240" w:lineRule="auto"/>
      <w:ind w:left="1440"/>
    </w:pPr>
    <w:rPr>
      <w:rFonts w:ascii="Times New Roman" w:eastAsia="SimSun" w:hAnsi="Times New Roman" w:cs="Times New Roman"/>
      <w:sz w:val="24"/>
      <w:szCs w:val="24"/>
      <w:lang w:val="en-GB"/>
    </w:rPr>
  </w:style>
  <w:style w:type="character" w:customStyle="1" w:styleId="apple-converted-space">
    <w:name w:val="apple-converted-space"/>
    <w:basedOn w:val="DefaultParagraphFont"/>
    <w:rsid w:val="00FA5CE1"/>
  </w:style>
  <w:style w:type="character" w:customStyle="1" w:styleId="sttart">
    <w:name w:val="st_tart"/>
    <w:basedOn w:val="DefaultParagraphFont"/>
    <w:rsid w:val="00FA5CE1"/>
  </w:style>
  <w:style w:type="paragraph" w:customStyle="1" w:styleId="meta">
    <w:name w:val="meta"/>
    <w:basedOn w:val="Normal"/>
    <w:rsid w:val="00FA5CE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rChar1CaracterCaracter">
    <w:name w:val="Char Char1 Caracter Caracter"/>
    <w:basedOn w:val="Normal"/>
    <w:rsid w:val="00FA5CE1"/>
    <w:pPr>
      <w:spacing w:after="0" w:line="240" w:lineRule="auto"/>
    </w:pPr>
    <w:rPr>
      <w:rFonts w:ascii="Times New Roman" w:eastAsia="Times New Roman" w:hAnsi="Times New Roman" w:cs="Times New Roman"/>
      <w:sz w:val="24"/>
      <w:szCs w:val="24"/>
      <w:lang w:val="pl-PL" w:eastAsia="pl-PL"/>
    </w:rPr>
  </w:style>
  <w:style w:type="paragraph" w:styleId="BlockText">
    <w:name w:val="Block Text"/>
    <w:basedOn w:val="Normal"/>
    <w:rsid w:val="00FA5CE1"/>
    <w:pPr>
      <w:spacing w:after="0" w:line="240" w:lineRule="auto"/>
      <w:ind w:left="-851" w:right="-1283" w:firstLine="851"/>
      <w:jc w:val="both"/>
    </w:pPr>
    <w:rPr>
      <w:rFonts w:ascii="Ro Times New Roman" w:eastAsia="Times New Roman" w:hAnsi="Ro Times New Roman" w:cs="Times New Roman"/>
      <w:sz w:val="28"/>
      <w:szCs w:val="20"/>
      <w:lang w:val="en-US"/>
    </w:rPr>
  </w:style>
  <w:style w:type="paragraph" w:customStyle="1" w:styleId="1">
    <w:name w:val="1"/>
    <w:basedOn w:val="Normal"/>
    <w:rsid w:val="00FA5CE1"/>
    <w:pPr>
      <w:spacing w:after="160" w:line="240" w:lineRule="exact"/>
    </w:pPr>
    <w:rPr>
      <w:rFonts w:ascii="Verdana" w:eastAsia="Times New Roman" w:hAnsi="Verdana" w:cs="Times New Roman"/>
      <w:sz w:val="20"/>
      <w:szCs w:val="20"/>
    </w:rPr>
  </w:style>
  <w:style w:type="paragraph" w:customStyle="1" w:styleId="Textdetabel">
    <w:name w:val="Text de tabel"/>
    <w:basedOn w:val="Normal"/>
    <w:rsid w:val="00FA5CE1"/>
    <w:pPr>
      <w:spacing w:after="0" w:line="240" w:lineRule="auto"/>
      <w:jc w:val="center"/>
    </w:pPr>
    <w:rPr>
      <w:rFonts w:ascii="Times New Roman" w:eastAsia="Times New Roman" w:hAnsi="Times New Roman" w:cs="Times New Roman"/>
      <w:sz w:val="18"/>
      <w:szCs w:val="20"/>
    </w:rPr>
  </w:style>
  <w:style w:type="paragraph" w:customStyle="1" w:styleId="CaracterCaracterCharCharCaracterCaracterCaracterCaracter">
    <w:name w:val="Caracter Caracter Char Char Caracter Caracter Caracter Caracter"/>
    <w:basedOn w:val="Normal"/>
    <w:rsid w:val="00FA5CE1"/>
    <w:pPr>
      <w:spacing w:after="0" w:line="240" w:lineRule="auto"/>
    </w:pPr>
    <w:rPr>
      <w:rFonts w:ascii="Times New Roman" w:eastAsia="Times New Roman" w:hAnsi="Times New Roman" w:cs="Times New Roman"/>
      <w:sz w:val="24"/>
      <w:szCs w:val="24"/>
      <w:lang w:val="pl-PL" w:eastAsia="pl-PL"/>
    </w:rPr>
  </w:style>
  <w:style w:type="paragraph" w:customStyle="1" w:styleId="1text2">
    <w:name w:val="1 text 2"/>
    <w:basedOn w:val="Normal"/>
    <w:qFormat/>
    <w:rsid w:val="007551D0"/>
    <w:pPr>
      <w:spacing w:before="240" w:after="0" w:line="240" w:lineRule="auto"/>
      <w:jc w:val="both"/>
    </w:pPr>
    <w:rPr>
      <w:rFonts w:ascii="Arial" w:eastAsia="Calibri" w:hAnsi="Arial" w:cs="Times New Roman"/>
      <w:iCs/>
      <w:sz w:val="24"/>
      <w:szCs w:val="24"/>
    </w:rPr>
  </w:style>
  <w:style w:type="paragraph" w:customStyle="1" w:styleId="1tabeltitlu">
    <w:name w:val="1 tabel titlu"/>
    <w:basedOn w:val="Normal"/>
    <w:qFormat/>
    <w:rsid w:val="007551D0"/>
    <w:pPr>
      <w:spacing w:before="240" w:after="120" w:line="240" w:lineRule="auto"/>
      <w:jc w:val="center"/>
    </w:pPr>
    <w:rPr>
      <w:rFonts w:ascii="Arial" w:eastAsia="Times New Roman" w:hAnsi="Arial" w:cs="Arial"/>
      <w:b/>
      <w:szCs w:val="24"/>
      <w:lang w:eastAsia="ro-RO"/>
    </w:rPr>
  </w:style>
  <w:style w:type="paragraph" w:styleId="TableofFigures">
    <w:name w:val="table of figures"/>
    <w:basedOn w:val="Normal"/>
    <w:next w:val="Normal"/>
    <w:uiPriority w:val="99"/>
    <w:unhideWhenUsed/>
    <w:rsid w:val="00D4086A"/>
    <w:pPr>
      <w:spacing w:after="0"/>
      <w:ind w:left="440" w:hanging="440"/>
      <w:jc w:val="center"/>
    </w:pPr>
    <w:rPr>
      <w:rFonts w:ascii="Calibri" w:eastAsia="Times New Roman" w:hAnsi="Calibri" w:cs="Times New Roman"/>
      <w:b/>
      <w:bCs/>
      <w:i/>
      <w:iCs/>
      <w:sz w:val="20"/>
      <w:szCs w:val="20"/>
      <w:lang w:eastAsia="ro-RO"/>
    </w:rPr>
  </w:style>
</w:styles>
</file>

<file path=word/webSettings.xml><?xml version="1.0" encoding="utf-8"?>
<w:webSettings xmlns:r="http://schemas.openxmlformats.org/officeDocument/2006/relationships" xmlns:w="http://schemas.openxmlformats.org/wordprocessingml/2006/main">
  <w:divs>
    <w:div w:id="1648513102">
      <w:bodyDiv w:val="1"/>
      <w:marLeft w:val="0"/>
      <w:marRight w:val="0"/>
      <w:marTop w:val="0"/>
      <w:marBottom w:val="0"/>
      <w:divBdr>
        <w:top w:val="none" w:sz="0" w:space="0" w:color="auto"/>
        <w:left w:val="none" w:sz="0" w:space="0" w:color="auto"/>
        <w:bottom w:val="none" w:sz="0" w:space="0" w:color="auto"/>
        <w:right w:val="none" w:sz="0" w:space="0" w:color="auto"/>
      </w:divBdr>
      <w:divsChild>
        <w:div w:id="51464924">
          <w:marLeft w:val="0"/>
          <w:marRight w:val="0"/>
          <w:marTop w:val="0"/>
          <w:marBottom w:val="0"/>
          <w:divBdr>
            <w:top w:val="none" w:sz="0" w:space="0" w:color="auto"/>
            <w:left w:val="none" w:sz="0" w:space="0" w:color="auto"/>
            <w:bottom w:val="none" w:sz="0" w:space="0" w:color="auto"/>
            <w:right w:val="none" w:sz="0" w:space="0" w:color="auto"/>
          </w:divBdr>
        </w:div>
        <w:div w:id="147131541">
          <w:marLeft w:val="0"/>
          <w:marRight w:val="0"/>
          <w:marTop w:val="0"/>
          <w:marBottom w:val="0"/>
          <w:divBdr>
            <w:top w:val="none" w:sz="0" w:space="0" w:color="auto"/>
            <w:left w:val="none" w:sz="0" w:space="0" w:color="auto"/>
            <w:bottom w:val="none" w:sz="0" w:space="0" w:color="auto"/>
            <w:right w:val="none" w:sz="0" w:space="0" w:color="auto"/>
          </w:divBdr>
        </w:div>
        <w:div w:id="1296718637">
          <w:marLeft w:val="0"/>
          <w:marRight w:val="0"/>
          <w:marTop w:val="0"/>
          <w:marBottom w:val="0"/>
          <w:divBdr>
            <w:top w:val="none" w:sz="0" w:space="0" w:color="auto"/>
            <w:left w:val="none" w:sz="0" w:space="0" w:color="auto"/>
            <w:bottom w:val="none" w:sz="0" w:space="0" w:color="auto"/>
            <w:right w:val="none" w:sz="0" w:space="0" w:color="auto"/>
          </w:divBdr>
        </w:div>
        <w:div w:id="1851143342">
          <w:marLeft w:val="0"/>
          <w:marRight w:val="0"/>
          <w:marTop w:val="0"/>
          <w:marBottom w:val="0"/>
          <w:divBdr>
            <w:top w:val="none" w:sz="0" w:space="0" w:color="auto"/>
            <w:left w:val="none" w:sz="0" w:space="0" w:color="auto"/>
            <w:bottom w:val="none" w:sz="0" w:space="0" w:color="auto"/>
            <w:right w:val="none" w:sz="0" w:space="0" w:color="auto"/>
          </w:divBdr>
        </w:div>
        <w:div w:id="115373087">
          <w:marLeft w:val="0"/>
          <w:marRight w:val="0"/>
          <w:marTop w:val="0"/>
          <w:marBottom w:val="0"/>
          <w:divBdr>
            <w:top w:val="none" w:sz="0" w:space="0" w:color="auto"/>
            <w:left w:val="none" w:sz="0" w:space="0" w:color="auto"/>
            <w:bottom w:val="none" w:sz="0" w:space="0" w:color="auto"/>
            <w:right w:val="none" w:sz="0" w:space="0" w:color="auto"/>
          </w:divBdr>
        </w:div>
        <w:div w:id="7293895">
          <w:marLeft w:val="0"/>
          <w:marRight w:val="0"/>
          <w:marTop w:val="0"/>
          <w:marBottom w:val="0"/>
          <w:divBdr>
            <w:top w:val="none" w:sz="0" w:space="0" w:color="auto"/>
            <w:left w:val="none" w:sz="0" w:space="0" w:color="auto"/>
            <w:bottom w:val="none" w:sz="0" w:space="0" w:color="auto"/>
            <w:right w:val="none" w:sz="0" w:space="0" w:color="auto"/>
          </w:divBdr>
        </w:div>
        <w:div w:id="920868406">
          <w:marLeft w:val="0"/>
          <w:marRight w:val="0"/>
          <w:marTop w:val="0"/>
          <w:marBottom w:val="0"/>
          <w:divBdr>
            <w:top w:val="none" w:sz="0" w:space="0" w:color="auto"/>
            <w:left w:val="none" w:sz="0" w:space="0" w:color="auto"/>
            <w:bottom w:val="none" w:sz="0" w:space="0" w:color="auto"/>
            <w:right w:val="none" w:sz="0" w:space="0" w:color="auto"/>
          </w:divBdr>
        </w:div>
        <w:div w:id="1864594012">
          <w:marLeft w:val="0"/>
          <w:marRight w:val="0"/>
          <w:marTop w:val="0"/>
          <w:marBottom w:val="0"/>
          <w:divBdr>
            <w:top w:val="none" w:sz="0" w:space="0" w:color="auto"/>
            <w:left w:val="none" w:sz="0" w:space="0" w:color="auto"/>
            <w:bottom w:val="none" w:sz="0" w:space="0" w:color="auto"/>
            <w:right w:val="none" w:sz="0" w:space="0" w:color="auto"/>
          </w:divBdr>
        </w:div>
        <w:div w:id="1362853241">
          <w:marLeft w:val="0"/>
          <w:marRight w:val="0"/>
          <w:marTop w:val="0"/>
          <w:marBottom w:val="0"/>
          <w:divBdr>
            <w:top w:val="none" w:sz="0" w:space="0" w:color="auto"/>
            <w:left w:val="none" w:sz="0" w:space="0" w:color="auto"/>
            <w:bottom w:val="none" w:sz="0" w:space="0" w:color="auto"/>
            <w:right w:val="none" w:sz="0" w:space="0" w:color="auto"/>
          </w:divBdr>
        </w:div>
        <w:div w:id="773595451">
          <w:marLeft w:val="0"/>
          <w:marRight w:val="0"/>
          <w:marTop w:val="0"/>
          <w:marBottom w:val="0"/>
          <w:divBdr>
            <w:top w:val="none" w:sz="0" w:space="0" w:color="auto"/>
            <w:left w:val="none" w:sz="0" w:space="0" w:color="auto"/>
            <w:bottom w:val="none" w:sz="0" w:space="0" w:color="auto"/>
            <w:right w:val="none" w:sz="0" w:space="0" w:color="auto"/>
          </w:divBdr>
        </w:div>
        <w:div w:id="1982347630">
          <w:marLeft w:val="0"/>
          <w:marRight w:val="0"/>
          <w:marTop w:val="0"/>
          <w:marBottom w:val="0"/>
          <w:divBdr>
            <w:top w:val="none" w:sz="0" w:space="0" w:color="auto"/>
            <w:left w:val="none" w:sz="0" w:space="0" w:color="auto"/>
            <w:bottom w:val="none" w:sz="0" w:space="0" w:color="auto"/>
            <w:right w:val="none" w:sz="0" w:space="0" w:color="auto"/>
          </w:divBdr>
        </w:div>
        <w:div w:id="113063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93.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image" Target="media/image2.png"/><Relationship Id="rId84" Type="http://schemas.openxmlformats.org/officeDocument/2006/relationships/chart" Target="charts/chart67.xml"/><Relationship Id="rId89" Type="http://schemas.openxmlformats.org/officeDocument/2006/relationships/chart" Target="charts/chart72.xml"/><Relationship Id="rId112" Type="http://schemas.openxmlformats.org/officeDocument/2006/relationships/chart" Target="charts/chart89.xml"/><Relationship Id="rId133" Type="http://schemas.openxmlformats.org/officeDocument/2006/relationships/chart" Target="charts/chart104.xml"/><Relationship Id="rId138" Type="http://schemas.openxmlformats.org/officeDocument/2006/relationships/chart" Target="charts/chart109.xml"/><Relationship Id="rId154" Type="http://schemas.openxmlformats.org/officeDocument/2006/relationships/chart" Target="charts/chart125.xml"/><Relationship Id="rId159" Type="http://schemas.openxmlformats.org/officeDocument/2006/relationships/theme" Target="theme/theme1.xml"/><Relationship Id="rId16" Type="http://schemas.openxmlformats.org/officeDocument/2006/relationships/chart" Target="charts/chart8.xml"/><Relationship Id="rId107" Type="http://schemas.openxmlformats.org/officeDocument/2006/relationships/chart" Target="charts/chart84.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image" Target="media/image8.png"/><Relationship Id="rId79" Type="http://schemas.openxmlformats.org/officeDocument/2006/relationships/chart" Target="charts/chart62.xml"/><Relationship Id="rId102" Type="http://schemas.openxmlformats.org/officeDocument/2006/relationships/hyperlink" Target="https://ro.wikipedia.org/wiki/P%C4%83s%C4%83ri_migratoare" TargetMode="External"/><Relationship Id="rId123" Type="http://schemas.openxmlformats.org/officeDocument/2006/relationships/chart" Target="charts/chart99.xml"/><Relationship Id="rId128" Type="http://schemas.openxmlformats.org/officeDocument/2006/relationships/hyperlink" Target="file:///C:\Documents%20and%20Settings\Administrator\Sintact%202.0\cache\Legislatie\temp\00144158.HTM" TargetMode="External"/><Relationship Id="rId144" Type="http://schemas.openxmlformats.org/officeDocument/2006/relationships/chart" Target="charts/chart115.xml"/><Relationship Id="rId149" Type="http://schemas.openxmlformats.org/officeDocument/2006/relationships/chart" Target="charts/chart120.xml"/><Relationship Id="rId5" Type="http://schemas.openxmlformats.org/officeDocument/2006/relationships/webSettings" Target="webSettings.xml"/><Relationship Id="rId90" Type="http://schemas.openxmlformats.org/officeDocument/2006/relationships/chart" Target="charts/chart73.xml"/><Relationship Id="rId95" Type="http://schemas.openxmlformats.org/officeDocument/2006/relationships/chart" Target="charts/chart78.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image" Target="media/image3.png"/><Relationship Id="rId113" Type="http://schemas.openxmlformats.org/officeDocument/2006/relationships/chart" Target="charts/chart90.xml"/><Relationship Id="rId118" Type="http://schemas.openxmlformats.org/officeDocument/2006/relationships/chart" Target="charts/chart94.xml"/><Relationship Id="rId134" Type="http://schemas.openxmlformats.org/officeDocument/2006/relationships/chart" Target="charts/chart105.xml"/><Relationship Id="rId139" Type="http://schemas.openxmlformats.org/officeDocument/2006/relationships/chart" Target="charts/chart110.xml"/><Relationship Id="rId80" Type="http://schemas.openxmlformats.org/officeDocument/2006/relationships/chart" Target="charts/chart63.xml"/><Relationship Id="rId85" Type="http://schemas.openxmlformats.org/officeDocument/2006/relationships/chart" Target="charts/chart68.xml"/><Relationship Id="rId150" Type="http://schemas.openxmlformats.org/officeDocument/2006/relationships/chart" Target="charts/chart121.xml"/><Relationship Id="rId155" Type="http://schemas.openxmlformats.org/officeDocument/2006/relationships/chart" Target="charts/chart126.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hyperlink" Target="file:///C:\Documents%20and%20Settings\Administrator\sintact%203.0\cache\Legislatie\temp13108442\00157254.htm" TargetMode="External"/><Relationship Id="rId108" Type="http://schemas.openxmlformats.org/officeDocument/2006/relationships/chart" Target="charts/chart85.xml"/><Relationship Id="rId124" Type="http://schemas.openxmlformats.org/officeDocument/2006/relationships/chart" Target="charts/chart100.xml"/><Relationship Id="rId129" Type="http://schemas.openxmlformats.org/officeDocument/2006/relationships/hyperlink" Target="file:///C:\Documents%20and%20Settings\Administrator\Sintact%202.0\cache\Legislatie\temp\00144158.HTM" TargetMode="Externa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image" Target="media/image4.png"/><Relationship Id="rId75" Type="http://schemas.openxmlformats.org/officeDocument/2006/relationships/image" Target="media/image9.png"/><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chart" Target="charts/chart74.xml"/><Relationship Id="rId96" Type="http://schemas.openxmlformats.org/officeDocument/2006/relationships/chart" Target="charts/chart79.xml"/><Relationship Id="rId111" Type="http://schemas.openxmlformats.org/officeDocument/2006/relationships/chart" Target="charts/chart88.xml"/><Relationship Id="rId132" Type="http://schemas.openxmlformats.org/officeDocument/2006/relationships/chart" Target="charts/chart103.xml"/><Relationship Id="rId140" Type="http://schemas.openxmlformats.org/officeDocument/2006/relationships/chart" Target="charts/chart111.xml"/><Relationship Id="rId145" Type="http://schemas.openxmlformats.org/officeDocument/2006/relationships/chart" Target="charts/chart116.xml"/><Relationship Id="rId153" Type="http://schemas.openxmlformats.org/officeDocument/2006/relationships/chart" Target="charts/chart1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chart" Target="charts/chart83.xml"/><Relationship Id="rId114" Type="http://schemas.openxmlformats.org/officeDocument/2006/relationships/chart" Target="charts/chart91.xml"/><Relationship Id="rId119" Type="http://schemas.openxmlformats.org/officeDocument/2006/relationships/chart" Target="charts/chart95.xml"/><Relationship Id="rId127" Type="http://schemas.openxmlformats.org/officeDocument/2006/relationships/hyperlink" Target="file:///C:\Documents%20and%20Settings\Administrator\Sintact%202.0\cache\Legislatie\temp\00144158.HTM" TargetMode="Externa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image" Target="media/image7.png"/><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chart" Target="charts/chart77.xml"/><Relationship Id="rId99" Type="http://schemas.openxmlformats.org/officeDocument/2006/relationships/chart" Target="charts/chart80.xml"/><Relationship Id="rId101" Type="http://schemas.openxmlformats.org/officeDocument/2006/relationships/chart" Target="charts/chart82.xml"/><Relationship Id="rId122" Type="http://schemas.openxmlformats.org/officeDocument/2006/relationships/chart" Target="charts/chart98.xml"/><Relationship Id="rId130" Type="http://schemas.openxmlformats.org/officeDocument/2006/relationships/hyperlink" Target="file:///C:\Documents%20and%20Settings\Administrator\Sintact%202.0\cache\Legislatie\temp\00144158.HTM" TargetMode="External"/><Relationship Id="rId135" Type="http://schemas.openxmlformats.org/officeDocument/2006/relationships/chart" Target="charts/chart106.xml"/><Relationship Id="rId143" Type="http://schemas.openxmlformats.org/officeDocument/2006/relationships/chart" Target="charts/chart114.xml"/><Relationship Id="rId148" Type="http://schemas.openxmlformats.org/officeDocument/2006/relationships/chart" Target="charts/chart119.xml"/><Relationship Id="rId151" Type="http://schemas.openxmlformats.org/officeDocument/2006/relationships/chart" Target="charts/chart122.xml"/><Relationship Id="rId156" Type="http://schemas.openxmlformats.org/officeDocument/2006/relationships/chart" Target="charts/chart127.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86.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image" Target="media/image10.emf"/><Relationship Id="rId97" Type="http://schemas.openxmlformats.org/officeDocument/2006/relationships/image" Target="media/image11.emf"/><Relationship Id="rId104" Type="http://schemas.openxmlformats.org/officeDocument/2006/relationships/hyperlink" Target="http://www.mmediu.ro/beta/wp-content/uploads/2013/07/2013-07-23_Ordin_custodie_1470-2013.pdf" TargetMode="External"/><Relationship Id="rId120" Type="http://schemas.openxmlformats.org/officeDocument/2006/relationships/chart" Target="charts/chart96.xml"/><Relationship Id="rId125" Type="http://schemas.openxmlformats.org/officeDocument/2006/relationships/chart" Target="charts/chart101.xml"/><Relationship Id="rId141" Type="http://schemas.openxmlformats.org/officeDocument/2006/relationships/chart" Target="charts/chart112.xml"/><Relationship Id="rId146" Type="http://schemas.openxmlformats.org/officeDocument/2006/relationships/chart" Target="charts/chart117.xm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chart" Target="charts/chart75.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8.xml"/><Relationship Id="rId87" Type="http://schemas.openxmlformats.org/officeDocument/2006/relationships/chart" Target="charts/chart70.xml"/><Relationship Id="rId110" Type="http://schemas.openxmlformats.org/officeDocument/2006/relationships/chart" Target="charts/chart87.xml"/><Relationship Id="rId115" Type="http://schemas.openxmlformats.org/officeDocument/2006/relationships/chart" Target="charts/chart92.xml"/><Relationship Id="rId131" Type="http://schemas.openxmlformats.org/officeDocument/2006/relationships/hyperlink" Target="file:///C:\Documents%20and%20Settings\Administrator\Sintact%202.0\cache\Legislatie\temp\00144158.HTM" TargetMode="External"/><Relationship Id="rId136" Type="http://schemas.openxmlformats.org/officeDocument/2006/relationships/chart" Target="charts/chart107.xml"/><Relationship Id="rId157" Type="http://schemas.openxmlformats.org/officeDocument/2006/relationships/footer" Target="footer2.xml"/><Relationship Id="rId61" Type="http://schemas.openxmlformats.org/officeDocument/2006/relationships/chart" Target="charts/chart53.xml"/><Relationship Id="rId82" Type="http://schemas.openxmlformats.org/officeDocument/2006/relationships/chart" Target="charts/chart65.xml"/><Relationship Id="rId152" Type="http://schemas.openxmlformats.org/officeDocument/2006/relationships/chart" Target="charts/chart123.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chart" Target="charts/chart60.xml"/><Relationship Id="rId100" Type="http://schemas.openxmlformats.org/officeDocument/2006/relationships/chart" Target="charts/chart81.xml"/><Relationship Id="rId105" Type="http://schemas.openxmlformats.org/officeDocument/2006/relationships/footer" Target="footer1.xml"/><Relationship Id="rId126" Type="http://schemas.openxmlformats.org/officeDocument/2006/relationships/chart" Target="charts/chart102.xml"/><Relationship Id="rId147" Type="http://schemas.openxmlformats.org/officeDocument/2006/relationships/chart" Target="charts/chart118.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image" Target="media/image6.png"/><Relationship Id="rId93" Type="http://schemas.openxmlformats.org/officeDocument/2006/relationships/chart" Target="charts/chart76.xml"/><Relationship Id="rId98" Type="http://schemas.openxmlformats.org/officeDocument/2006/relationships/hyperlink" Target="http://www.europe-aliens.org/" TargetMode="External"/><Relationship Id="rId121" Type="http://schemas.openxmlformats.org/officeDocument/2006/relationships/chart" Target="charts/chart97.xml"/><Relationship Id="rId142" Type="http://schemas.openxmlformats.org/officeDocument/2006/relationships/chart" Target="charts/chart113.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9.xml"/><Relationship Id="rId116" Type="http://schemas.openxmlformats.org/officeDocument/2006/relationships/image" Target="media/image12.emf"/><Relationship Id="rId137" Type="http://schemas.openxmlformats.org/officeDocument/2006/relationships/chart" Target="charts/chart108.xm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Office_Excel_Worksheet93.xlsx"/></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Office_Excel_Worksheet94.xlsx"/><Relationship Id="rId1" Type="http://schemas.openxmlformats.org/officeDocument/2006/relationships/themeOverride" Target="../theme/themeOverride10.xml"/></Relationships>
</file>

<file path=word/charts/_rels/chart10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Office_Excel_Worksheet95.xlsx"/><Relationship Id="rId1" Type="http://schemas.openxmlformats.org/officeDocument/2006/relationships/themeOverride" Target="../theme/themeOverride11.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Office_Excel_Worksheet96.xlsx"/><Relationship Id="rId1" Type="http://schemas.openxmlformats.org/officeDocument/2006/relationships/themeOverride" Target="../theme/themeOverride12.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Office_Excel_Worksheet97.xlsx"/><Relationship Id="rId1" Type="http://schemas.openxmlformats.org/officeDocument/2006/relationships/themeOverride" Target="../theme/themeOverride13.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Office_Excel_Worksheet98.xlsx"/><Relationship Id="rId2" Type="http://schemas.openxmlformats.org/officeDocument/2006/relationships/image" Target="../media/image13.jpeg"/><Relationship Id="rId1" Type="http://schemas.openxmlformats.org/officeDocument/2006/relationships/themeOverride" Target="../theme/themeOverride14.xml"/></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Office_Excel_Worksheet99.xlsx"/></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Office_Excel_Worksheet100.xlsx"/><Relationship Id="rId1" Type="http://schemas.openxmlformats.org/officeDocument/2006/relationships/themeOverride" Target="../theme/themeOverride15.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Office_Excel_Worksheet101.xlsx"/><Relationship Id="rId1" Type="http://schemas.openxmlformats.org/officeDocument/2006/relationships/themeOverride" Target="../theme/themeOverride1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Office_Excel_Worksheet102.xlsx"/><Relationship Id="rId1" Type="http://schemas.openxmlformats.org/officeDocument/2006/relationships/themeOverride" Target="../theme/themeOverride17.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103.xlsx"/><Relationship Id="rId1" Type="http://schemas.openxmlformats.org/officeDocument/2006/relationships/themeOverride" Target="../theme/themeOverride18.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Office_Excel_Worksheet104.xlsx"/><Relationship Id="rId1" Type="http://schemas.openxmlformats.org/officeDocument/2006/relationships/themeOverride" Target="../theme/themeOverride19.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Office_Excel_Worksheet105.xlsx"/><Relationship Id="rId1" Type="http://schemas.openxmlformats.org/officeDocument/2006/relationships/themeOverride" Target="../theme/themeOverride20.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Office_Excel_Worksheet106.xlsx"/><Relationship Id="rId1" Type="http://schemas.openxmlformats.org/officeDocument/2006/relationships/themeOverride" Target="../theme/themeOverride21.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Office_Excel_Worksheet107.xlsx"/><Relationship Id="rId1" Type="http://schemas.openxmlformats.org/officeDocument/2006/relationships/themeOverride" Target="../theme/themeOverride22.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Office_Excel_Worksheet108.xlsx"/><Relationship Id="rId1" Type="http://schemas.openxmlformats.org/officeDocument/2006/relationships/themeOverride" Target="../theme/themeOverride23.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Office_Excel_Worksheet109.xlsx"/><Relationship Id="rId1" Type="http://schemas.openxmlformats.org/officeDocument/2006/relationships/themeOverride" Target="../theme/themeOverride24.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25.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26.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Office_Excel_Worksheet112.xlsx"/><Relationship Id="rId1" Type="http://schemas.openxmlformats.org/officeDocument/2006/relationships/themeOverride" Target="../theme/themeOverride27.xml"/></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Office_Excel_Worksheet113.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Office_Excel_Worksheet114.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Microsoft_Office_Excel_Worksheet115.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Office_Excel_Worksheet116.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Office_Excel_Worksheet117.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Office_Excel_Worksheet118.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Office_Excel_Worksheet11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Chendes\Dropbox\INHGA%202016\DIR_STIINTIFIC_2016\Parametrica\Resurse%20apa\ANPM%202017%20Romania\Actualizare_andreea\resurse%20apa_Anar_2011-2016.xlsx" TargetMode="Externa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Worksheet51.xlsx"/></Relationships>
</file>

<file path=word/charts/_rels/chart53.xml.rels><?xml version="1.0" encoding="UTF-8" standalone="yes"?>
<Relationships xmlns="http://schemas.openxmlformats.org/package/2006/relationships"><Relationship Id="rId1" Type="http://schemas.openxmlformats.org/officeDocument/2006/relationships/oleObject" Target="file:///D:\seceta\grafic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E:\RAP%20ANPM\RAP%20ANPM%202016\Grafice%20anpm%202016.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E:\RAP%20ANPM\RAP%20ANPM%202016\Grafice%20anpm%202016.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E:\RAP%20ANPM\RAP%20ANPM%202016\Grafice%20anpm%202016.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E:\RAP%20ANPM\RAP%20ANPM%202016\Grafice%20anpm%202016.xlsx" TargetMode="External"/></Relationships>
</file>

<file path=word/charts/_rels/chart58.xml.rels><?xml version="1.0" encoding="UTF-8" standalone="yes"?>
<Relationships xmlns="http://schemas.openxmlformats.org/package/2006/relationships"><Relationship Id="rId2" Type="http://schemas.openxmlformats.org/officeDocument/2006/relationships/oleObject" Target="file:///E:\din%20temp\Sinteze%20PCA+Starea%20mediului\SOER%202016\Presiuni%20calitatea%20apelor.xls" TargetMode="External"/><Relationship Id="rId1" Type="http://schemas.openxmlformats.org/officeDocument/2006/relationships/themeOverride" Target="../theme/themeOverride3.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Office_Excel_Worksheet5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53.xlsx"/><Relationship Id="rId1" Type="http://schemas.openxmlformats.org/officeDocument/2006/relationships/themeOverride" Target="../theme/themeOverride4.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Office_Excel_Worksheet54.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Office_Excel_Worksheet55.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Office_Excel_Worksheet56.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Office_Excel_Worksheet57.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Office_Excel_Worksheet58.xlsx"/><Relationship Id="rId1" Type="http://schemas.openxmlformats.org/officeDocument/2006/relationships/themeOverride" Target="../theme/themeOverride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Worksheet59.xlsx"/><Relationship Id="rId1" Type="http://schemas.openxmlformats.org/officeDocument/2006/relationships/themeOverride" Target="../theme/themeOverride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Worksheet60.xlsx"/><Relationship Id="rId1" Type="http://schemas.openxmlformats.org/officeDocument/2006/relationships/themeOverride" Target="../theme/themeOverride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Worksheet61.xlsx"/><Relationship Id="rId1" Type="http://schemas.openxmlformats.org/officeDocument/2006/relationships/themeOverride" Target="../theme/themeOverride8.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Office_Excel_Worksheet6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1.xm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Office_Excel_Worksheet64.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Office_Excel_Worksheet65.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Office_Excel_Worksheet66.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Office_Excel_Worksheet67.xlsx"/></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themeOverride" Target="../theme/themeOverride9.xml"/></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Office_Excel_Worksheet69.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Office_Excel_Worksheet70.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Office_Excel_Worksheet71.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Office_Excel_Worksheet7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Office_Excel_Worksheet73.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Office_Excel_Worksheet74.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Office_Excel_Worksheet75.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Office_Excel_Worksheet76.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Office_Excel_Worksheet77.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Office_Excel_Worksheet78.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Office_Excel_Worksheet79.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Office_Excel_Worksheet80.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Office_Excel_Worksheet81.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Office_Excel_Worksheet8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Office_Excel_Worksheet83.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Office_Excel_Worksheet84.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Office_Excel_Worksheet85.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Office_Excel_Worksheet86.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Office_Excel_Worksheet87.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Office_Excel_Worksheet88.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Office_Excel_Worksheet89.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Office_Excel_Worksheet90.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Office_Excel_Worksheet91.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Office_Excel_Worksheet9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0857142857142862"/>
          <c:y val="8.9201877934273768E-2"/>
          <c:w val="0.65904761904762565"/>
          <c:h val="0.70892018779342725"/>
        </c:manualLayout>
      </c:layout>
      <c:barChart>
        <c:barDir val="col"/>
        <c:grouping val="clustered"/>
        <c:ser>
          <c:idx val="7"/>
          <c:order val="0"/>
          <c:tx>
            <c:strRef>
              <c:f>Sheet1!$A$2</c:f>
              <c:strCache>
                <c:ptCount val="1"/>
                <c:pt idx="0">
                  <c:v>Medii anuale 2016</c:v>
                </c:pt>
              </c:strCache>
            </c:strRef>
          </c:tx>
          <c:cat>
            <c:strRef>
              <c:f>Sheet1!$B$1:$F$1</c:f>
              <c:strCache>
                <c:ptCount val="5"/>
                <c:pt idx="0">
                  <c:v>BR1</c:v>
                </c:pt>
                <c:pt idx="1">
                  <c:v>BR2</c:v>
                </c:pt>
                <c:pt idx="2">
                  <c:v>BR3</c:v>
                </c:pt>
                <c:pt idx="3">
                  <c:v>BR4</c:v>
                </c:pt>
                <c:pt idx="4">
                  <c:v>Br5</c:v>
                </c:pt>
              </c:strCache>
            </c:strRef>
          </c:cat>
          <c:val>
            <c:numRef>
              <c:f>Sheet1!$B$2:$F$2</c:f>
              <c:numCache>
                <c:formatCode>General</c:formatCode>
                <c:ptCount val="5"/>
                <c:pt idx="0">
                  <c:v>20.25</c:v>
                </c:pt>
                <c:pt idx="1">
                  <c:v>20.22</c:v>
                </c:pt>
                <c:pt idx="2">
                  <c:v>17.68</c:v>
                </c:pt>
                <c:pt idx="3">
                  <c:v>12.92</c:v>
                </c:pt>
                <c:pt idx="4">
                  <c:v>12.450000000000006</c:v>
                </c:pt>
              </c:numCache>
            </c:numRef>
          </c:val>
        </c:ser>
        <c:axId val="168743296"/>
        <c:axId val="168745600"/>
      </c:barChart>
      <c:catAx>
        <c:axId val="16874329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68745600"/>
        <c:crosses val="autoZero"/>
        <c:auto val="1"/>
        <c:lblAlgn val="ctr"/>
        <c:lblOffset val="100"/>
        <c:tickLblSkip val="1"/>
        <c:tickMarkSkip val="1"/>
      </c:catAx>
      <c:valAx>
        <c:axId val="168745600"/>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ro-RO"/>
                  <a:t>micrograme/mc</a:t>
                </a:r>
              </a:p>
            </c:rich>
          </c:tx>
          <c:layout>
            <c:manualLayout>
              <c:xMode val="edge"/>
              <c:yMode val="edge"/>
              <c:x val="2.2251919444649351E-2"/>
              <c:y val="0.23004696161858687"/>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68743296"/>
        <c:crosses val="autoZero"/>
        <c:crossBetween val="between"/>
      </c:valAx>
      <c:spPr>
        <a:solidFill>
          <a:srgbClr val="FFFFCC"/>
        </a:solidFill>
        <a:ln w="12700">
          <a:solidFill>
            <a:srgbClr val="000000"/>
          </a:solidFill>
          <a:prstDash val="solid"/>
        </a:ln>
      </c:spPr>
    </c:plotArea>
    <c:legend>
      <c:legendPos val="r"/>
      <c:layout>
        <c:manualLayout>
          <c:xMode val="edge"/>
          <c:yMode val="edge"/>
          <c:x val="0.77944175943524363"/>
          <c:y val="0.40649270859079834"/>
          <c:w val="0.19978966422300667"/>
          <c:h val="9.6036156915363227E-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7.3954983922829592E-2"/>
          <c:y val="2.1897810218978658E-2"/>
          <c:w val="0.67202572347266964"/>
          <c:h val="0.81555465360644364"/>
        </c:manualLayout>
      </c:layout>
      <c:barChart>
        <c:barDir val="col"/>
        <c:grouping val="clustered"/>
        <c:ser>
          <c:idx val="9"/>
          <c:order val="0"/>
          <c:tx>
            <c:strRef>
              <c:f>Sheet1!$A$2</c:f>
              <c:strCache>
                <c:ptCount val="1"/>
                <c:pt idx="0">
                  <c:v>Medii anuale nef. 2012</c:v>
                </c:pt>
              </c:strCache>
            </c:strRef>
          </c:tx>
          <c:spPr>
            <a:solidFill>
              <a:srgbClr val="FF00FF"/>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Sheet1!$B$2:$G$2</c:f>
              <c:numCache>
                <c:formatCode>General</c:formatCode>
                <c:ptCount val="6"/>
                <c:pt idx="2">
                  <c:v>22.610000000000031</c:v>
                </c:pt>
                <c:pt idx="3">
                  <c:v>27.419999999999987</c:v>
                </c:pt>
                <c:pt idx="4">
                  <c:v>27.830000000000005</c:v>
                </c:pt>
                <c:pt idx="5">
                  <c:v>28.310000000000031</c:v>
                </c:pt>
              </c:numCache>
            </c:numRef>
          </c:val>
        </c:ser>
        <c:ser>
          <c:idx val="10"/>
          <c:order val="1"/>
          <c:tx>
            <c:strRef>
              <c:f>Sheet1!$A$3</c:f>
              <c:strCache>
                <c:ptCount val="1"/>
                <c:pt idx="0">
                  <c:v>Medii anuale nef. 2013</c:v>
                </c:pt>
              </c:strCache>
            </c:strRef>
          </c:tx>
          <c:cat>
            <c:strRef>
              <c:f>Sheet1!$B$1:$G$1</c:f>
              <c:strCache>
                <c:ptCount val="6"/>
                <c:pt idx="0">
                  <c:v>BR1</c:v>
                </c:pt>
                <c:pt idx="1">
                  <c:v>BR2-PM2,5</c:v>
                </c:pt>
                <c:pt idx="2">
                  <c:v>BR2-PM10</c:v>
                </c:pt>
                <c:pt idx="3">
                  <c:v>BR3</c:v>
                </c:pt>
                <c:pt idx="4">
                  <c:v>BR4</c:v>
                </c:pt>
                <c:pt idx="5">
                  <c:v>BR5</c:v>
                </c:pt>
              </c:strCache>
            </c:strRef>
          </c:cat>
          <c:val>
            <c:numRef>
              <c:f>Sheet1!$B$3:$G$3</c:f>
              <c:numCache>
                <c:formatCode>General</c:formatCode>
                <c:ptCount val="6"/>
                <c:pt idx="3">
                  <c:v>43.220000000000013</c:v>
                </c:pt>
                <c:pt idx="5">
                  <c:v>36.5</c:v>
                </c:pt>
              </c:numCache>
            </c:numRef>
          </c:val>
        </c:ser>
        <c:ser>
          <c:idx val="2"/>
          <c:order val="2"/>
          <c:tx>
            <c:strRef>
              <c:f>Sheet1!$A$4</c:f>
              <c:strCache>
                <c:ptCount val="1"/>
                <c:pt idx="0">
                  <c:v>Medii anuale nef. 2014</c:v>
                </c:pt>
              </c:strCache>
            </c:strRef>
          </c:tx>
          <c:cat>
            <c:strRef>
              <c:f>Sheet1!$B$1:$G$1</c:f>
              <c:strCache>
                <c:ptCount val="6"/>
                <c:pt idx="0">
                  <c:v>BR1</c:v>
                </c:pt>
                <c:pt idx="1">
                  <c:v>BR2-PM2,5</c:v>
                </c:pt>
                <c:pt idx="2">
                  <c:v>BR2-PM10</c:v>
                </c:pt>
                <c:pt idx="3">
                  <c:v>BR3</c:v>
                </c:pt>
                <c:pt idx="4">
                  <c:v>BR4</c:v>
                </c:pt>
                <c:pt idx="5">
                  <c:v>BR5</c:v>
                </c:pt>
              </c:strCache>
            </c:strRef>
          </c:cat>
          <c:val>
            <c:numRef>
              <c:f>Sheet1!$B$4:$G$4</c:f>
              <c:numCache>
                <c:formatCode>General</c:formatCode>
                <c:ptCount val="6"/>
                <c:pt idx="5">
                  <c:v>46.03</c:v>
                </c:pt>
              </c:numCache>
            </c:numRef>
          </c:val>
        </c:ser>
        <c:ser>
          <c:idx val="3"/>
          <c:order val="3"/>
          <c:tx>
            <c:strRef>
              <c:f>Sheet1!$A$5</c:f>
              <c:strCache>
                <c:ptCount val="1"/>
                <c:pt idx="0">
                  <c:v>Medii anuale nef. 2015</c:v>
                </c:pt>
              </c:strCache>
            </c:strRef>
          </c:tx>
          <c:cat>
            <c:strRef>
              <c:f>Sheet1!$B$1:$G$1</c:f>
              <c:strCache>
                <c:ptCount val="6"/>
                <c:pt idx="0">
                  <c:v>BR1</c:v>
                </c:pt>
                <c:pt idx="1">
                  <c:v>BR2-PM2,5</c:v>
                </c:pt>
                <c:pt idx="2">
                  <c:v>BR2-PM10</c:v>
                </c:pt>
                <c:pt idx="3">
                  <c:v>BR3</c:v>
                </c:pt>
                <c:pt idx="4">
                  <c:v>BR4</c:v>
                </c:pt>
                <c:pt idx="5">
                  <c:v>BR5</c:v>
                </c:pt>
              </c:strCache>
            </c:strRef>
          </c:cat>
          <c:val>
            <c:numRef>
              <c:f>Sheet1!$B$5:$G$5</c:f>
              <c:numCache>
                <c:formatCode>General</c:formatCode>
                <c:ptCount val="6"/>
                <c:pt idx="2">
                  <c:v>36.68</c:v>
                </c:pt>
                <c:pt idx="3">
                  <c:v>30.73</c:v>
                </c:pt>
              </c:numCache>
            </c:numRef>
          </c:val>
        </c:ser>
        <c:ser>
          <c:idx val="4"/>
          <c:order val="4"/>
          <c:tx>
            <c:strRef>
              <c:f>Sheet1!$A$6</c:f>
              <c:strCache>
                <c:ptCount val="1"/>
                <c:pt idx="0">
                  <c:v>Medii anuale nef 2016</c:v>
                </c:pt>
              </c:strCache>
            </c:strRef>
          </c:tx>
          <c:cat>
            <c:strRef>
              <c:f>Sheet1!$B$1:$G$1</c:f>
              <c:strCache>
                <c:ptCount val="6"/>
                <c:pt idx="0">
                  <c:v>BR1</c:v>
                </c:pt>
                <c:pt idx="1">
                  <c:v>BR2-PM2,5</c:v>
                </c:pt>
                <c:pt idx="2">
                  <c:v>BR2-PM10</c:v>
                </c:pt>
                <c:pt idx="3">
                  <c:v>BR3</c:v>
                </c:pt>
                <c:pt idx="4">
                  <c:v>BR4</c:v>
                </c:pt>
                <c:pt idx="5">
                  <c:v>BR5</c:v>
                </c:pt>
              </c:strCache>
            </c:strRef>
          </c:cat>
          <c:val>
            <c:numRef>
              <c:f>Sheet1!$B$6:$G$6</c:f>
              <c:numCache>
                <c:formatCode>General</c:formatCode>
                <c:ptCount val="6"/>
                <c:pt idx="0">
                  <c:v>24.610000000000031</c:v>
                </c:pt>
                <c:pt idx="2">
                  <c:v>21.91</c:v>
                </c:pt>
                <c:pt idx="3">
                  <c:v>30.85</c:v>
                </c:pt>
                <c:pt idx="4">
                  <c:v>22.459999999999987</c:v>
                </c:pt>
                <c:pt idx="5">
                  <c:v>33.4</c:v>
                </c:pt>
              </c:numCache>
            </c:numRef>
          </c:val>
        </c:ser>
        <c:ser>
          <c:idx val="13"/>
          <c:order val="5"/>
          <c:tx>
            <c:strRef>
              <c:f>Sheet1!$A$7</c:f>
              <c:strCache>
                <c:ptCount val="1"/>
                <c:pt idx="0">
                  <c:v>Medii anuale grav. 2012</c:v>
                </c:pt>
              </c:strCache>
            </c:strRef>
          </c:tx>
          <c:cat>
            <c:strRef>
              <c:f>Sheet1!$B$1:$G$1</c:f>
              <c:strCache>
                <c:ptCount val="6"/>
                <c:pt idx="0">
                  <c:v>BR1</c:v>
                </c:pt>
                <c:pt idx="1">
                  <c:v>BR2-PM2,5</c:v>
                </c:pt>
                <c:pt idx="2">
                  <c:v>BR2-PM10</c:v>
                </c:pt>
                <c:pt idx="3">
                  <c:v>BR3</c:v>
                </c:pt>
                <c:pt idx="4">
                  <c:v>BR4</c:v>
                </c:pt>
                <c:pt idx="5">
                  <c:v>BR5</c:v>
                </c:pt>
              </c:strCache>
            </c:strRef>
          </c:cat>
          <c:val>
            <c:numRef>
              <c:f>Sheet1!$B$7:$G$7</c:f>
              <c:numCache>
                <c:formatCode>General</c:formatCode>
                <c:ptCount val="6"/>
                <c:pt idx="1">
                  <c:v>21.610000000000031</c:v>
                </c:pt>
                <c:pt idx="3">
                  <c:v>30.939999999999987</c:v>
                </c:pt>
                <c:pt idx="4">
                  <c:v>21.259999999999987</c:v>
                </c:pt>
              </c:numCache>
            </c:numRef>
          </c:val>
        </c:ser>
        <c:ser>
          <c:idx val="14"/>
          <c:order val="6"/>
          <c:tx>
            <c:strRef>
              <c:f>Sheet1!$A$8</c:f>
              <c:strCache>
                <c:ptCount val="1"/>
                <c:pt idx="0">
                  <c:v>Medii anuale grav. 2013</c:v>
                </c:pt>
              </c:strCache>
            </c:strRef>
          </c:tx>
          <c:cat>
            <c:strRef>
              <c:f>Sheet1!$B$1:$G$1</c:f>
              <c:strCache>
                <c:ptCount val="6"/>
                <c:pt idx="0">
                  <c:v>BR1</c:v>
                </c:pt>
                <c:pt idx="1">
                  <c:v>BR2-PM2,5</c:v>
                </c:pt>
                <c:pt idx="2">
                  <c:v>BR2-PM10</c:v>
                </c:pt>
                <c:pt idx="3">
                  <c:v>BR3</c:v>
                </c:pt>
                <c:pt idx="4">
                  <c:v>BR4</c:v>
                </c:pt>
                <c:pt idx="5">
                  <c:v>BR5</c:v>
                </c:pt>
              </c:strCache>
            </c:strRef>
          </c:cat>
          <c:val>
            <c:numRef>
              <c:f>Sheet1!$B$8:$G$8</c:f>
              <c:numCache>
                <c:formatCode>General</c:formatCode>
                <c:ptCount val="6"/>
                <c:pt idx="3">
                  <c:v>39.1</c:v>
                </c:pt>
              </c:numCache>
            </c:numRef>
          </c:val>
        </c:ser>
        <c:ser>
          <c:idx val="15"/>
          <c:order val="7"/>
          <c:tx>
            <c:strRef>
              <c:f>Sheet1!$A$9</c:f>
              <c:strCache>
                <c:ptCount val="1"/>
                <c:pt idx="0">
                  <c:v>Medii anuale grav. 2014</c:v>
                </c:pt>
              </c:strCache>
            </c:strRef>
          </c:tx>
          <c:cat>
            <c:strRef>
              <c:f>Sheet1!$B$1:$G$1</c:f>
              <c:strCache>
                <c:ptCount val="6"/>
                <c:pt idx="0">
                  <c:v>BR1</c:v>
                </c:pt>
                <c:pt idx="1">
                  <c:v>BR2-PM2,5</c:v>
                </c:pt>
                <c:pt idx="2">
                  <c:v>BR2-PM10</c:v>
                </c:pt>
                <c:pt idx="3">
                  <c:v>BR3</c:v>
                </c:pt>
                <c:pt idx="4">
                  <c:v>BR4</c:v>
                </c:pt>
                <c:pt idx="5">
                  <c:v>BR5</c:v>
                </c:pt>
              </c:strCache>
            </c:strRef>
          </c:cat>
          <c:val>
            <c:numRef>
              <c:f>Sheet1!$B$9:$G$9</c:f>
              <c:numCache>
                <c:formatCode>General</c:formatCode>
                <c:ptCount val="6"/>
                <c:pt idx="3">
                  <c:v>39.1</c:v>
                </c:pt>
              </c:numCache>
            </c:numRef>
          </c:val>
        </c:ser>
        <c:ser>
          <c:idx val="16"/>
          <c:order val="8"/>
          <c:tx>
            <c:strRef>
              <c:f>Sheet1!$A$10</c:f>
              <c:strCache>
                <c:ptCount val="1"/>
                <c:pt idx="0">
                  <c:v>Medii anuale grav. 2015</c:v>
                </c:pt>
              </c:strCache>
            </c:strRef>
          </c:tx>
          <c:cat>
            <c:strRef>
              <c:f>Sheet1!$B$1:$G$1</c:f>
              <c:strCache>
                <c:ptCount val="6"/>
                <c:pt idx="0">
                  <c:v>BR1</c:v>
                </c:pt>
                <c:pt idx="1">
                  <c:v>BR2-PM2,5</c:v>
                </c:pt>
                <c:pt idx="2">
                  <c:v>BR2-PM10</c:v>
                </c:pt>
                <c:pt idx="3">
                  <c:v>BR3</c:v>
                </c:pt>
                <c:pt idx="4">
                  <c:v>BR4</c:v>
                </c:pt>
                <c:pt idx="5">
                  <c:v>BR5</c:v>
                </c:pt>
              </c:strCache>
            </c:strRef>
          </c:cat>
          <c:val>
            <c:numRef>
              <c:f>Sheet1!$B$10:$G$10</c:f>
              <c:numCache>
                <c:formatCode>General</c:formatCode>
                <c:ptCount val="6"/>
              </c:numCache>
            </c:numRef>
          </c:val>
        </c:ser>
        <c:gapWidth val="270"/>
        <c:axId val="70950912"/>
        <c:axId val="70952448"/>
      </c:barChart>
      <c:catAx>
        <c:axId val="7095091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70952448"/>
        <c:crosses val="autoZero"/>
        <c:auto val="1"/>
        <c:lblAlgn val="ctr"/>
        <c:lblOffset val="100"/>
        <c:tickLblSkip val="1"/>
        <c:tickMarkSkip val="1"/>
      </c:catAx>
      <c:valAx>
        <c:axId val="70952448"/>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9.2828516195954548E-3"/>
              <c:y val="0.15429372141490444"/>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70950912"/>
        <c:crosses val="autoZero"/>
        <c:crossBetween val="between"/>
      </c:valAx>
      <c:spPr>
        <a:solidFill>
          <a:srgbClr val="FFFFCC"/>
        </a:solidFill>
        <a:ln w="12700">
          <a:solidFill>
            <a:srgbClr val="000000"/>
          </a:solidFill>
          <a:prstDash val="solid"/>
        </a:ln>
      </c:spPr>
    </c:plotArea>
    <c:legend>
      <c:legendPos val="r"/>
      <c:layout>
        <c:manualLayout>
          <c:xMode val="edge"/>
          <c:yMode val="edge"/>
          <c:x val="0.77004196331746055"/>
          <c:y val="0.17343074383743329"/>
          <c:w val="0.19076830995838304"/>
          <c:h val="0.57571929525069565"/>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1" b="1" i="0" u="none" strike="noStrike" baseline="0">
                <a:solidFill>
                  <a:srgbClr val="000000"/>
                </a:solidFill>
                <a:latin typeface="Calibri"/>
                <a:ea typeface="Calibri"/>
                <a:cs typeface="Calibri"/>
              </a:defRPr>
            </a:pPr>
            <a:r>
              <a:rPr lang="ro-RO"/>
              <a:t>Deşeuri municipale depozitate în depozite urbane neconforme </a:t>
            </a:r>
          </a:p>
        </c:rich>
      </c:tx>
      <c:layout>
        <c:manualLayout>
          <c:xMode val="edge"/>
          <c:yMode val="edge"/>
          <c:x val="0.2057057057057057"/>
          <c:y val="1.941747572815547E-2"/>
        </c:manualLayout>
      </c:layout>
      <c:spPr>
        <a:noFill/>
        <a:ln w="25424">
          <a:noFill/>
        </a:ln>
      </c:spPr>
    </c:title>
    <c:plotArea>
      <c:layout>
        <c:manualLayout>
          <c:layoutTarget val="inner"/>
          <c:xMode val="edge"/>
          <c:yMode val="edge"/>
          <c:x val="0.10960960960960962"/>
          <c:y val="0.27669902912621325"/>
          <c:w val="0.77477477477477896"/>
          <c:h val="0.46116504854368923"/>
        </c:manualLayout>
      </c:layout>
      <c:lineChart>
        <c:grouping val="standard"/>
        <c:ser>
          <c:idx val="0"/>
          <c:order val="0"/>
          <c:tx>
            <c:strRef>
              <c:f>Sheet1!$A$2</c:f>
              <c:strCache>
                <c:ptCount val="1"/>
                <c:pt idx="0">
                  <c:v>tone</c:v>
                </c:pt>
              </c:strCache>
            </c:strRef>
          </c:tx>
          <c:spPr>
            <a:ln w="38135">
              <a:solidFill>
                <a:srgbClr val="000080"/>
              </a:solidFill>
              <a:prstDash val="solid"/>
            </a:ln>
          </c:spPr>
          <c:marker>
            <c:symbol val="diamond"/>
            <c:size val="9"/>
            <c:spPr>
              <a:solidFill>
                <a:srgbClr val="000080"/>
              </a:solidFill>
              <a:ln>
                <a:solidFill>
                  <a:srgbClr val="000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627</c:v>
                </c:pt>
                <c:pt idx="1">
                  <c:v>295</c:v>
                </c:pt>
                <c:pt idx="2">
                  <c:v>128</c:v>
                </c:pt>
                <c:pt idx="3">
                  <c:v>120</c:v>
                </c:pt>
                <c:pt idx="4">
                  <c:v>138.15</c:v>
                </c:pt>
              </c:numCache>
            </c:numRef>
          </c:val>
        </c:ser>
        <c:marker val="1"/>
        <c:axId val="169655296"/>
        <c:axId val="169694336"/>
      </c:lineChart>
      <c:catAx>
        <c:axId val="169655296"/>
        <c:scaling>
          <c:orientation val="minMax"/>
        </c:scaling>
        <c:axPos val="b"/>
        <c:numFmt formatCode="General" sourceLinked="1"/>
        <c:tickLblPos val="nextTo"/>
        <c:spPr>
          <a:ln w="3178">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ro-RO"/>
          </a:p>
        </c:txPr>
        <c:crossAx val="169694336"/>
        <c:crosses val="autoZero"/>
        <c:auto val="1"/>
        <c:lblAlgn val="ctr"/>
        <c:lblOffset val="100"/>
        <c:tickMarkSkip val="1"/>
      </c:catAx>
      <c:valAx>
        <c:axId val="169694336"/>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ro-RO"/>
          </a:p>
        </c:txPr>
        <c:crossAx val="169655296"/>
        <c:crosses val="autoZero"/>
        <c:crossBetween val="between"/>
      </c:valAx>
      <c:dTable>
        <c:showHorzBorder val="1"/>
        <c:showVertBorder val="1"/>
        <c:showOutline val="1"/>
        <c:showKeys val="1"/>
        <c:spPr>
          <a:ln w="3178">
            <a:solidFill>
              <a:srgbClr val="000000"/>
            </a:solidFill>
            <a:prstDash val="solid"/>
          </a:ln>
        </c:spPr>
        <c:txPr>
          <a:bodyPr/>
          <a:lstStyle/>
          <a:p>
            <a:pPr rtl="0">
              <a:defRPr sz="901" b="1" i="0" u="none" strike="noStrike" baseline="0">
                <a:solidFill>
                  <a:srgbClr val="000000"/>
                </a:solidFill>
                <a:latin typeface="Calibri"/>
                <a:ea typeface="Calibri"/>
                <a:cs typeface="Calibri"/>
              </a:defRPr>
            </a:pPr>
            <a:endParaRPr lang="ro-RO"/>
          </a:p>
        </c:txPr>
      </c:dTable>
      <c:spPr>
        <a:gradFill rotWithShape="0">
          <a:gsLst>
            <a:gs pos="0">
              <a:srgbClr val="FFFFFF">
                <a:gamma/>
                <a:shade val="46275"/>
                <a:invGamma/>
              </a:srgbClr>
            </a:gs>
            <a:gs pos="100000">
              <a:srgbClr val="FFFFFF"/>
            </a:gs>
          </a:gsLst>
          <a:lin ang="5400000" scaled="1"/>
        </a:gradFill>
        <a:ln w="12712">
          <a:solidFill>
            <a:srgbClr val="808080"/>
          </a:solidFill>
          <a:prstDash val="solid"/>
        </a:ln>
      </c:spPr>
    </c:plotArea>
    <c:legend>
      <c:legendPos val="r"/>
      <c:layout>
        <c:manualLayout>
          <c:xMode val="edge"/>
          <c:yMode val="edge"/>
          <c:x val="0.90090090090090058"/>
          <c:y val="0.45631067961165367"/>
          <c:w val="9.3093093093093965E-2"/>
          <c:h val="0.10194174757281572"/>
        </c:manualLayout>
      </c:layout>
      <c:spPr>
        <a:solidFill>
          <a:srgbClr val="FFFFFF"/>
        </a:solidFill>
        <a:ln w="3178">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901" b="1" i="0" u="none" strike="noStrike" baseline="0">
          <a:solidFill>
            <a:srgbClr val="000000"/>
          </a:solidFill>
          <a:latin typeface="Calibri"/>
          <a:ea typeface="Calibri"/>
          <a:cs typeface="Calibri"/>
        </a:defRPr>
      </a:pPr>
      <a:endParaRPr lang="ro-RO"/>
    </a:p>
  </c:tx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o-RO"/>
  <c:style val="40"/>
  <c:chart>
    <c:plotArea>
      <c:layout>
        <c:manualLayout>
          <c:layoutTarget val="inner"/>
          <c:xMode val="edge"/>
          <c:yMode val="edge"/>
          <c:x val="0.13569437522841288"/>
          <c:y val="0.16999907531883726"/>
          <c:w val="0.6710240108875396"/>
          <c:h val="0.64508116421753015"/>
        </c:manualLayout>
      </c:layout>
      <c:barChart>
        <c:barDir val="col"/>
        <c:grouping val="clustered"/>
        <c:ser>
          <c:idx val="0"/>
          <c:order val="0"/>
          <c:tx>
            <c:strRef>
              <c:f>Sheet1!$B$1</c:f>
              <c:strCache>
                <c:ptCount val="1"/>
                <c:pt idx="0">
                  <c:v>2012</c:v>
                </c:pt>
              </c:strCache>
            </c:strRef>
          </c:tx>
          <c:cat>
            <c:strRef>
              <c:f>Sheet1!$A$2</c:f>
              <c:strCache>
                <c:ptCount val="1"/>
                <c:pt idx="0">
                  <c:v>Cantități DEEE colectate</c:v>
                </c:pt>
              </c:strCache>
            </c:strRef>
          </c:cat>
          <c:val>
            <c:numRef>
              <c:f>Sheet1!$B$2</c:f>
              <c:numCache>
                <c:formatCode>General</c:formatCode>
                <c:ptCount val="1"/>
                <c:pt idx="0">
                  <c:v>108.81</c:v>
                </c:pt>
              </c:numCache>
            </c:numRef>
          </c:val>
        </c:ser>
        <c:ser>
          <c:idx val="1"/>
          <c:order val="1"/>
          <c:tx>
            <c:strRef>
              <c:f>Sheet1!$C$1</c:f>
              <c:strCache>
                <c:ptCount val="1"/>
                <c:pt idx="0">
                  <c:v>2013</c:v>
                </c:pt>
              </c:strCache>
            </c:strRef>
          </c:tx>
          <c:cat>
            <c:strRef>
              <c:f>Sheet1!$A$2</c:f>
              <c:strCache>
                <c:ptCount val="1"/>
                <c:pt idx="0">
                  <c:v>Cantități DEEE colectate</c:v>
                </c:pt>
              </c:strCache>
            </c:strRef>
          </c:cat>
          <c:val>
            <c:numRef>
              <c:f>Sheet1!$C$2</c:f>
              <c:numCache>
                <c:formatCode>General</c:formatCode>
                <c:ptCount val="1"/>
                <c:pt idx="0">
                  <c:v>30.75</c:v>
                </c:pt>
              </c:numCache>
            </c:numRef>
          </c:val>
        </c:ser>
        <c:ser>
          <c:idx val="2"/>
          <c:order val="2"/>
          <c:tx>
            <c:strRef>
              <c:f>Sheet1!$D$1</c:f>
              <c:strCache>
                <c:ptCount val="1"/>
                <c:pt idx="0">
                  <c:v>2014</c:v>
                </c:pt>
              </c:strCache>
            </c:strRef>
          </c:tx>
          <c:cat>
            <c:strRef>
              <c:f>Sheet1!$A$2</c:f>
              <c:strCache>
                <c:ptCount val="1"/>
                <c:pt idx="0">
                  <c:v>Cantități DEEE colectate</c:v>
                </c:pt>
              </c:strCache>
            </c:strRef>
          </c:cat>
          <c:val>
            <c:numRef>
              <c:f>Sheet1!$D$2</c:f>
              <c:numCache>
                <c:formatCode>General</c:formatCode>
                <c:ptCount val="1"/>
                <c:pt idx="0">
                  <c:v>106.75</c:v>
                </c:pt>
              </c:numCache>
            </c:numRef>
          </c:val>
        </c:ser>
        <c:ser>
          <c:idx val="3"/>
          <c:order val="3"/>
          <c:tx>
            <c:strRef>
              <c:f>Sheet1!$E$1</c:f>
              <c:strCache>
                <c:ptCount val="1"/>
                <c:pt idx="0">
                  <c:v>2015</c:v>
                </c:pt>
              </c:strCache>
            </c:strRef>
          </c:tx>
          <c:cat>
            <c:strRef>
              <c:f>Sheet1!$A$2</c:f>
              <c:strCache>
                <c:ptCount val="1"/>
                <c:pt idx="0">
                  <c:v>Cantități DEEE colectate</c:v>
                </c:pt>
              </c:strCache>
            </c:strRef>
          </c:cat>
          <c:val>
            <c:numRef>
              <c:f>Sheet1!$E$2</c:f>
              <c:numCache>
                <c:formatCode>General</c:formatCode>
                <c:ptCount val="1"/>
                <c:pt idx="0">
                  <c:v>288.8</c:v>
                </c:pt>
              </c:numCache>
            </c:numRef>
          </c:val>
        </c:ser>
        <c:ser>
          <c:idx val="4"/>
          <c:order val="4"/>
          <c:tx>
            <c:strRef>
              <c:f>Sheet1!$F$1</c:f>
              <c:strCache>
                <c:ptCount val="1"/>
                <c:pt idx="0">
                  <c:v>2016</c:v>
                </c:pt>
              </c:strCache>
            </c:strRef>
          </c:tx>
          <c:cat>
            <c:strRef>
              <c:f>Sheet1!$A$2</c:f>
              <c:strCache>
                <c:ptCount val="1"/>
                <c:pt idx="0">
                  <c:v>Cantități DEEE colectate</c:v>
                </c:pt>
              </c:strCache>
            </c:strRef>
          </c:cat>
          <c:val>
            <c:numRef>
              <c:f>Sheet1!$F$2</c:f>
              <c:numCache>
                <c:formatCode>General</c:formatCode>
                <c:ptCount val="1"/>
                <c:pt idx="0">
                  <c:v>375.185</c:v>
                </c:pt>
              </c:numCache>
            </c:numRef>
          </c:val>
        </c:ser>
        <c:axId val="170714624"/>
        <c:axId val="170716160"/>
      </c:barChart>
      <c:catAx>
        <c:axId val="170714624"/>
        <c:scaling>
          <c:orientation val="minMax"/>
        </c:scaling>
        <c:axPos val="b"/>
        <c:numFmt formatCode="General" sourceLinked="1"/>
        <c:tickLblPos val="nextTo"/>
        <c:txPr>
          <a:bodyPr rot="0" vert="horz"/>
          <a:lstStyle/>
          <a:p>
            <a:pPr>
              <a:defRPr lang="ro-RO" sz="998" b="0" i="0" u="none" strike="noStrike" baseline="0">
                <a:solidFill>
                  <a:srgbClr val="000000"/>
                </a:solidFill>
                <a:latin typeface="Calibri"/>
                <a:ea typeface="Calibri"/>
                <a:cs typeface="Calibri"/>
              </a:defRPr>
            </a:pPr>
            <a:endParaRPr lang="ro-RO"/>
          </a:p>
        </c:txPr>
        <c:crossAx val="170716160"/>
        <c:crosses val="autoZero"/>
        <c:auto val="1"/>
        <c:lblAlgn val="ctr"/>
        <c:lblOffset val="100"/>
      </c:catAx>
      <c:valAx>
        <c:axId val="170716160"/>
        <c:scaling>
          <c:orientation val="minMax"/>
        </c:scaling>
        <c:axPos val="l"/>
        <c:majorGridlines/>
        <c:numFmt formatCode="General" sourceLinked="1"/>
        <c:tickLblPos val="nextTo"/>
        <c:txPr>
          <a:bodyPr rot="0" vert="horz"/>
          <a:lstStyle/>
          <a:p>
            <a:pPr>
              <a:defRPr lang="ro-RO" sz="998" b="0" i="0" u="none" strike="noStrike" baseline="0">
                <a:solidFill>
                  <a:srgbClr val="000000"/>
                </a:solidFill>
                <a:latin typeface="Calibri"/>
                <a:ea typeface="Calibri"/>
                <a:cs typeface="Calibri"/>
              </a:defRPr>
            </a:pPr>
            <a:endParaRPr lang="ro-RO"/>
          </a:p>
        </c:txPr>
        <c:crossAx val="170714624"/>
        <c:crosses val="autoZero"/>
        <c:crossBetween val="between"/>
      </c:valAx>
    </c:plotArea>
    <c:legend>
      <c:legendPos val="r"/>
      <c:txPr>
        <a:bodyPr/>
        <a:lstStyle/>
        <a:p>
          <a:pPr>
            <a:defRPr lang="ro-RO" sz="918" b="0" i="0" u="none" strike="noStrike" baseline="0">
              <a:solidFill>
                <a:srgbClr val="000000"/>
              </a:solidFill>
              <a:latin typeface="Calibri"/>
              <a:ea typeface="Calibri"/>
              <a:cs typeface="Calibri"/>
            </a:defRPr>
          </a:pPr>
          <a:endParaRPr lang="ro-RO"/>
        </a:p>
      </c:txPr>
    </c:legend>
    <c:plotVisOnly val="1"/>
    <c:dispBlanksAs val="gap"/>
  </c:chart>
  <c:spPr>
    <a:solidFill>
      <a:srgbClr val="EEECE1"/>
    </a:solidFill>
  </c:spPr>
  <c:txPr>
    <a:bodyPr/>
    <a:lstStyle/>
    <a:p>
      <a:pPr>
        <a:defRPr sz="998" b="0" i="0" u="none" strike="noStrike" baseline="0">
          <a:solidFill>
            <a:srgbClr val="000000"/>
          </a:solidFill>
          <a:latin typeface="Calibri"/>
          <a:ea typeface="Calibri"/>
          <a:cs typeface="Calibri"/>
        </a:defRPr>
      </a:pPr>
      <a:endParaRPr lang="ro-RO"/>
    </a:p>
  </c:tx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o-RO"/>
  <c:style val="4"/>
  <c:chart>
    <c:title>
      <c:tx>
        <c:rich>
          <a:bodyPr/>
          <a:lstStyle/>
          <a:p>
            <a:pPr>
              <a:defRPr/>
            </a:pPr>
            <a:r>
              <a:rPr lang="ro-RO"/>
              <a:t>VSU</a:t>
            </a:r>
            <a:r>
              <a:rPr lang="en-US"/>
              <a:t> colectate </a:t>
            </a:r>
            <a:r>
              <a:rPr lang="ro-RO"/>
              <a:t>ș</a:t>
            </a:r>
            <a:r>
              <a:rPr lang="en-US"/>
              <a:t>i tratate </a:t>
            </a:r>
          </a:p>
        </c:rich>
      </c:tx>
    </c:title>
    <c:view3D>
      <c:rAngAx val="1"/>
    </c:view3D>
    <c:sideWall>
      <c:spPr>
        <a:solidFill>
          <a:srgbClr val="FFFF00"/>
        </a:solidFill>
      </c:spPr>
    </c:sideWall>
    <c:backWall>
      <c:spPr>
        <a:solidFill>
          <a:srgbClr val="FFFF00"/>
        </a:solidFill>
      </c:spPr>
    </c:backWall>
    <c:plotArea>
      <c:layout/>
      <c:bar3DChart>
        <c:barDir val="col"/>
        <c:grouping val="clustered"/>
        <c:ser>
          <c:idx val="0"/>
          <c:order val="0"/>
          <c:tx>
            <c:strRef>
              <c:f>Sheet1!$A$2</c:f>
              <c:strCache>
                <c:ptCount val="1"/>
                <c:pt idx="0">
                  <c:v>vsu colectate si tratate </c:v>
                </c:pt>
              </c:strCache>
            </c:strRef>
          </c:tx>
          <c:cat>
            <c:numRef>
              <c:f>Sheet1!$B$1:$K$1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Sheet1!$B$2:$K$2</c:f>
              <c:numCache>
                <c:formatCode>General</c:formatCode>
                <c:ptCount val="10"/>
                <c:pt idx="0">
                  <c:v>134</c:v>
                </c:pt>
                <c:pt idx="1">
                  <c:v>238</c:v>
                </c:pt>
                <c:pt idx="2">
                  <c:v>391</c:v>
                </c:pt>
                <c:pt idx="3">
                  <c:v>508</c:v>
                </c:pt>
                <c:pt idx="4">
                  <c:v>485</c:v>
                </c:pt>
                <c:pt idx="5">
                  <c:v>2376</c:v>
                </c:pt>
                <c:pt idx="6">
                  <c:v>1838</c:v>
                </c:pt>
                <c:pt idx="7">
                  <c:v>607</c:v>
                </c:pt>
                <c:pt idx="8">
                  <c:v>98</c:v>
                </c:pt>
                <c:pt idx="9">
                  <c:v>290</c:v>
                </c:pt>
              </c:numCache>
            </c:numRef>
          </c:val>
        </c:ser>
        <c:shape val="cylinder"/>
        <c:axId val="170845696"/>
        <c:axId val="170847232"/>
        <c:axId val="0"/>
      </c:bar3DChart>
      <c:catAx>
        <c:axId val="170845696"/>
        <c:scaling>
          <c:orientation val="minMax"/>
        </c:scaling>
        <c:axPos val="b"/>
        <c:numFmt formatCode="General" sourceLinked="1"/>
        <c:tickLblPos val="nextTo"/>
        <c:crossAx val="170847232"/>
        <c:crosses val="autoZero"/>
        <c:auto val="1"/>
        <c:lblAlgn val="ctr"/>
        <c:lblOffset val="100"/>
      </c:catAx>
      <c:valAx>
        <c:axId val="170847232"/>
        <c:scaling>
          <c:orientation val="minMax"/>
        </c:scaling>
        <c:axPos val="l"/>
        <c:majorGridlines/>
        <c:numFmt formatCode="General" sourceLinked="1"/>
        <c:tickLblPos val="nextTo"/>
        <c:crossAx val="170845696"/>
        <c:crosses val="autoZero"/>
        <c:crossBetween val="between"/>
      </c:valAx>
    </c:plotArea>
    <c:legend>
      <c:legendPos val="r"/>
    </c:legend>
    <c:plotVisOnly val="1"/>
  </c:chart>
  <c:spPr>
    <a:solidFill>
      <a:srgbClr val="FFFF00"/>
    </a:solidFill>
  </c:sp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2529126567512441"/>
          <c:y val="0.24020054768695709"/>
          <c:w val="0.45624234470691061"/>
          <c:h val="0.5185128608790559"/>
        </c:manualLayout>
      </c:layout>
      <c:bar3DChart>
        <c:barDir val="col"/>
        <c:grouping val="clustered"/>
        <c:ser>
          <c:idx val="0"/>
          <c:order val="0"/>
          <c:tx>
            <c:strRef>
              <c:f>Sheet1!$B$3</c:f>
              <c:strCache>
                <c:ptCount val="1"/>
                <c:pt idx="0">
                  <c:v>Mortalitate generală/din care</c:v>
                </c:pt>
              </c:strCache>
            </c:strRef>
          </c:tx>
          <c:cat>
            <c:numRef>
              <c:f>Sheet1!$A$4:$A$8</c:f>
              <c:numCache>
                <c:formatCode>General</c:formatCode>
                <c:ptCount val="5"/>
                <c:pt idx="0">
                  <c:v>2012</c:v>
                </c:pt>
                <c:pt idx="1">
                  <c:v>2013</c:v>
                </c:pt>
                <c:pt idx="2">
                  <c:v>2014</c:v>
                </c:pt>
                <c:pt idx="3">
                  <c:v>2015</c:v>
                </c:pt>
                <c:pt idx="4">
                  <c:v>2016</c:v>
                </c:pt>
              </c:numCache>
            </c:numRef>
          </c:cat>
          <c:val>
            <c:numRef>
              <c:f>Sheet1!$B$4:$B$8</c:f>
              <c:numCache>
                <c:formatCode>General</c:formatCode>
                <c:ptCount val="5"/>
                <c:pt idx="0">
                  <c:v>4581</c:v>
                </c:pt>
                <c:pt idx="1">
                  <c:v>4464</c:v>
                </c:pt>
                <c:pt idx="2">
                  <c:v>4455</c:v>
                </c:pt>
                <c:pt idx="3">
                  <c:v>12210</c:v>
                </c:pt>
                <c:pt idx="4">
                  <c:v>4613</c:v>
                </c:pt>
              </c:numCache>
            </c:numRef>
          </c:val>
        </c:ser>
        <c:ser>
          <c:idx val="1"/>
          <c:order val="1"/>
          <c:tx>
            <c:strRef>
              <c:f>Sheet1!$C$3</c:f>
              <c:strCache>
                <c:ptCount val="1"/>
                <c:pt idx="0">
                  <c:v>Boli ale aparatului circulator (număr cazuri)</c:v>
                </c:pt>
              </c:strCache>
            </c:strRef>
          </c:tx>
          <c:cat>
            <c:numRef>
              <c:f>Sheet1!$A$4:$A$8</c:f>
              <c:numCache>
                <c:formatCode>General</c:formatCode>
                <c:ptCount val="5"/>
                <c:pt idx="0">
                  <c:v>2012</c:v>
                </c:pt>
                <c:pt idx="1">
                  <c:v>2013</c:v>
                </c:pt>
                <c:pt idx="2">
                  <c:v>2014</c:v>
                </c:pt>
                <c:pt idx="3">
                  <c:v>2015</c:v>
                </c:pt>
                <c:pt idx="4">
                  <c:v>2016</c:v>
                </c:pt>
              </c:numCache>
            </c:numRef>
          </c:cat>
          <c:val>
            <c:numRef>
              <c:f>Sheet1!$C$4:$C$8</c:f>
              <c:numCache>
                <c:formatCode>General</c:formatCode>
                <c:ptCount val="5"/>
                <c:pt idx="0">
                  <c:v>2662</c:v>
                </c:pt>
                <c:pt idx="1">
                  <c:v>2560</c:v>
                </c:pt>
                <c:pt idx="2">
                  <c:v>2484</c:v>
                </c:pt>
                <c:pt idx="3">
                  <c:v>2660</c:v>
                </c:pt>
                <c:pt idx="4">
                  <c:v>2694</c:v>
                </c:pt>
              </c:numCache>
            </c:numRef>
          </c:val>
        </c:ser>
        <c:ser>
          <c:idx val="2"/>
          <c:order val="2"/>
          <c:tx>
            <c:strRef>
              <c:f>Sheet1!$D$3</c:f>
              <c:strCache>
                <c:ptCount val="1"/>
                <c:pt idx="0">
                  <c:v>Boală ischemică a inimii (număr cazuri)</c:v>
                </c:pt>
              </c:strCache>
            </c:strRef>
          </c:tx>
          <c:cat>
            <c:numRef>
              <c:f>Sheet1!$A$4:$A$8</c:f>
              <c:numCache>
                <c:formatCode>General</c:formatCode>
                <c:ptCount val="5"/>
                <c:pt idx="0">
                  <c:v>2012</c:v>
                </c:pt>
                <c:pt idx="1">
                  <c:v>2013</c:v>
                </c:pt>
                <c:pt idx="2">
                  <c:v>2014</c:v>
                </c:pt>
                <c:pt idx="3">
                  <c:v>2015</c:v>
                </c:pt>
                <c:pt idx="4">
                  <c:v>2016</c:v>
                </c:pt>
              </c:numCache>
            </c:numRef>
          </c:cat>
          <c:val>
            <c:numRef>
              <c:f>Sheet1!$D$4:$D$8</c:f>
              <c:numCache>
                <c:formatCode>General</c:formatCode>
                <c:ptCount val="5"/>
                <c:pt idx="0">
                  <c:v>461</c:v>
                </c:pt>
                <c:pt idx="1">
                  <c:v>367</c:v>
                </c:pt>
                <c:pt idx="2">
                  <c:v>353</c:v>
                </c:pt>
                <c:pt idx="3">
                  <c:v>345</c:v>
                </c:pt>
                <c:pt idx="4">
                  <c:v>594</c:v>
                </c:pt>
              </c:numCache>
            </c:numRef>
          </c:val>
        </c:ser>
        <c:ser>
          <c:idx val="3"/>
          <c:order val="3"/>
          <c:tx>
            <c:strRef>
              <c:f>Sheet1!$E$3</c:f>
              <c:strCache>
                <c:ptCount val="1"/>
                <c:pt idx="0">
                  <c:v>Boli respiratorii (număr cazuri)</c:v>
                </c:pt>
              </c:strCache>
            </c:strRef>
          </c:tx>
          <c:cat>
            <c:numRef>
              <c:f>Sheet1!$A$4:$A$8</c:f>
              <c:numCache>
                <c:formatCode>General</c:formatCode>
                <c:ptCount val="5"/>
                <c:pt idx="0">
                  <c:v>2012</c:v>
                </c:pt>
                <c:pt idx="1">
                  <c:v>2013</c:v>
                </c:pt>
                <c:pt idx="2">
                  <c:v>2014</c:v>
                </c:pt>
                <c:pt idx="3">
                  <c:v>2015</c:v>
                </c:pt>
                <c:pt idx="4">
                  <c:v>2016</c:v>
                </c:pt>
              </c:numCache>
            </c:numRef>
          </c:cat>
          <c:val>
            <c:numRef>
              <c:f>Sheet1!$E$4:$E$8</c:f>
              <c:numCache>
                <c:formatCode>General</c:formatCode>
                <c:ptCount val="5"/>
                <c:pt idx="0">
                  <c:v>256</c:v>
                </c:pt>
                <c:pt idx="1">
                  <c:v>237</c:v>
                </c:pt>
                <c:pt idx="2">
                  <c:v>260</c:v>
                </c:pt>
                <c:pt idx="3">
                  <c:v>261</c:v>
                </c:pt>
                <c:pt idx="4">
                  <c:v>222</c:v>
                </c:pt>
              </c:numCache>
            </c:numRef>
          </c:val>
        </c:ser>
        <c:gapWidth val="102"/>
        <c:gapDepth val="102"/>
        <c:shape val="cylinder"/>
        <c:axId val="170343424"/>
        <c:axId val="170923904"/>
        <c:axId val="0"/>
      </c:bar3DChart>
      <c:catAx>
        <c:axId val="170343424"/>
        <c:scaling>
          <c:orientation val="minMax"/>
        </c:scaling>
        <c:axPos val="b"/>
        <c:title>
          <c:tx>
            <c:rich>
              <a:bodyPr/>
              <a:lstStyle/>
              <a:p>
                <a:pPr>
                  <a:defRPr sz="999" b="1" i="0" u="none" strike="noStrike" baseline="0">
                    <a:solidFill>
                      <a:srgbClr val="000000"/>
                    </a:solidFill>
                    <a:latin typeface="Arial"/>
                    <a:ea typeface="Arial"/>
                    <a:cs typeface="Arial"/>
                  </a:defRPr>
                </a:pPr>
                <a:r>
                  <a:rPr lang="vi-VN"/>
                  <a:t>Figura nr.VIII.1.1.1. - 1. - Mortalitatea generală, la nivelul județului Brăila, cea datorată afecțiunilor respiratorii și cea prin afecțiuni cardiovasculare în perioada 2012 - 2016</a:t>
                </a:r>
              </a:p>
            </c:rich>
          </c:tx>
          <c:layout>
            <c:manualLayout>
              <c:xMode val="edge"/>
              <c:yMode val="edge"/>
              <c:x val="0.18316166309599993"/>
              <c:y val="1.9159566592637501E-2"/>
            </c:manualLayout>
          </c:layout>
        </c:title>
        <c:numFmt formatCode="General" sourceLinked="1"/>
        <c:tickLblPos val="nextTo"/>
        <c:crossAx val="170923904"/>
        <c:crosses val="autoZero"/>
        <c:auto val="1"/>
        <c:lblAlgn val="ctr"/>
        <c:lblOffset val="100"/>
      </c:catAx>
      <c:valAx>
        <c:axId val="170923904"/>
        <c:scaling>
          <c:orientation val="minMax"/>
        </c:scaling>
        <c:axPos val="l"/>
        <c:majorGridlines/>
        <c:numFmt formatCode="General" sourceLinked="1"/>
        <c:tickLblPos val="nextTo"/>
        <c:crossAx val="170343424"/>
        <c:crosses val="autoZero"/>
        <c:crossBetween val="between"/>
      </c:valAx>
      <c:spPr>
        <a:noFill/>
        <a:ln w="25385">
          <a:noFill/>
        </a:ln>
      </c:spPr>
    </c:plotArea>
    <c:legend>
      <c:legendPos val="r"/>
      <c:layout>
        <c:manualLayout>
          <c:xMode val="edge"/>
          <c:yMode val="edge"/>
          <c:x val="0.63014477430604066"/>
          <c:y val="0.35487906319402607"/>
          <c:w val="0.35596635226250523"/>
          <c:h val="0.29024187361195258"/>
        </c:manualLayout>
      </c:layout>
      <c:txPr>
        <a:bodyPr/>
        <a:lstStyle/>
        <a:p>
          <a:pPr>
            <a:defRPr>
              <a:latin typeface="Arial" pitchFamily="34" charset="0"/>
              <a:cs typeface="Arial" pitchFamily="34" charset="0"/>
            </a:defRPr>
          </a:pPr>
          <a:endParaRPr lang="ro-RO"/>
        </a:p>
      </c:txPr>
    </c:legend>
    <c:plotVisOnly val="1"/>
    <c:dispBlanksAs val="gap"/>
  </c:chart>
  <c:spPr>
    <a:solidFill>
      <a:schemeClr val="accent3">
        <a:lumMod val="20000"/>
        <a:lumOff val="80000"/>
      </a:schemeClr>
    </a:solidFill>
  </c:spPr>
  <c:externalData r:id="rId2"/>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7" b="1" i="0" u="none" strike="noStrike" kern="1200" baseline="0">
                <a:solidFill>
                  <a:sysClr val="windowText" lastClr="000000"/>
                </a:solidFill>
                <a:latin typeface="+mn-lt"/>
                <a:ea typeface="+mn-ea"/>
                <a:cs typeface="+mn-cs"/>
              </a:defRPr>
            </a:pPr>
            <a:r>
              <a:rPr lang="ro-RO" sz="1197" b="1">
                <a:latin typeface="Arial" pitchFamily="34" charset="0"/>
                <a:cs typeface="Arial" pitchFamily="34" charset="0"/>
              </a:rPr>
              <a:t>Figura nr. VIII.1.1.1. – 2 -</a:t>
            </a:r>
            <a:r>
              <a:rPr lang="ro-RO" sz="1197">
                <a:latin typeface="Arial" pitchFamily="34" charset="0"/>
                <a:cs typeface="Arial" pitchFamily="34" charset="0"/>
              </a:rPr>
              <a:t> </a:t>
            </a:r>
            <a:r>
              <a:rPr lang="en-US" sz="1197">
                <a:latin typeface="Arial" pitchFamily="34" charset="0"/>
                <a:cs typeface="Arial" pitchFamily="34" charset="0"/>
              </a:rPr>
              <a:t>Mortalitate infantilă şi prin afecţiuni respiratorii în mediul Urban în perioada </a:t>
            </a:r>
            <a:r>
              <a:rPr lang="en-US" sz="1197">
                <a:solidFill>
                  <a:sysClr val="windowText" lastClr="000000"/>
                </a:solidFill>
                <a:latin typeface="Arial" pitchFamily="34" charset="0"/>
                <a:cs typeface="Arial" pitchFamily="34" charset="0"/>
              </a:rPr>
              <a:t>201</a:t>
            </a:r>
            <a:r>
              <a:rPr lang="ro-RO" sz="1197">
                <a:solidFill>
                  <a:sysClr val="windowText" lastClr="000000"/>
                </a:solidFill>
                <a:latin typeface="Arial" pitchFamily="34" charset="0"/>
                <a:cs typeface="Arial" pitchFamily="34" charset="0"/>
              </a:rPr>
              <a:t>2</a:t>
            </a:r>
            <a:r>
              <a:rPr lang="en-US" sz="1197">
                <a:solidFill>
                  <a:sysClr val="windowText" lastClr="000000"/>
                </a:solidFill>
                <a:latin typeface="Arial" pitchFamily="34" charset="0"/>
                <a:cs typeface="Arial" pitchFamily="34" charset="0"/>
              </a:rPr>
              <a:t> - 201</a:t>
            </a:r>
            <a:r>
              <a:rPr lang="ro-RO" sz="1197">
                <a:solidFill>
                  <a:sysClr val="windowText" lastClr="000000"/>
                </a:solidFill>
                <a:latin typeface="Arial" pitchFamily="34" charset="0"/>
                <a:cs typeface="Arial" pitchFamily="34" charset="0"/>
              </a:rPr>
              <a:t>6</a:t>
            </a:r>
            <a:endParaRPr lang="ro-RO" sz="1200">
              <a:solidFill>
                <a:sysClr val="windowText" lastClr="000000"/>
              </a:solidFill>
            </a:endParaRPr>
          </a:p>
        </c:rich>
      </c:tx>
    </c:title>
    <c:plotArea>
      <c:layout/>
      <c:barChart>
        <c:barDir val="col"/>
        <c:grouping val="clustered"/>
        <c:ser>
          <c:idx val="0"/>
          <c:order val="0"/>
          <c:tx>
            <c:strRef>
              <c:f>Sheet1!$B$1</c:f>
              <c:strCache>
                <c:ptCount val="1"/>
                <c:pt idx="0">
                  <c:v>Mortalitate infantilă în mediul Urban(decedaţi sub 1 an la 1000 născuţi vii)</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13</c:v>
                </c:pt>
                <c:pt idx="1">
                  <c:v>16</c:v>
                </c:pt>
                <c:pt idx="2">
                  <c:v>8</c:v>
                </c:pt>
                <c:pt idx="3">
                  <c:v>5</c:v>
                </c:pt>
                <c:pt idx="4">
                  <c:v>9</c:v>
                </c:pt>
              </c:numCache>
            </c:numRef>
          </c:val>
        </c:ser>
        <c:ser>
          <c:idx val="1"/>
          <c:order val="1"/>
          <c:tx>
            <c:strRef>
              <c:f>Sheet1!$C$1</c:f>
              <c:strCache>
                <c:ptCount val="1"/>
                <c:pt idx="0">
                  <c:v>Mortalitate infantilă prin afecţiuni respiratorii în mediul Urban (decedaţi sub 1 an la 1000 născuţi vii)</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c:v>
                </c:pt>
                <c:pt idx="1">
                  <c:v>3</c:v>
                </c:pt>
                <c:pt idx="2">
                  <c:v>0</c:v>
                </c:pt>
                <c:pt idx="3">
                  <c:v>1</c:v>
                </c:pt>
                <c:pt idx="4">
                  <c:v>2</c:v>
                </c:pt>
              </c:numCache>
            </c:numRef>
          </c:val>
        </c:ser>
        <c:axId val="171156608"/>
        <c:axId val="171158144"/>
      </c:barChart>
      <c:catAx>
        <c:axId val="171156608"/>
        <c:scaling>
          <c:orientation val="minMax"/>
        </c:scaling>
        <c:axPos val="b"/>
        <c:numFmt formatCode="General" sourceLinked="1"/>
        <c:tickLblPos val="nextTo"/>
        <c:txPr>
          <a:bodyPr/>
          <a:lstStyle/>
          <a:p>
            <a:pPr>
              <a:defRPr sz="1197">
                <a:latin typeface="Arial" pitchFamily="34" charset="0"/>
                <a:cs typeface="Arial" pitchFamily="34" charset="0"/>
              </a:defRPr>
            </a:pPr>
            <a:endParaRPr lang="ro-RO"/>
          </a:p>
        </c:txPr>
        <c:crossAx val="171158144"/>
        <c:crosses val="autoZero"/>
        <c:auto val="1"/>
        <c:lblAlgn val="ctr"/>
        <c:lblOffset val="100"/>
      </c:catAx>
      <c:valAx>
        <c:axId val="171158144"/>
        <c:scaling>
          <c:orientation val="minMax"/>
        </c:scaling>
        <c:axPos val="l"/>
        <c:majorGridlines/>
        <c:numFmt formatCode="General" sourceLinked="1"/>
        <c:tickLblPos val="nextTo"/>
        <c:txPr>
          <a:bodyPr/>
          <a:lstStyle/>
          <a:p>
            <a:pPr>
              <a:defRPr sz="1197">
                <a:latin typeface="Arial" pitchFamily="34" charset="0"/>
                <a:cs typeface="Arial" pitchFamily="34" charset="0"/>
              </a:defRPr>
            </a:pPr>
            <a:endParaRPr lang="ro-RO"/>
          </a:p>
        </c:txPr>
        <c:crossAx val="171156608"/>
        <c:crosses val="autoZero"/>
        <c:crossBetween val="between"/>
      </c:valAx>
    </c:plotArea>
    <c:legend>
      <c:legendPos val="r"/>
      <c:txPr>
        <a:bodyPr/>
        <a:lstStyle/>
        <a:p>
          <a:pPr>
            <a:defRPr sz="1197">
              <a:latin typeface="Arial" pitchFamily="34" charset="0"/>
              <a:cs typeface="Arial" pitchFamily="34" charset="0"/>
            </a:defRPr>
          </a:pPr>
          <a:endParaRPr lang="ro-RO"/>
        </a:p>
      </c:txPr>
    </c:legend>
    <c:plotVisOnly val="1"/>
    <c:dispBlanksAs val="gap"/>
  </c:chart>
  <c:spPr>
    <a:solidFill>
      <a:schemeClr val="accent4">
        <a:lumMod val="20000"/>
        <a:lumOff val="80000"/>
      </a:schemeClr>
    </a:solidFill>
  </c:spPr>
  <c:externalData r:id="rId2"/>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94" b="1" i="0" u="none" strike="noStrike" baseline="0">
                <a:solidFill>
                  <a:srgbClr val="000000"/>
                </a:solidFill>
                <a:latin typeface="Arial"/>
                <a:ea typeface="Arial"/>
                <a:cs typeface="Arial"/>
              </a:defRPr>
            </a:pPr>
            <a:r>
              <a:rPr lang="vi-VN" sz="1000" baseline="0"/>
              <a:t>Figura nr.VIII.1.1.1. - 3 - Mortalitatea prin afecțiuni cardiovasculare pe orașele din județul Brăila (număr cazuri) în perioada </a:t>
            </a:r>
            <a:r>
              <a:rPr lang="vi-VN" sz="1000" baseline="0">
                <a:solidFill>
                  <a:sysClr val="windowText" lastClr="000000"/>
                </a:solidFill>
              </a:rPr>
              <a:t>201</a:t>
            </a:r>
            <a:r>
              <a:rPr lang="ro-RO" sz="1000" baseline="0">
                <a:solidFill>
                  <a:sysClr val="windowText" lastClr="000000"/>
                </a:solidFill>
              </a:rPr>
              <a:t>2</a:t>
            </a:r>
            <a:r>
              <a:rPr lang="vi-VN" sz="1000" baseline="0">
                <a:solidFill>
                  <a:sysClr val="windowText" lastClr="000000"/>
                </a:solidFill>
              </a:rPr>
              <a:t> - 201</a:t>
            </a:r>
            <a:r>
              <a:rPr lang="ro-RO" sz="1000" baseline="0">
                <a:solidFill>
                  <a:sysClr val="windowText" lastClr="000000"/>
                </a:solidFill>
              </a:rPr>
              <a:t>6</a:t>
            </a:r>
            <a:endParaRPr lang="vi-VN" sz="1000" baseline="0">
              <a:solidFill>
                <a:sysClr val="windowText" lastClr="000000"/>
              </a:solidFill>
            </a:endParaRPr>
          </a:p>
        </c:rich>
      </c:tx>
      <c:layout>
        <c:manualLayout>
          <c:xMode val="edge"/>
          <c:yMode val="edge"/>
          <c:x val="0.11727416798732172"/>
          <c:y val="1.9084233903960385E-2"/>
        </c:manualLayout>
      </c:layout>
      <c:spPr>
        <a:solidFill>
          <a:schemeClr val="accent6">
            <a:lumMod val="20000"/>
            <a:lumOff val="80000"/>
          </a:schemeClr>
        </a:solidFill>
        <a:ln w="25282">
          <a:noFill/>
        </a:ln>
      </c:spPr>
    </c:title>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163232963549928E-2"/>
          <c:y val="0.38931297709924501"/>
          <c:w val="0.67828843106181225"/>
          <c:h val="0.44656488549618328"/>
        </c:manualLayout>
      </c:layout>
      <c:bar3DChart>
        <c:barDir val="col"/>
        <c:grouping val="clustered"/>
        <c:ser>
          <c:idx val="0"/>
          <c:order val="0"/>
          <c:tx>
            <c:strRef>
              <c:f>Sheet1!$A$2</c:f>
              <c:strCache>
                <c:ptCount val="1"/>
                <c:pt idx="0">
                  <c:v>Mun.Brăila</c:v>
                </c:pt>
              </c:strCache>
            </c:strRef>
          </c:tx>
          <c:spPr>
            <a:solidFill>
              <a:srgbClr val="9999FF"/>
            </a:solidFill>
            <a:ln w="12640">
              <a:solidFill>
                <a:srgbClr val="000000"/>
              </a:solidFill>
              <a:prstDash val="solid"/>
            </a:ln>
          </c:spPr>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1103</c:v>
                </c:pt>
                <c:pt idx="1">
                  <c:v>1145</c:v>
                </c:pt>
                <c:pt idx="2">
                  <c:v>1147</c:v>
                </c:pt>
                <c:pt idx="3">
                  <c:v>1242</c:v>
                </c:pt>
                <c:pt idx="4">
                  <c:v>1178</c:v>
                </c:pt>
              </c:numCache>
            </c:numRef>
          </c:val>
        </c:ser>
        <c:ser>
          <c:idx val="1"/>
          <c:order val="1"/>
          <c:tx>
            <c:strRef>
              <c:f>Sheet1!$A$3</c:f>
              <c:strCache>
                <c:ptCount val="1"/>
                <c:pt idx="0">
                  <c:v>Oraș Ianca</c:v>
                </c:pt>
              </c:strCache>
            </c:strRef>
          </c:tx>
          <c:spPr>
            <a:solidFill>
              <a:srgbClr val="993366"/>
            </a:solidFill>
            <a:ln w="12640">
              <a:solidFill>
                <a:srgbClr val="000000"/>
              </a:solidFill>
              <a:prstDash val="solid"/>
            </a:ln>
          </c:spPr>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78</c:v>
                </c:pt>
                <c:pt idx="1">
                  <c:v>86</c:v>
                </c:pt>
                <c:pt idx="2">
                  <c:v>71</c:v>
                </c:pt>
                <c:pt idx="3">
                  <c:v>71</c:v>
                </c:pt>
                <c:pt idx="4">
                  <c:v>90</c:v>
                </c:pt>
              </c:numCache>
            </c:numRef>
          </c:val>
        </c:ser>
        <c:ser>
          <c:idx val="2"/>
          <c:order val="2"/>
          <c:tx>
            <c:strRef>
              <c:f>Sheet1!$A$4</c:f>
              <c:strCache>
                <c:ptCount val="1"/>
                <c:pt idx="0">
                  <c:v>Oraș Făurei</c:v>
                </c:pt>
              </c:strCache>
            </c:strRef>
          </c:tx>
          <c:spPr>
            <a:solidFill>
              <a:srgbClr val="FFFFCC"/>
            </a:solidFill>
            <a:ln w="12640">
              <a:solidFill>
                <a:srgbClr val="000000"/>
              </a:solidFill>
              <a:prstDash val="solid"/>
            </a:ln>
          </c:spPr>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34</c:v>
                </c:pt>
                <c:pt idx="1">
                  <c:v>23</c:v>
                </c:pt>
                <c:pt idx="2">
                  <c:v>23</c:v>
                </c:pt>
                <c:pt idx="3">
                  <c:v>33</c:v>
                </c:pt>
                <c:pt idx="4">
                  <c:v>31</c:v>
                </c:pt>
              </c:numCache>
            </c:numRef>
          </c:val>
        </c:ser>
        <c:ser>
          <c:idx val="3"/>
          <c:order val="3"/>
          <c:tx>
            <c:strRef>
              <c:f>Sheet1!$A$5</c:f>
              <c:strCache>
                <c:ptCount val="1"/>
                <c:pt idx="0">
                  <c:v>Oraș Însurăței</c:v>
                </c:pt>
              </c:strCache>
            </c:strRef>
          </c:tx>
          <c:spPr>
            <a:solidFill>
              <a:srgbClr val="CCFFFF"/>
            </a:solidFill>
            <a:ln w="12640">
              <a:solidFill>
                <a:srgbClr val="000000"/>
              </a:solidFill>
              <a:prstDash val="solid"/>
            </a:ln>
          </c:spPr>
          <c:cat>
            <c:numRef>
              <c:f>Sheet1!$B$1:$F$1</c:f>
              <c:numCache>
                <c:formatCode>General</c:formatCode>
                <c:ptCount val="5"/>
                <c:pt idx="0">
                  <c:v>2012</c:v>
                </c:pt>
                <c:pt idx="1">
                  <c:v>2013</c:v>
                </c:pt>
                <c:pt idx="2">
                  <c:v>2014</c:v>
                </c:pt>
                <c:pt idx="3">
                  <c:v>2015</c:v>
                </c:pt>
                <c:pt idx="4">
                  <c:v>2016</c:v>
                </c:pt>
              </c:numCache>
            </c:numRef>
          </c:cat>
          <c:val>
            <c:numRef>
              <c:f>Sheet1!$B$5:$F$5</c:f>
              <c:numCache>
                <c:formatCode>General</c:formatCode>
                <c:ptCount val="5"/>
                <c:pt idx="0">
                  <c:v>61</c:v>
                </c:pt>
                <c:pt idx="1">
                  <c:v>55</c:v>
                </c:pt>
                <c:pt idx="2">
                  <c:v>54</c:v>
                </c:pt>
                <c:pt idx="3">
                  <c:v>51</c:v>
                </c:pt>
                <c:pt idx="4">
                  <c:v>59</c:v>
                </c:pt>
              </c:numCache>
            </c:numRef>
          </c:val>
        </c:ser>
        <c:gapDepth val="0"/>
        <c:shape val="box"/>
        <c:axId val="170849408"/>
        <c:axId val="170850944"/>
        <c:axId val="0"/>
      </c:bar3DChart>
      <c:catAx>
        <c:axId val="170849408"/>
        <c:scaling>
          <c:orientation val="minMax"/>
        </c:scaling>
        <c:axPos val="b"/>
        <c:numFmt formatCode="General" sourceLinked="1"/>
        <c:tickLblPos val="low"/>
        <c:spPr>
          <a:ln w="3160">
            <a:solidFill>
              <a:srgbClr val="000000"/>
            </a:solidFill>
            <a:prstDash val="solid"/>
          </a:ln>
        </c:spPr>
        <c:txPr>
          <a:bodyPr rot="0" vert="horz"/>
          <a:lstStyle/>
          <a:p>
            <a:pPr>
              <a:defRPr sz="1196" b="1" i="0" u="none" strike="noStrike" baseline="0">
                <a:solidFill>
                  <a:srgbClr val="000000"/>
                </a:solidFill>
                <a:latin typeface="Arial"/>
                <a:ea typeface="Arial"/>
                <a:cs typeface="Arial"/>
              </a:defRPr>
            </a:pPr>
            <a:endParaRPr lang="ro-RO"/>
          </a:p>
        </c:txPr>
        <c:crossAx val="170850944"/>
        <c:crosses val="autoZero"/>
        <c:auto val="1"/>
        <c:lblAlgn val="ctr"/>
        <c:lblOffset val="100"/>
        <c:tickLblSkip val="1"/>
        <c:tickMarkSkip val="1"/>
      </c:catAx>
      <c:valAx>
        <c:axId val="170850944"/>
        <c:scaling>
          <c:orientation val="minMax"/>
        </c:scaling>
        <c:axPos val="l"/>
        <c:majorGridlines>
          <c:spPr>
            <a:ln w="3160">
              <a:solidFill>
                <a:srgbClr val="000000"/>
              </a:solidFill>
              <a:prstDash val="solid"/>
            </a:ln>
          </c:spPr>
        </c:majorGridlines>
        <c:numFmt formatCode="General" sourceLinked="1"/>
        <c:tickLblPos val="nextTo"/>
        <c:spPr>
          <a:ln w="3160">
            <a:solidFill>
              <a:srgbClr val="000000"/>
            </a:solidFill>
            <a:prstDash val="solid"/>
          </a:ln>
        </c:spPr>
        <c:txPr>
          <a:bodyPr rot="0" vert="horz"/>
          <a:lstStyle/>
          <a:p>
            <a:pPr>
              <a:defRPr sz="1196" b="1" i="0" u="none" strike="noStrike" baseline="0">
                <a:solidFill>
                  <a:srgbClr val="000000"/>
                </a:solidFill>
                <a:latin typeface="Arial"/>
                <a:ea typeface="Arial"/>
                <a:cs typeface="Arial"/>
              </a:defRPr>
            </a:pPr>
            <a:endParaRPr lang="ro-RO"/>
          </a:p>
        </c:txPr>
        <c:crossAx val="170849408"/>
        <c:crosses val="autoZero"/>
        <c:crossBetween val="between"/>
      </c:valAx>
      <c:spPr>
        <a:solidFill>
          <a:schemeClr val="accent6">
            <a:lumMod val="20000"/>
            <a:lumOff val="80000"/>
          </a:schemeClr>
        </a:solidFill>
        <a:ln w="25282">
          <a:noFill/>
        </a:ln>
      </c:spPr>
    </c:plotArea>
    <c:legend>
      <c:legendPos val="r"/>
      <c:layout>
        <c:manualLayout>
          <c:xMode val="edge"/>
          <c:yMode val="edge"/>
          <c:x val="0.78288431061806663"/>
          <c:y val="0.46564867650652975"/>
          <c:w val="0.20919175911251975"/>
          <c:h val="0.37022878213098054"/>
        </c:manualLayout>
      </c:layout>
      <c:spPr>
        <a:noFill/>
        <a:ln w="3160">
          <a:solidFill>
            <a:srgbClr val="000000"/>
          </a:solidFill>
          <a:prstDash val="solid"/>
        </a:ln>
      </c:spPr>
      <c:txPr>
        <a:bodyPr/>
        <a:lstStyle/>
        <a:p>
          <a:pPr>
            <a:defRPr sz="1095" b="1" i="0" u="none" strike="noStrike" baseline="0">
              <a:solidFill>
                <a:srgbClr val="000000"/>
              </a:solidFill>
              <a:latin typeface="Arial"/>
              <a:ea typeface="Arial"/>
              <a:cs typeface="Arial"/>
            </a:defRPr>
          </a:pPr>
          <a:endParaRPr lang="ro-RO"/>
        </a:p>
      </c:txPr>
    </c:legend>
    <c:plotVisOnly val="1"/>
    <c:dispBlanksAs val="gap"/>
  </c:chart>
  <c:spPr>
    <a:solidFill>
      <a:schemeClr val="accent6">
        <a:lumMod val="20000"/>
        <a:lumOff val="80000"/>
      </a:schemeClr>
    </a:solidFill>
    <a:ln w="6350" cap="flat" cmpd="sng" algn="ctr">
      <a:solidFill>
        <a:srgbClr val="000000"/>
      </a:solidFill>
      <a:prstDash val="solid"/>
      <a:miter lim="800000"/>
      <a:headEnd type="none" w="med" len="med"/>
      <a:tailEnd type="none" w="med" len="med"/>
    </a:ln>
  </c:spPr>
  <c:txPr>
    <a:bodyPr/>
    <a:lstStyle/>
    <a:p>
      <a:pPr>
        <a:defRPr sz="1146" b="1" i="0" u="none" strike="noStrike" baseline="0">
          <a:solidFill>
            <a:srgbClr val="000000"/>
          </a:solidFill>
          <a:latin typeface="Calibri"/>
          <a:ea typeface="Calibri"/>
          <a:cs typeface="Calibri"/>
        </a:defRPr>
      </a:pPr>
      <a:endParaRPr lang="ro-RO"/>
    </a:p>
  </c:txPr>
  <c:externalData r:id="rId2"/>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199">
                <a:latin typeface="Arial" pitchFamily="34" charset="0"/>
                <a:cs typeface="Arial" pitchFamily="34" charset="0"/>
              </a:rPr>
              <a:t>Figura nr.VIII.1.1.1. - 4 - Incidența</a:t>
            </a:r>
            <a:r>
              <a:rPr lang="ro-RO" sz="1199" baseline="0">
                <a:latin typeface="Arial" pitchFamily="34" charset="0"/>
                <a:cs typeface="Arial" pitchFamily="34" charset="0"/>
              </a:rPr>
              <a:t> cazurilor de astm bronșic în orașele din județul Brăila (număr cazuri)</a:t>
            </a:r>
            <a:endParaRPr lang="ro-RO" sz="1200">
              <a:latin typeface="Arial" pitchFamily="34" charset="0"/>
              <a:cs typeface="Arial" pitchFamily="34" charset="0"/>
            </a:endParaRPr>
          </a:p>
        </c:rich>
      </c:tx>
      <c:overlay val="1"/>
    </c:title>
    <c:view3D>
      <c:depthPercent val="100"/>
      <c:rAngAx val="1"/>
    </c:view3D>
    <c:sideWall>
      <c:spPr>
        <a:ln>
          <a:solidFill>
            <a:schemeClr val="bg1"/>
          </a:solidFill>
        </a:ln>
      </c:spPr>
    </c:sideWall>
    <c:backWall>
      <c:spPr>
        <a:ln>
          <a:solidFill>
            <a:schemeClr val="bg1"/>
          </a:solidFill>
        </a:ln>
      </c:spPr>
    </c:backWall>
    <c:plotArea>
      <c:layout>
        <c:manualLayout>
          <c:layoutTarget val="inner"/>
          <c:xMode val="edge"/>
          <c:yMode val="edge"/>
          <c:x val="7.1726450860309127E-2"/>
          <c:y val="0.24815532673800389"/>
          <c:w val="0.59310112277631766"/>
          <c:h val="0.52912744685540269"/>
        </c:manualLayout>
      </c:layout>
      <c:bar3DChart>
        <c:barDir val="col"/>
        <c:grouping val="clustered"/>
        <c:ser>
          <c:idx val="0"/>
          <c:order val="0"/>
          <c:tx>
            <c:strRef>
              <c:f>Sheet1!$B$2</c:f>
              <c:strCache>
                <c:ptCount val="1"/>
                <c:pt idx="0">
                  <c:v>Mun.Brăila</c:v>
                </c:pt>
              </c:strCache>
            </c:strRef>
          </c:tx>
          <c:cat>
            <c:numRef>
              <c:f>Sheet1!$A$3:$A$7</c:f>
              <c:numCache>
                <c:formatCode>General</c:formatCode>
                <c:ptCount val="5"/>
                <c:pt idx="0">
                  <c:v>2012</c:v>
                </c:pt>
                <c:pt idx="1">
                  <c:v>2013</c:v>
                </c:pt>
                <c:pt idx="2">
                  <c:v>2014</c:v>
                </c:pt>
                <c:pt idx="3">
                  <c:v>2015</c:v>
                </c:pt>
                <c:pt idx="4">
                  <c:v>2016</c:v>
                </c:pt>
              </c:numCache>
            </c:numRef>
          </c:cat>
          <c:val>
            <c:numRef>
              <c:f>Sheet1!$B$3:$B$7</c:f>
              <c:numCache>
                <c:formatCode>General</c:formatCode>
                <c:ptCount val="5"/>
                <c:pt idx="0">
                  <c:v>241</c:v>
                </c:pt>
                <c:pt idx="1">
                  <c:v>201</c:v>
                </c:pt>
                <c:pt idx="2">
                  <c:v>217</c:v>
                </c:pt>
                <c:pt idx="3">
                  <c:v>210</c:v>
                </c:pt>
                <c:pt idx="4">
                  <c:v>181</c:v>
                </c:pt>
              </c:numCache>
            </c:numRef>
          </c:val>
        </c:ser>
        <c:ser>
          <c:idx val="1"/>
          <c:order val="1"/>
          <c:tx>
            <c:strRef>
              <c:f>Sheet1!$C$2</c:f>
              <c:strCache>
                <c:ptCount val="1"/>
                <c:pt idx="0">
                  <c:v>Oraș Ianca</c:v>
                </c:pt>
              </c:strCache>
            </c:strRef>
          </c:tx>
          <c:cat>
            <c:numRef>
              <c:f>Sheet1!$A$3:$A$7</c:f>
              <c:numCache>
                <c:formatCode>General</c:formatCode>
                <c:ptCount val="5"/>
                <c:pt idx="0">
                  <c:v>2012</c:v>
                </c:pt>
                <c:pt idx="1">
                  <c:v>2013</c:v>
                </c:pt>
                <c:pt idx="2">
                  <c:v>2014</c:v>
                </c:pt>
                <c:pt idx="3">
                  <c:v>2015</c:v>
                </c:pt>
                <c:pt idx="4">
                  <c:v>2016</c:v>
                </c:pt>
              </c:numCache>
            </c:numRef>
          </c:cat>
          <c:val>
            <c:numRef>
              <c:f>Sheet1!$C$3:$C$7</c:f>
              <c:numCache>
                <c:formatCode>General</c:formatCode>
                <c:ptCount val="5"/>
                <c:pt idx="0">
                  <c:v>36</c:v>
                </c:pt>
                <c:pt idx="1">
                  <c:v>14</c:v>
                </c:pt>
                <c:pt idx="2">
                  <c:v>25</c:v>
                </c:pt>
                <c:pt idx="3">
                  <c:v>5</c:v>
                </c:pt>
                <c:pt idx="4">
                  <c:v>31</c:v>
                </c:pt>
              </c:numCache>
            </c:numRef>
          </c:val>
        </c:ser>
        <c:ser>
          <c:idx val="2"/>
          <c:order val="2"/>
          <c:tx>
            <c:strRef>
              <c:f>Sheet1!$D$2</c:f>
              <c:strCache>
                <c:ptCount val="1"/>
                <c:pt idx="0">
                  <c:v>Oraș Făurei</c:v>
                </c:pt>
              </c:strCache>
            </c:strRef>
          </c:tx>
          <c:cat>
            <c:numRef>
              <c:f>Sheet1!$A$3:$A$7</c:f>
              <c:numCache>
                <c:formatCode>General</c:formatCode>
                <c:ptCount val="5"/>
                <c:pt idx="0">
                  <c:v>2012</c:v>
                </c:pt>
                <c:pt idx="1">
                  <c:v>2013</c:v>
                </c:pt>
                <c:pt idx="2">
                  <c:v>2014</c:v>
                </c:pt>
                <c:pt idx="3">
                  <c:v>2015</c:v>
                </c:pt>
                <c:pt idx="4">
                  <c:v>2016</c:v>
                </c:pt>
              </c:numCache>
            </c:numRef>
          </c:cat>
          <c:val>
            <c:numRef>
              <c:f>Sheet1!$D$3:$D$7</c:f>
              <c:numCache>
                <c:formatCode>General</c:formatCode>
                <c:ptCount val="5"/>
                <c:pt idx="0">
                  <c:v>31</c:v>
                </c:pt>
                <c:pt idx="1">
                  <c:v>19</c:v>
                </c:pt>
                <c:pt idx="2">
                  <c:v>27</c:v>
                </c:pt>
                <c:pt idx="3">
                  <c:v>9</c:v>
                </c:pt>
                <c:pt idx="4">
                  <c:v>8</c:v>
                </c:pt>
              </c:numCache>
            </c:numRef>
          </c:val>
        </c:ser>
        <c:ser>
          <c:idx val="3"/>
          <c:order val="3"/>
          <c:tx>
            <c:strRef>
              <c:f>Sheet1!$E$2</c:f>
              <c:strCache>
                <c:ptCount val="1"/>
                <c:pt idx="0">
                  <c:v>Oraș Însurăței</c:v>
                </c:pt>
              </c:strCache>
            </c:strRef>
          </c:tx>
          <c:cat>
            <c:numRef>
              <c:f>Sheet1!$A$3:$A$7</c:f>
              <c:numCache>
                <c:formatCode>General</c:formatCode>
                <c:ptCount val="5"/>
                <c:pt idx="0">
                  <c:v>2012</c:v>
                </c:pt>
                <c:pt idx="1">
                  <c:v>2013</c:v>
                </c:pt>
                <c:pt idx="2">
                  <c:v>2014</c:v>
                </c:pt>
                <c:pt idx="3">
                  <c:v>2015</c:v>
                </c:pt>
                <c:pt idx="4">
                  <c:v>2016</c:v>
                </c:pt>
              </c:numCache>
            </c:numRef>
          </c:cat>
          <c:val>
            <c:numRef>
              <c:f>Sheet1!$E$3:$E$7</c:f>
              <c:numCache>
                <c:formatCode>General</c:formatCode>
                <c:ptCount val="5"/>
                <c:pt idx="0">
                  <c:v>1</c:v>
                </c:pt>
                <c:pt idx="1">
                  <c:v>0</c:v>
                </c:pt>
                <c:pt idx="2">
                  <c:v>10</c:v>
                </c:pt>
                <c:pt idx="3">
                  <c:v>1</c:v>
                </c:pt>
                <c:pt idx="4">
                  <c:v>4</c:v>
                </c:pt>
              </c:numCache>
            </c:numRef>
          </c:val>
        </c:ser>
        <c:ser>
          <c:idx val="4"/>
          <c:order val="4"/>
          <c:tx>
            <c:strRef>
              <c:f>Sheet1!$F$2</c:f>
              <c:strCache>
                <c:ptCount val="1"/>
                <c:pt idx="0">
                  <c:v>Total Județ Brăila</c:v>
                </c:pt>
              </c:strCache>
            </c:strRef>
          </c:tx>
          <c:cat>
            <c:numRef>
              <c:f>Sheet1!$A$3:$A$7</c:f>
              <c:numCache>
                <c:formatCode>General</c:formatCode>
                <c:ptCount val="5"/>
                <c:pt idx="0">
                  <c:v>2012</c:v>
                </c:pt>
                <c:pt idx="1">
                  <c:v>2013</c:v>
                </c:pt>
                <c:pt idx="2">
                  <c:v>2014</c:v>
                </c:pt>
                <c:pt idx="3">
                  <c:v>2015</c:v>
                </c:pt>
                <c:pt idx="4">
                  <c:v>2016</c:v>
                </c:pt>
              </c:numCache>
            </c:numRef>
          </c:cat>
          <c:val>
            <c:numRef>
              <c:f>Sheet1!$F$3:$F$7</c:f>
              <c:numCache>
                <c:formatCode>General</c:formatCode>
                <c:ptCount val="5"/>
                <c:pt idx="0">
                  <c:v>394</c:v>
                </c:pt>
                <c:pt idx="1">
                  <c:v>332</c:v>
                </c:pt>
                <c:pt idx="2">
                  <c:v>504</c:v>
                </c:pt>
                <c:pt idx="3">
                  <c:v>400</c:v>
                </c:pt>
                <c:pt idx="4">
                  <c:v>399</c:v>
                </c:pt>
              </c:numCache>
            </c:numRef>
          </c:val>
        </c:ser>
        <c:shape val="box"/>
        <c:axId val="171280256"/>
        <c:axId val="171281792"/>
        <c:axId val="0"/>
      </c:bar3DChart>
      <c:catAx>
        <c:axId val="171280256"/>
        <c:scaling>
          <c:orientation val="minMax"/>
        </c:scaling>
        <c:axPos val="b"/>
        <c:numFmt formatCode="General" sourceLinked="1"/>
        <c:tickLblPos val="nextTo"/>
        <c:txPr>
          <a:bodyPr/>
          <a:lstStyle/>
          <a:p>
            <a:pPr>
              <a:defRPr sz="1199" b="1">
                <a:latin typeface="Arial" pitchFamily="34" charset="0"/>
                <a:cs typeface="Arial" pitchFamily="34" charset="0"/>
              </a:defRPr>
            </a:pPr>
            <a:endParaRPr lang="ro-RO"/>
          </a:p>
        </c:txPr>
        <c:crossAx val="171281792"/>
        <c:crosses val="autoZero"/>
        <c:auto val="1"/>
        <c:lblAlgn val="ctr"/>
        <c:lblOffset val="100"/>
      </c:catAx>
      <c:valAx>
        <c:axId val="171281792"/>
        <c:scaling>
          <c:orientation val="minMax"/>
        </c:scaling>
        <c:axPos val="l"/>
        <c:majorGridlines/>
        <c:numFmt formatCode="General" sourceLinked="1"/>
        <c:tickLblPos val="nextTo"/>
        <c:txPr>
          <a:bodyPr/>
          <a:lstStyle/>
          <a:p>
            <a:pPr>
              <a:defRPr sz="1199" b="1">
                <a:latin typeface="Arial" pitchFamily="34" charset="0"/>
                <a:cs typeface="Arial" pitchFamily="34" charset="0"/>
              </a:defRPr>
            </a:pPr>
            <a:endParaRPr lang="ro-RO"/>
          </a:p>
        </c:txPr>
        <c:crossAx val="171280256"/>
        <c:crosses val="autoZero"/>
        <c:crossBetween val="between"/>
      </c:valAx>
      <c:spPr>
        <a:solidFill>
          <a:schemeClr val="accent3">
            <a:lumMod val="20000"/>
            <a:lumOff val="80000"/>
          </a:schemeClr>
        </a:solidFill>
      </c:spPr>
    </c:plotArea>
    <c:legend>
      <c:legendPos val="r"/>
      <c:spPr>
        <a:solidFill>
          <a:schemeClr val="accent2">
            <a:lumMod val="40000"/>
            <a:lumOff val="60000"/>
          </a:schemeClr>
        </a:solidFill>
        <a:ln>
          <a:solidFill>
            <a:schemeClr val="bg1"/>
          </a:solidFill>
        </a:ln>
      </c:spPr>
      <c:txPr>
        <a:bodyPr/>
        <a:lstStyle/>
        <a:p>
          <a:pPr>
            <a:defRPr sz="1000" b="1" baseline="0">
              <a:latin typeface="Arial" pitchFamily="34" charset="0"/>
              <a:cs typeface="Arial" pitchFamily="34" charset="0"/>
            </a:defRPr>
          </a:pPr>
          <a:endParaRPr lang="ro-RO"/>
        </a:p>
      </c:txPr>
    </c:legend>
    <c:plotVisOnly val="1"/>
    <c:dispBlanksAs val="gap"/>
  </c:chart>
  <c:spPr>
    <a:blipFill>
      <a:blip xmlns:r="http://schemas.openxmlformats.org/officeDocument/2006/relationships" r:embed="rId2"/>
      <a:tile tx="0" ty="0" sx="100000" sy="100000" flip="none" algn="tl"/>
    </a:blipFill>
    <a:ln>
      <a:solidFill>
        <a:schemeClr val="bg1"/>
      </a:solidFill>
    </a:ln>
  </c:spPr>
  <c:txPr>
    <a:bodyPr rot="0" anchor="t" anchorCtr="0"/>
    <a:lstStyle/>
    <a:p>
      <a:pPr>
        <a:defRPr baseline="0">
          <a:ln>
            <a:noFill/>
          </a:ln>
        </a:defRPr>
      </a:pPr>
      <a:endParaRPr lang="ro-RO"/>
    </a:p>
  </c:txPr>
  <c:externalData r:id="rId3"/>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a:t>Fig.VIII.1.1.1</a:t>
            </a:r>
            <a:r>
              <a:rPr lang="ro-RO" sz="1200" baseline="0"/>
              <a:t> -5 </a:t>
            </a:r>
            <a:r>
              <a:rPr lang="en-US" sz="1200"/>
              <a:t>Evoluția  concentraţiilor  medii anuale a PM</a:t>
            </a:r>
            <a:r>
              <a:rPr lang="en-US" sz="1200" baseline="-25000"/>
              <a:t>10</a:t>
            </a:r>
            <a:r>
              <a:rPr lang="en-US" sz="1200"/>
              <a:t> - </a:t>
            </a:r>
            <a:r>
              <a:rPr lang="ro-RO" sz="1200"/>
              <a:t>(µg/mc) în județul Brăila în perioada 2012 – 2016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title>
    <c:plotArea>
      <c:layout/>
      <c:lineChart>
        <c:grouping val="stacked"/>
        <c:ser>
          <c:idx val="0"/>
          <c:order val="0"/>
          <c:tx>
            <c:strRef>
              <c:f>Sheet1!$B$1</c:f>
              <c:strCache>
                <c:ptCount val="1"/>
                <c:pt idx="0">
                  <c:v>PM10 (concentraţie medie/an)  (µg/mc</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28.07</c:v>
                </c:pt>
                <c:pt idx="1">
                  <c:v>36.15</c:v>
                </c:pt>
                <c:pt idx="2">
                  <c:v>46.03</c:v>
                </c:pt>
                <c:pt idx="3">
                  <c:v>36.68</c:v>
                </c:pt>
                <c:pt idx="4">
                  <c:v>27.93</c:v>
                </c:pt>
              </c:numCache>
            </c:numRef>
          </c:val>
        </c:ser>
        <c:ser>
          <c:idx val="1"/>
          <c:order val="1"/>
          <c:tx>
            <c:strRef>
              <c:f>Sheet1!$C$1</c:f>
              <c:strCache>
                <c:ptCount val="1"/>
                <c:pt idx="0">
                  <c:v>Column1</c:v>
                </c:pt>
              </c:strCache>
            </c:strRef>
          </c:tx>
          <c:cat>
            <c:numRef>
              <c:f>Sheet1!$A$2:$A$6</c:f>
              <c:numCache>
                <c:formatCode>General</c:formatCode>
                <c:ptCount val="5"/>
                <c:pt idx="0">
                  <c:v>2012</c:v>
                </c:pt>
                <c:pt idx="1">
                  <c:v>2013</c:v>
                </c:pt>
                <c:pt idx="2">
                  <c:v>2014</c:v>
                </c:pt>
                <c:pt idx="3">
                  <c:v>2015</c:v>
                </c:pt>
                <c:pt idx="4">
                  <c:v>2016</c:v>
                </c:pt>
              </c:numCache>
            </c:numRef>
          </c:cat>
          <c:val>
            <c:numRef>
              <c:f>Sheet1!$C$2:$C$6</c:f>
            </c:numRef>
          </c:val>
        </c:ser>
        <c:ser>
          <c:idx val="2"/>
          <c:order val="2"/>
          <c:tx>
            <c:strRef>
              <c:f>Sheet1!$D$1</c:f>
              <c:strCache>
                <c:ptCount val="1"/>
                <c:pt idx="0">
                  <c:v>Column2</c:v>
                </c:pt>
              </c:strCache>
            </c:strRef>
          </c:tx>
          <c:cat>
            <c:numRef>
              <c:f>Sheet1!$A$2:$A$6</c:f>
              <c:numCache>
                <c:formatCode>General</c:formatCode>
                <c:ptCount val="5"/>
                <c:pt idx="0">
                  <c:v>2012</c:v>
                </c:pt>
                <c:pt idx="1">
                  <c:v>2013</c:v>
                </c:pt>
                <c:pt idx="2">
                  <c:v>2014</c:v>
                </c:pt>
                <c:pt idx="3">
                  <c:v>2015</c:v>
                </c:pt>
                <c:pt idx="4">
                  <c:v>2016</c:v>
                </c:pt>
              </c:numCache>
            </c:numRef>
          </c:cat>
          <c:val>
            <c:numRef>
              <c:f>Sheet1!$D$2:$D$6</c:f>
            </c:numRef>
          </c:val>
        </c:ser>
        <c:marker val="1"/>
        <c:axId val="170196352"/>
        <c:axId val="171226240"/>
      </c:lineChart>
      <c:catAx>
        <c:axId val="170196352"/>
        <c:scaling>
          <c:orientation val="minMax"/>
        </c:scaling>
        <c:axPos val="b"/>
        <c:numFmt formatCode="General" sourceLinked="1"/>
        <c:tickLblPos val="nextTo"/>
        <c:crossAx val="171226240"/>
        <c:crosses val="autoZero"/>
        <c:auto val="1"/>
        <c:lblAlgn val="ctr"/>
        <c:lblOffset val="100"/>
      </c:catAx>
      <c:valAx>
        <c:axId val="171226240"/>
        <c:scaling>
          <c:orientation val="minMax"/>
        </c:scaling>
        <c:axPos val="l"/>
        <c:majorGridlines/>
        <c:numFmt formatCode="General" sourceLinked="1"/>
        <c:tickLblPos val="nextTo"/>
        <c:crossAx val="170196352"/>
        <c:crosses val="autoZero"/>
        <c:crossBetween val="between"/>
      </c:valAx>
      <c:spPr>
        <a:solidFill>
          <a:schemeClr val="accent4">
            <a:lumMod val="40000"/>
            <a:lumOff val="60000"/>
          </a:schemeClr>
        </a:solidFill>
      </c:spPr>
    </c:plotArea>
    <c:legend>
      <c:legendPos val="r"/>
    </c:legend>
    <c:plotVisOnly val="1"/>
  </c:chart>
  <c:spPr>
    <a:solidFill>
      <a:schemeClr val="accent4">
        <a:lumMod val="20000"/>
        <a:lumOff val="80000"/>
      </a:schemeClr>
    </a:solidFill>
  </c:spPr>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o-RO"/>
  <c:style val="26"/>
  <c:clrMapOvr bg1="lt1" tx1="dk1" bg2="lt2" tx2="dk2" accent1="accent1" accent2="accent2" accent3="accent3" accent4="accent4" accent5="accent5" accent6="accent6" hlink="hlink" folHlink="folHlink"/>
  <c:chart>
    <c:title>
      <c:tx>
        <c:rich>
          <a:bodyPr rot="0"/>
          <a:lstStyle/>
          <a:p>
            <a:pPr algn="ctr" rtl="0">
              <a:defRPr/>
            </a:pPr>
            <a:r>
              <a:rPr lang="ro-RO"/>
              <a:t>Evoluția</a:t>
            </a:r>
            <a:r>
              <a:rPr lang="ro-RO" baseline="0"/>
              <a:t> zgomotului în parcuri, zone de recreere și odihnă</a:t>
            </a:r>
            <a:endParaRPr lang="ro-RO"/>
          </a:p>
        </c:rich>
      </c:tx>
      <c:spPr>
        <a:ln>
          <a:noFill/>
        </a:ln>
      </c:spPr>
    </c:title>
    <c:plotArea>
      <c:layout>
        <c:manualLayout>
          <c:layoutTarget val="inner"/>
          <c:xMode val="edge"/>
          <c:yMode val="edge"/>
          <c:x val="0.16814659635435492"/>
          <c:y val="0.21814432989691068"/>
          <c:w val="0.83185340364564564"/>
          <c:h val="0.54355313833192576"/>
        </c:manualLayout>
      </c:layout>
      <c:lineChart>
        <c:grouping val="standard"/>
        <c:ser>
          <c:idx val="0"/>
          <c:order val="0"/>
          <c:tx>
            <c:strRef>
              <c:f>Sheet1!$B$1</c:f>
              <c:strCache>
                <c:ptCount val="1"/>
                <c:pt idx="0">
                  <c:v>media anuală</c:v>
                </c:pt>
              </c:strCache>
            </c:strRef>
          </c:tx>
          <c:spPr>
            <a:ln w="28566">
              <a:solidFill>
                <a:srgbClr val="C00000"/>
              </a:solidFill>
            </a:ln>
          </c:spPr>
          <c:marker>
            <c:symbol val="square"/>
            <c:size val="2"/>
            <c:spPr>
              <a:solidFill>
                <a:srgbClr val="FFFF00"/>
              </a:solidFill>
            </c:spPr>
          </c:marker>
          <c:dLbls>
            <c:dLbl>
              <c:idx val="0"/>
              <c:layout>
                <c:manualLayout>
                  <c:x val="-4.6570583270730735E-2"/>
                  <c:y val="6.4383798616082524E-2"/>
                </c:manualLayout>
              </c:layout>
              <c:dLblPos val="r"/>
              <c:showVal val="1"/>
            </c:dLbl>
            <c:dLbl>
              <c:idx val="1"/>
              <c:layout>
                <c:manualLayout>
                  <c:x val="-3.798132123943871E-2"/>
                  <c:y val="5.7617811978049778E-2"/>
                </c:manualLayout>
              </c:layout>
              <c:dLblPos val="r"/>
              <c:showVal val="1"/>
            </c:dLbl>
            <c:dLbl>
              <c:idx val="2"/>
              <c:layout>
                <c:manualLayout>
                  <c:x val="-4.7114252061248904E-2"/>
                  <c:y val="5.3030303030303434E-2"/>
                </c:manualLayout>
              </c:layout>
              <c:dLblPos val="r"/>
              <c:showVal val="1"/>
            </c:dLbl>
            <c:dLbl>
              <c:idx val="3"/>
              <c:layout>
                <c:manualLayout>
                  <c:x val="-4.5945484729603123E-2"/>
                  <c:y val="5.4099558577905035E-2"/>
                </c:manualLayout>
              </c:layout>
              <c:dLblPos val="r"/>
              <c:showVal val="1"/>
            </c:dLbl>
            <c:dLbl>
              <c:idx val="4"/>
              <c:layout>
                <c:manualLayout>
                  <c:x val="-4.8717991523147347E-2"/>
                  <c:y val="5.3290085898353733E-2"/>
                </c:manualLayout>
              </c:layout>
              <c:dLblPos val="r"/>
              <c:showVal val="1"/>
            </c:dLbl>
            <c:txPr>
              <a:bodyPr/>
              <a:lstStyle/>
              <a:p>
                <a:pPr>
                  <a:defRPr sz="900" b="1" i="0" baseline="0"/>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55.3</c:v>
                </c:pt>
                <c:pt idx="1">
                  <c:v>56.2</c:v>
                </c:pt>
                <c:pt idx="2">
                  <c:v>54.7</c:v>
                </c:pt>
                <c:pt idx="3">
                  <c:v>55.3</c:v>
                </c:pt>
                <c:pt idx="4">
                  <c:v>54.4</c:v>
                </c:pt>
              </c:numCache>
            </c:numRef>
          </c:val>
        </c:ser>
        <c:ser>
          <c:idx val="1"/>
          <c:order val="1"/>
          <c:tx>
            <c:strRef>
              <c:f>Sheet1!$C$1</c:f>
              <c:strCache>
                <c:ptCount val="1"/>
                <c:pt idx="0">
                  <c:v>limita admisă</c:v>
                </c:pt>
              </c:strCache>
            </c:strRef>
          </c:tx>
          <c:spPr>
            <a:ln w="28566">
              <a:solidFill>
                <a:srgbClr val="D47ACE"/>
              </a:solidFill>
            </a:ln>
          </c:spPr>
          <c:marker>
            <c:symbol val="square"/>
            <c:size val="11"/>
            <c:spPr>
              <a:solidFill>
                <a:srgbClr val="FFFF00"/>
              </a:solidFill>
              <a:ln w="6348">
                <a:solidFill>
                  <a:srgbClr val="D47ACE"/>
                </a:solidFill>
              </a:ln>
            </c:spPr>
          </c:marker>
          <c:dPt>
            <c:idx val="0"/>
            <c:marker>
              <c:symbol val="circle"/>
              <c:size val="5"/>
            </c:marker>
          </c:dPt>
          <c:dPt>
            <c:idx val="1"/>
            <c:marker>
              <c:symbol val="circle"/>
              <c:size val="5"/>
            </c:marker>
          </c:dPt>
          <c:dPt>
            <c:idx val="2"/>
            <c:marker>
              <c:symbol val="circle"/>
              <c:size val="5"/>
            </c:marker>
          </c:dPt>
          <c:dPt>
            <c:idx val="3"/>
            <c:marker>
              <c:symbol val="circle"/>
              <c:size val="5"/>
            </c:marker>
          </c:dPt>
          <c:dPt>
            <c:idx val="4"/>
            <c:marker>
              <c:symbol val="circle"/>
              <c:size val="5"/>
            </c:marker>
          </c:dPt>
          <c:dLbls>
            <c:dLbl>
              <c:idx val="0"/>
              <c:layout>
                <c:manualLayout>
                  <c:x val="-5.3846153846153912E-2"/>
                  <c:y val="6.684256816182936E-2"/>
                </c:manualLayout>
              </c:layout>
              <c:dLblPos val="r"/>
              <c:showVal val="1"/>
            </c:dLbl>
            <c:dLbl>
              <c:idx val="1"/>
              <c:layout>
                <c:manualLayout>
                  <c:x val="-5.3846153846153912E-2"/>
                  <c:y val="6.3324538258575494E-2"/>
                </c:manualLayout>
              </c:layout>
              <c:dLblPos val="r"/>
              <c:showVal val="1"/>
            </c:dLbl>
            <c:dLbl>
              <c:idx val="2"/>
              <c:layout>
                <c:manualLayout>
                  <c:x val="-5.1282051282051294E-2"/>
                  <c:y val="5.2770448548812812E-2"/>
                </c:manualLayout>
              </c:layout>
              <c:dLblPos val="r"/>
              <c:showVal val="1"/>
            </c:dLbl>
            <c:dLbl>
              <c:idx val="3"/>
              <c:layout>
                <c:manualLayout>
                  <c:x val="-5.6410256410256432E-2"/>
                  <c:y val="6.3324538258575494E-2"/>
                </c:manualLayout>
              </c:layout>
              <c:dLblPos val="r"/>
              <c:showVal val="1"/>
            </c:dLbl>
            <c:dLbl>
              <c:idx val="4"/>
              <c:layout>
                <c:manualLayout>
                  <c:x val="-6.1538461538461924E-2"/>
                  <c:y val="5.6288478452066908E-2"/>
                </c:manualLayout>
              </c:layout>
              <c:dLblPos val="r"/>
              <c:showVal val="1"/>
            </c:dLbl>
            <c:txPr>
              <a:bodyPr/>
              <a:lstStyle/>
              <a:p>
                <a:pPr>
                  <a:defRPr sz="900" b="1" i="0" baseline="0"/>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45</c:v>
                </c:pt>
                <c:pt idx="1">
                  <c:v>45</c:v>
                </c:pt>
                <c:pt idx="2">
                  <c:v>45</c:v>
                </c:pt>
                <c:pt idx="3">
                  <c:v>45</c:v>
                </c:pt>
                <c:pt idx="4">
                  <c:v>45</c:v>
                </c:pt>
              </c:numCache>
            </c:numRef>
          </c:val>
        </c:ser>
        <c:marker val="1"/>
        <c:axId val="171486592"/>
        <c:axId val="171496576"/>
      </c:lineChart>
      <c:catAx>
        <c:axId val="171486592"/>
        <c:scaling>
          <c:orientation val="minMax"/>
        </c:scaling>
        <c:axPos val="b"/>
        <c:numFmt formatCode="General" sourceLinked="1"/>
        <c:majorTickMark val="none"/>
        <c:tickLblPos val="nextTo"/>
        <c:spPr>
          <a:noFill/>
          <a:ln cap="rnd"/>
        </c:spPr>
        <c:txPr>
          <a:bodyPr/>
          <a:lstStyle/>
          <a:p>
            <a:pPr>
              <a:defRPr sz="900" b="1"/>
            </a:pPr>
            <a:endParaRPr lang="ro-RO"/>
          </a:p>
        </c:txPr>
        <c:crossAx val="171496576"/>
        <c:crossesAt val="0"/>
        <c:auto val="1"/>
        <c:lblAlgn val="ctr"/>
        <c:lblOffset val="100"/>
      </c:catAx>
      <c:valAx>
        <c:axId val="171496576"/>
        <c:scaling>
          <c:orientation val="minMax"/>
          <c:max val="57"/>
          <c:min val="42"/>
        </c:scaling>
        <c:axPos val="l"/>
        <c:majorGridlines/>
        <c:minorGridlines>
          <c:spPr>
            <a:ln>
              <a:solidFill>
                <a:sysClr val="windowText" lastClr="000000"/>
              </a:solidFill>
            </a:ln>
          </c:spPr>
        </c:minorGridlines>
        <c:title>
          <c:tx>
            <c:rich>
              <a:bodyPr/>
              <a:lstStyle/>
              <a:p>
                <a:pPr>
                  <a:defRPr sz="1000" b="1" i="0" u="none" strike="noStrike" baseline="0">
                    <a:solidFill>
                      <a:srgbClr val="000000"/>
                    </a:solidFill>
                    <a:latin typeface="Arial"/>
                    <a:ea typeface="Arial"/>
                    <a:cs typeface="Arial"/>
                  </a:defRPr>
                </a:pPr>
                <a:r>
                  <a:rPr lang="ro-RO"/>
                  <a:t>dB(A)</a:t>
                </a:r>
              </a:p>
            </c:rich>
          </c:tx>
        </c:title>
        <c:numFmt formatCode="#,##0.0" sourceLinked="0"/>
        <c:majorTickMark val="none"/>
        <c:tickLblPos val="nextTo"/>
        <c:spPr>
          <a:noFill/>
        </c:spPr>
        <c:txPr>
          <a:bodyPr/>
          <a:lstStyle/>
          <a:p>
            <a:pPr>
              <a:defRPr sz="900" b="1"/>
            </a:pPr>
            <a:endParaRPr lang="ro-RO"/>
          </a:p>
        </c:txPr>
        <c:crossAx val="171486592"/>
        <c:crosses val="autoZero"/>
        <c:crossBetween val="between"/>
        <c:majorUnit val="2"/>
        <c:minorUnit val="1"/>
      </c:valAx>
      <c:spPr>
        <a:solidFill>
          <a:srgbClr val="4F81BD">
            <a:lumMod val="20000"/>
            <a:lumOff val="80000"/>
          </a:srgbClr>
        </a:solidFill>
        <a:ln w="12696">
          <a:solidFill>
            <a:sysClr val="windowText" lastClr="000000"/>
          </a:solidFill>
        </a:ln>
      </c:spPr>
    </c:plotArea>
    <c:legend>
      <c:legendPos val="b"/>
      <c:legendEntry>
        <c:idx val="0"/>
        <c:txPr>
          <a:bodyPr/>
          <a:lstStyle/>
          <a:p>
            <a:pPr>
              <a:defRPr sz="900" b="1" i="0" baseline="0"/>
            </a:pPr>
            <a:endParaRPr lang="ro-RO"/>
          </a:p>
        </c:txPr>
      </c:legendEntry>
      <c:legendEntry>
        <c:idx val="1"/>
        <c:txPr>
          <a:bodyPr/>
          <a:lstStyle/>
          <a:p>
            <a:pPr>
              <a:defRPr sz="900" b="1" i="0" baseline="0"/>
            </a:pPr>
            <a:endParaRPr lang="ro-RO"/>
          </a:p>
        </c:txPr>
      </c:legendEntry>
    </c:legend>
    <c:plotVisOnly val="1"/>
    <c:dispBlanksAs val="gap"/>
  </c:chart>
  <c:spPr>
    <a:solidFill>
      <a:srgbClr val="F79646">
        <a:lumMod val="20000"/>
        <a:lumOff val="80000"/>
      </a:srgbClr>
    </a:solidFill>
  </c:spPr>
  <c:txPr>
    <a:bodyPr/>
    <a:lstStyle/>
    <a:p>
      <a:pPr>
        <a:defRPr sz="1000">
          <a:latin typeface="Arial" pitchFamily="34" charset="0"/>
          <a:cs typeface="Arial" pitchFamily="34" charset="0"/>
        </a:defRPr>
      </a:pPr>
      <a:endParaRPr lang="ro-RO"/>
    </a:p>
  </c:txPr>
  <c:externalData r:id="rId2"/>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o-RO"/>
  <c:style val="26"/>
  <c:clrMapOvr bg1="lt1" tx1="dk1" bg2="lt2" tx2="dk2" accent1="accent1" accent2="accent2" accent3="accent3" accent4="accent4" accent5="accent5" accent6="accent6" hlink="hlink" folHlink="folHlink"/>
  <c:chart>
    <c:title>
      <c:tx>
        <c:rich>
          <a:bodyPr rot="0"/>
          <a:lstStyle/>
          <a:p>
            <a:pPr>
              <a:defRPr sz="1196">
                <a:latin typeface="Arial" pitchFamily="34" charset="0"/>
                <a:cs typeface="Arial" pitchFamily="34" charset="0"/>
              </a:defRPr>
            </a:pPr>
            <a:r>
              <a:rPr lang="ro-RO" sz="1196">
                <a:latin typeface="Arial" pitchFamily="34" charset="0"/>
                <a:cs typeface="Arial" pitchFamily="34" charset="0"/>
              </a:rPr>
              <a:t>Evoluția zgomotului </a:t>
            </a:r>
            <a:r>
              <a:rPr lang="ro-RO" sz="1090" baseline="0">
                <a:latin typeface="Arial" pitchFamily="34" charset="0"/>
                <a:cs typeface="Arial" pitchFamily="34" charset="0"/>
              </a:rPr>
              <a:t>echivalent</a:t>
            </a:r>
            <a:r>
              <a:rPr lang="ro-RO" sz="1196">
                <a:latin typeface="Arial" pitchFamily="34" charset="0"/>
                <a:cs typeface="Arial" pitchFamily="34" charset="0"/>
              </a:rPr>
              <a:t> pentru străzi</a:t>
            </a:r>
            <a:r>
              <a:rPr lang="ro-RO" sz="1196" baseline="0">
                <a:latin typeface="Arial" pitchFamily="34" charset="0"/>
                <a:cs typeface="Arial" pitchFamily="34" charset="0"/>
              </a:rPr>
              <a:t> magistrale</a:t>
            </a:r>
            <a:r>
              <a:rPr lang="ro-RO" sz="1196">
                <a:latin typeface="Arial" pitchFamily="34" charset="0"/>
                <a:cs typeface="Arial" pitchFamily="34" charset="0"/>
              </a:rPr>
              <a:t> 2012-2016</a:t>
            </a:r>
          </a:p>
        </c:rich>
      </c:tx>
    </c:title>
    <c:plotArea>
      <c:layout>
        <c:manualLayout>
          <c:layoutTarget val="inner"/>
          <c:xMode val="edge"/>
          <c:yMode val="edge"/>
          <c:x val="0.13990435599220158"/>
          <c:y val="0.16343443755921391"/>
          <c:w val="0.82829136266223602"/>
          <c:h val="0.63137554551243225"/>
        </c:manualLayout>
      </c:layout>
      <c:lineChart>
        <c:grouping val="standard"/>
        <c:ser>
          <c:idx val="0"/>
          <c:order val="0"/>
          <c:tx>
            <c:strRef>
              <c:f>Sheet1!$B$1</c:f>
              <c:strCache>
                <c:ptCount val="1"/>
                <c:pt idx="0">
                  <c:v>media anuală</c:v>
                </c:pt>
              </c:strCache>
            </c:strRef>
          </c:tx>
          <c:spPr>
            <a:ln w="28493"/>
          </c:spPr>
          <c:marker>
            <c:symbol val="none"/>
          </c:marker>
          <c:dLbls>
            <c:dLbl>
              <c:idx val="0"/>
              <c:layout>
                <c:manualLayout>
                  <c:x val="-2.2105805581642698E-2"/>
                  <c:y val="2.7855689636428612E-3"/>
                </c:manualLayout>
              </c:layout>
              <c:spPr/>
              <c:txPr>
                <a:bodyPr/>
                <a:lstStyle/>
                <a:p>
                  <a:pPr>
                    <a:defRPr/>
                  </a:pPr>
                  <a:endParaRPr lang="ro-RO"/>
                </a:p>
              </c:txPr>
              <c:dLblPos val="r"/>
              <c:showVal val="1"/>
            </c:dLbl>
            <c:dLbl>
              <c:idx val="1"/>
              <c:layout>
                <c:manualLayout>
                  <c:x val="-1.5963013797587751E-2"/>
                  <c:y val="-1.9469163987638201E-3"/>
                </c:manualLayout>
              </c:layout>
              <c:spPr/>
              <c:txPr>
                <a:bodyPr/>
                <a:lstStyle/>
                <a:p>
                  <a:pPr>
                    <a:defRPr/>
                  </a:pPr>
                  <a:endParaRPr lang="ro-RO"/>
                </a:p>
              </c:txPr>
              <c:dLblPos val="r"/>
              <c:showVal val="1"/>
            </c:dLbl>
            <c:dLbl>
              <c:idx val="2"/>
              <c:layout>
                <c:manualLayout>
                  <c:x val="-3.077560259096166E-3"/>
                  <c:y val="-6.5344409268429104E-3"/>
                </c:manualLayout>
              </c:layout>
              <c:spPr/>
              <c:txPr>
                <a:bodyPr/>
                <a:lstStyle/>
                <a:p>
                  <a:pPr>
                    <a:defRPr/>
                  </a:pPr>
                  <a:endParaRPr lang="ro-RO"/>
                </a:p>
              </c:txPr>
              <c:dLblPos val="r"/>
              <c:showVal val="1"/>
            </c:dLbl>
            <c:dLbl>
              <c:idx val="3"/>
              <c:layout>
                <c:manualLayout>
                  <c:x val="-1.9088347901466461E-3"/>
                  <c:y val="-1.5207566509807641E-3"/>
                </c:manualLayout>
              </c:layout>
              <c:spPr/>
              <c:txPr>
                <a:bodyPr/>
                <a:lstStyle/>
                <a:p>
                  <a:pPr>
                    <a:defRPr/>
                  </a:pPr>
                  <a:endParaRPr lang="ro-RO"/>
                </a:p>
              </c:txPr>
              <c:dLblPos val="r"/>
              <c:showVal val="1"/>
            </c:dLbl>
            <c:dLbl>
              <c:idx val="4"/>
              <c:layout>
                <c:manualLayout>
                  <c:x val="-4.87179915231475E-2"/>
                  <c:y val="5.3290085898353684E-2"/>
                </c:manualLayout>
              </c:layout>
              <c:spPr/>
              <c:txPr>
                <a:bodyPr/>
                <a:lstStyle/>
                <a:p>
                  <a:pPr>
                    <a:defRPr/>
                  </a:pPr>
                  <a:endParaRPr lang="ro-RO"/>
                </a:p>
              </c:txPr>
              <c:dLblPos val="r"/>
              <c:showVal val="1"/>
            </c:dLbl>
            <c:showVal val="1"/>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69.2</c:v>
                </c:pt>
                <c:pt idx="1">
                  <c:v>69.7</c:v>
                </c:pt>
                <c:pt idx="2">
                  <c:v>67.599999999999994</c:v>
                </c:pt>
                <c:pt idx="3">
                  <c:v>68.8</c:v>
                </c:pt>
                <c:pt idx="4">
                  <c:v>69.599999999999994</c:v>
                </c:pt>
              </c:numCache>
            </c:numRef>
          </c:val>
        </c:ser>
        <c:ser>
          <c:idx val="1"/>
          <c:order val="1"/>
          <c:tx>
            <c:strRef>
              <c:f>Sheet1!$C$1</c:f>
              <c:strCache>
                <c:ptCount val="1"/>
                <c:pt idx="0">
                  <c:v>limita admisă</c:v>
                </c:pt>
              </c:strCache>
            </c:strRef>
          </c:tx>
          <c:spPr>
            <a:ln w="28493"/>
          </c:spPr>
          <c:marker>
            <c:symbol val="none"/>
          </c:marker>
          <c:dLbls>
            <c:dLbl>
              <c:idx val="0"/>
              <c:spPr/>
              <c:txPr>
                <a:bodyPr/>
                <a:lstStyle/>
                <a:p>
                  <a:pPr>
                    <a:defRPr/>
                  </a:pPr>
                  <a:endParaRPr lang="ro-RO"/>
                </a:p>
              </c:txPr>
              <c:showVal val="1"/>
            </c:dLbl>
            <c:dLbl>
              <c:idx val="1"/>
              <c:spPr/>
              <c:txPr>
                <a:bodyPr/>
                <a:lstStyle/>
                <a:p>
                  <a:pPr>
                    <a:defRPr/>
                  </a:pPr>
                  <a:endParaRPr lang="ro-RO"/>
                </a:p>
              </c:txPr>
              <c:showVal val="1"/>
            </c:dLbl>
            <c:dLbl>
              <c:idx val="2"/>
              <c:spPr/>
              <c:txPr>
                <a:bodyPr/>
                <a:lstStyle/>
                <a:p>
                  <a:pPr>
                    <a:defRPr/>
                  </a:pPr>
                  <a:endParaRPr lang="ro-RO"/>
                </a:p>
              </c:txPr>
              <c:showVal val="1"/>
            </c:dLbl>
            <c:dLbl>
              <c:idx val="3"/>
              <c:spPr/>
              <c:txPr>
                <a:bodyPr/>
                <a:lstStyle/>
                <a:p>
                  <a:pPr>
                    <a:defRPr/>
                  </a:pPr>
                  <a:endParaRPr lang="ro-RO"/>
                </a:p>
              </c:txPr>
              <c:showVal val="1"/>
            </c:dLbl>
            <c:delete val="1"/>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80</c:v>
                </c:pt>
                <c:pt idx="1">
                  <c:v>80</c:v>
                </c:pt>
                <c:pt idx="2">
                  <c:v>80</c:v>
                </c:pt>
                <c:pt idx="3">
                  <c:v>80</c:v>
                </c:pt>
                <c:pt idx="4">
                  <c:v>80</c:v>
                </c:pt>
              </c:numCache>
            </c:numRef>
          </c:val>
        </c:ser>
        <c:marker val="1"/>
        <c:axId val="171449344"/>
        <c:axId val="171455232"/>
      </c:lineChart>
      <c:catAx>
        <c:axId val="171449344"/>
        <c:scaling>
          <c:orientation val="minMax"/>
        </c:scaling>
        <c:axPos val="b"/>
        <c:numFmt formatCode="General" sourceLinked="1"/>
        <c:majorTickMark val="none"/>
        <c:tickLblPos val="nextTo"/>
        <c:txPr>
          <a:bodyPr/>
          <a:lstStyle/>
          <a:p>
            <a:pPr>
              <a:defRPr sz="1196" b="1">
                <a:latin typeface="Arial" pitchFamily="34" charset="0"/>
                <a:cs typeface="Arial" pitchFamily="34" charset="0"/>
              </a:defRPr>
            </a:pPr>
            <a:endParaRPr lang="ro-RO"/>
          </a:p>
        </c:txPr>
        <c:crossAx val="171455232"/>
        <c:crossesAt val="0"/>
        <c:auto val="1"/>
        <c:lblAlgn val="ctr"/>
        <c:lblOffset val="100"/>
      </c:catAx>
      <c:valAx>
        <c:axId val="171455232"/>
        <c:scaling>
          <c:orientation val="minMax"/>
          <c:max val="82"/>
          <c:min val="42"/>
        </c:scaling>
        <c:axPos val="l"/>
        <c:majorGridlines/>
        <c:minorGridlines/>
        <c:title>
          <c:tx>
            <c:rich>
              <a:bodyPr/>
              <a:lstStyle/>
              <a:p>
                <a:pPr>
                  <a:defRPr sz="990" b="1" i="0" u="none" strike="noStrike" baseline="0">
                    <a:solidFill>
                      <a:srgbClr val="000000"/>
                    </a:solidFill>
                    <a:latin typeface="Calibri"/>
                    <a:ea typeface="Calibri"/>
                    <a:cs typeface="Calibri"/>
                  </a:defRPr>
                </a:pPr>
                <a:r>
                  <a:rPr lang="ro-RO"/>
                  <a:t>dB(A)</a:t>
                </a:r>
              </a:p>
            </c:rich>
          </c:tx>
        </c:title>
        <c:numFmt formatCode="#,##0.0" sourceLinked="0"/>
        <c:majorTickMark val="none"/>
        <c:tickLblPos val="nextTo"/>
        <c:txPr>
          <a:bodyPr/>
          <a:lstStyle/>
          <a:p>
            <a:pPr>
              <a:defRPr sz="1090" b="1" baseline="0">
                <a:latin typeface="Arial" pitchFamily="34" charset="0"/>
                <a:cs typeface="Arial" pitchFamily="34" charset="0"/>
              </a:defRPr>
            </a:pPr>
            <a:endParaRPr lang="ro-RO"/>
          </a:p>
        </c:txPr>
        <c:crossAx val="171449344"/>
        <c:crosses val="autoZero"/>
        <c:crossBetween val="between"/>
        <c:majorUnit val="5"/>
        <c:minorUnit val="2"/>
      </c:valAx>
      <c:spPr>
        <a:solidFill>
          <a:srgbClr val="4F81BD">
            <a:lumMod val="20000"/>
            <a:lumOff val="80000"/>
          </a:srgbClr>
        </a:solidFill>
      </c:spPr>
    </c:plotArea>
    <c:legend>
      <c:legendPos val="b"/>
      <c:legendEntry>
        <c:idx val="0"/>
        <c:txPr>
          <a:bodyPr/>
          <a:lstStyle/>
          <a:p>
            <a:pPr>
              <a:defRPr sz="1196">
                <a:latin typeface="Arial" pitchFamily="34" charset="0"/>
                <a:cs typeface="Arial" pitchFamily="34" charset="0"/>
              </a:defRPr>
            </a:pPr>
            <a:endParaRPr lang="ro-RO"/>
          </a:p>
        </c:txPr>
      </c:legendEntry>
      <c:layout>
        <c:manualLayout>
          <c:xMode val="edge"/>
          <c:yMode val="edge"/>
          <c:x val="0.25209017097161918"/>
          <c:y val="0.904998158812236"/>
          <c:w val="0.52336134618686658"/>
          <c:h val="7.1664668782074045E-2"/>
        </c:manualLayout>
      </c:layout>
      <c:txPr>
        <a:bodyPr/>
        <a:lstStyle/>
        <a:p>
          <a:pPr>
            <a:defRPr sz="1196">
              <a:latin typeface="Arial" pitchFamily="34" charset="0"/>
              <a:cs typeface="Arial" pitchFamily="34" charset="0"/>
            </a:defRPr>
          </a:pPr>
          <a:endParaRPr lang="ro-RO"/>
        </a:p>
      </c:txPr>
    </c:legend>
    <c:plotVisOnly val="1"/>
    <c:dispBlanksAs val="gap"/>
  </c:chart>
  <c:spPr>
    <a:solidFill>
      <a:srgbClr val="F79646">
        <a:lumMod val="20000"/>
        <a:lumOff val="80000"/>
      </a:srgbClr>
    </a:solid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21"/>
      <c:hPercent val="42"/>
      <c:rotY val="43"/>
      <c:depthPercent val="50"/>
      <c:rAngAx val="1"/>
    </c:view3D>
    <c:floor>
      <c:spPr>
        <a:solidFill>
          <a:srgbClr val="FFFFCC"/>
        </a:solid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116040955631523"/>
          <c:y val="8.6580086580086743E-2"/>
          <c:w val="0.62116040955631402"/>
          <c:h val="0.65367965367967706"/>
        </c:manualLayout>
      </c:layout>
      <c:bar3DChart>
        <c:barDir val="col"/>
        <c:grouping val="clustered"/>
        <c:ser>
          <c:idx val="0"/>
          <c:order val="0"/>
          <c:tx>
            <c:strRef>
              <c:f>Sheet1!$A$2</c:f>
              <c:strCache>
                <c:ptCount val="1"/>
                <c:pt idx="0">
                  <c:v>Medii noe şi dec 2008</c:v>
                </c:pt>
              </c:strCache>
            </c:strRef>
          </c:tx>
          <c:spPr>
            <a:solidFill>
              <a:srgbClr val="9999FF"/>
            </a:solidFill>
            <a:ln w="12700">
              <a:solidFill>
                <a:srgbClr val="000000"/>
              </a:solidFill>
              <a:prstDash val="solid"/>
            </a:ln>
          </c:spPr>
          <c:cat>
            <c:strRef>
              <c:f>Sheet1!$B$1:$D$1</c:f>
              <c:strCache>
                <c:ptCount val="3"/>
                <c:pt idx="0">
                  <c:v>BR 1</c:v>
                </c:pt>
                <c:pt idx="1">
                  <c:v>BR 3</c:v>
                </c:pt>
                <c:pt idx="2">
                  <c:v>BR 4</c:v>
                </c:pt>
              </c:strCache>
            </c:strRef>
          </c:cat>
          <c:val>
            <c:numRef>
              <c:f>Sheet1!$B$2:$D$2</c:f>
              <c:numCache>
                <c:formatCode>General</c:formatCode>
                <c:ptCount val="3"/>
                <c:pt idx="0">
                  <c:v>9.0000000000000028E-3</c:v>
                </c:pt>
                <c:pt idx="1">
                  <c:v>6.0000000000000114E-3</c:v>
                </c:pt>
                <c:pt idx="2">
                  <c:v>6.1000000000000004E-3</c:v>
                </c:pt>
              </c:numCache>
            </c:numRef>
          </c:val>
        </c:ser>
        <c:ser>
          <c:idx val="1"/>
          <c:order val="1"/>
          <c:tx>
            <c:strRef>
              <c:f>Sheet1!$A$3</c:f>
              <c:strCache>
                <c:ptCount val="1"/>
                <c:pt idx="0">
                  <c:v>Medii anuale 2009</c:v>
                </c:pt>
              </c:strCache>
            </c:strRef>
          </c:tx>
          <c:spPr>
            <a:solidFill>
              <a:srgbClr val="993366"/>
            </a:solidFill>
            <a:ln w="12700">
              <a:solidFill>
                <a:srgbClr val="000000"/>
              </a:solidFill>
              <a:prstDash val="solid"/>
            </a:ln>
          </c:spPr>
          <c:cat>
            <c:strRef>
              <c:f>Sheet1!$B$1:$D$1</c:f>
              <c:strCache>
                <c:ptCount val="3"/>
                <c:pt idx="0">
                  <c:v>BR 1</c:v>
                </c:pt>
                <c:pt idx="1">
                  <c:v>BR 3</c:v>
                </c:pt>
                <c:pt idx="2">
                  <c:v>BR 4</c:v>
                </c:pt>
              </c:strCache>
            </c:strRef>
          </c:cat>
          <c:val>
            <c:numRef>
              <c:f>Sheet1!$B$3:$D$3</c:f>
              <c:numCache>
                <c:formatCode>General</c:formatCode>
                <c:ptCount val="3"/>
                <c:pt idx="0">
                  <c:v>6.6000000000000034E-3</c:v>
                </c:pt>
                <c:pt idx="1">
                  <c:v>6.1000000000000004E-3</c:v>
                </c:pt>
                <c:pt idx="2">
                  <c:v>7.5000000000000899E-3</c:v>
                </c:pt>
              </c:numCache>
            </c:numRef>
          </c:val>
        </c:ser>
        <c:ser>
          <c:idx val="2"/>
          <c:order val="2"/>
          <c:tx>
            <c:strRef>
              <c:f>Sheet1!$A$4</c:f>
              <c:strCache>
                <c:ptCount val="1"/>
                <c:pt idx="0">
                  <c:v>Medii anuale 2010</c:v>
                </c:pt>
              </c:strCache>
            </c:strRef>
          </c:tx>
          <c:spPr>
            <a:solidFill>
              <a:srgbClr val="00FF00"/>
            </a:solidFill>
            <a:ln w="12700">
              <a:solidFill>
                <a:srgbClr val="000000"/>
              </a:solidFill>
              <a:prstDash val="solid"/>
            </a:ln>
          </c:spPr>
          <c:cat>
            <c:strRef>
              <c:f>Sheet1!$B$1:$D$1</c:f>
              <c:strCache>
                <c:ptCount val="3"/>
                <c:pt idx="0">
                  <c:v>BR 1</c:v>
                </c:pt>
                <c:pt idx="1">
                  <c:v>BR 3</c:v>
                </c:pt>
                <c:pt idx="2">
                  <c:v>BR 4</c:v>
                </c:pt>
              </c:strCache>
            </c:strRef>
          </c:cat>
          <c:val>
            <c:numRef>
              <c:f>Sheet1!$B$4:$D$4</c:f>
              <c:numCache>
                <c:formatCode>General</c:formatCode>
                <c:ptCount val="3"/>
                <c:pt idx="0">
                  <c:v>8.5000000000000006E-3</c:v>
                </c:pt>
                <c:pt idx="1">
                  <c:v>5.3000000000000104E-3</c:v>
                </c:pt>
                <c:pt idx="2">
                  <c:v>5.1999999999999998E-3</c:v>
                </c:pt>
              </c:numCache>
            </c:numRef>
          </c:val>
        </c:ser>
        <c:gapWidth val="300"/>
        <c:gapDepth val="100"/>
        <c:shape val="box"/>
        <c:axId val="71465984"/>
        <c:axId val="71480064"/>
        <c:axId val="0"/>
      </c:bar3DChart>
      <c:catAx>
        <c:axId val="7146598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71480064"/>
        <c:crosses val="autoZero"/>
        <c:auto val="1"/>
        <c:lblAlgn val="ctr"/>
        <c:lblOffset val="100"/>
        <c:tickLblSkip val="1"/>
        <c:tickMarkSkip val="1"/>
      </c:catAx>
      <c:valAx>
        <c:axId val="71480064"/>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ro-RO"/>
                  <a:t>micrograme/mc</a:t>
                </a:r>
              </a:p>
            </c:rich>
          </c:tx>
          <c:layout>
            <c:manualLayout>
              <c:xMode val="edge"/>
              <c:yMode val="edge"/>
              <c:x val="1.4079844297537681E-2"/>
              <c:y val="0.2294373035667287"/>
            </c:manualLayout>
          </c:layout>
          <c:spPr>
            <a:noFill/>
            <a:ln w="25399">
              <a:noFill/>
            </a:ln>
          </c:spPr>
        </c:title>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71465984"/>
        <c:crosses val="autoZero"/>
        <c:crossBetween val="between"/>
      </c:valAx>
      <c:spPr>
        <a:noFill/>
        <a:ln w="25399">
          <a:noFill/>
        </a:ln>
      </c:spPr>
    </c:plotArea>
    <c:legend>
      <c:legendPos val="r"/>
      <c:layout>
        <c:manualLayout>
          <c:xMode val="edge"/>
          <c:yMode val="edge"/>
          <c:x val="0.76109215017064868"/>
          <c:y val="0.33333333333333331"/>
          <c:w val="0.23037542662116042"/>
          <c:h val="0.25108225108225618"/>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ro-RO"/>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o-RO"/>
  <c:style val="26"/>
  <c:clrMapOvr bg1="lt1" tx1="dk1" bg2="lt2" tx2="dk2" accent1="accent1" accent2="accent2" accent3="accent3" accent4="accent4" accent5="accent5" accent6="accent6" hlink="hlink" folHlink="folHlink"/>
  <c:chart>
    <c:title>
      <c:tx>
        <c:rich>
          <a:bodyPr rot="0"/>
          <a:lstStyle/>
          <a:p>
            <a:pPr>
              <a:defRPr sz="1198">
                <a:latin typeface="Arial" pitchFamily="34" charset="0"/>
                <a:cs typeface="Arial" pitchFamily="34" charset="0"/>
              </a:defRPr>
            </a:pPr>
            <a:r>
              <a:rPr lang="ro-RO" sz="1198">
                <a:latin typeface="Arial" pitchFamily="34" charset="0"/>
                <a:cs typeface="Arial" pitchFamily="34" charset="0"/>
              </a:rPr>
              <a:t>Evoluția zgomotului echivalent pentru piețe,spații comerciale, restaurante în aer liber - 2012- 2016</a:t>
            </a:r>
          </a:p>
        </c:rich>
      </c:tx>
    </c:title>
    <c:plotArea>
      <c:layout>
        <c:manualLayout>
          <c:layoutTarget val="inner"/>
          <c:xMode val="edge"/>
          <c:yMode val="edge"/>
          <c:x val="0.14978173522702429"/>
          <c:y val="0.17053192831011538"/>
          <c:w val="0.82829136266223602"/>
          <c:h val="0.63137554551243225"/>
        </c:manualLayout>
      </c:layout>
      <c:barChart>
        <c:barDir val="col"/>
        <c:grouping val="clustered"/>
        <c:ser>
          <c:idx val="0"/>
          <c:order val="0"/>
          <c:tx>
            <c:strRef>
              <c:f>Sheet1!$B$1</c:f>
              <c:strCache>
                <c:ptCount val="1"/>
                <c:pt idx="0">
                  <c:v>media anuală</c:v>
                </c:pt>
              </c:strCache>
            </c:strRef>
          </c:tx>
          <c:spPr>
            <a:ln w="28518"/>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62.1</c:v>
                </c:pt>
                <c:pt idx="1">
                  <c:v>63.4</c:v>
                </c:pt>
                <c:pt idx="2">
                  <c:v>64.2</c:v>
                </c:pt>
                <c:pt idx="3">
                  <c:v>62.3</c:v>
                </c:pt>
                <c:pt idx="4">
                  <c:v>60.9</c:v>
                </c:pt>
              </c:numCache>
            </c:numRef>
          </c:val>
        </c:ser>
        <c:ser>
          <c:idx val="1"/>
          <c:order val="1"/>
          <c:tx>
            <c:strRef>
              <c:f>Sheet1!$C$1</c:f>
              <c:strCache>
                <c:ptCount val="1"/>
                <c:pt idx="0">
                  <c:v>limita admisă</c:v>
                </c:pt>
              </c:strCache>
            </c:strRef>
          </c:tx>
          <c:spPr>
            <a:ln w="28518"/>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65</c:v>
                </c:pt>
                <c:pt idx="1">
                  <c:v>65</c:v>
                </c:pt>
                <c:pt idx="2">
                  <c:v>65</c:v>
                </c:pt>
                <c:pt idx="3">
                  <c:v>65</c:v>
                </c:pt>
                <c:pt idx="4">
                  <c:v>65</c:v>
                </c:pt>
              </c:numCache>
            </c:numRef>
          </c:val>
        </c:ser>
        <c:axId val="171931520"/>
        <c:axId val="171933056"/>
      </c:barChart>
      <c:catAx>
        <c:axId val="171931520"/>
        <c:scaling>
          <c:orientation val="minMax"/>
        </c:scaling>
        <c:axPos val="b"/>
        <c:numFmt formatCode="General" sourceLinked="1"/>
        <c:majorTickMark val="none"/>
        <c:tickLblPos val="nextTo"/>
        <c:txPr>
          <a:bodyPr/>
          <a:lstStyle/>
          <a:p>
            <a:pPr>
              <a:defRPr sz="1198" b="1">
                <a:latin typeface="Arial" pitchFamily="34" charset="0"/>
                <a:cs typeface="Arial" pitchFamily="34" charset="0"/>
              </a:defRPr>
            </a:pPr>
            <a:endParaRPr lang="ro-RO"/>
          </a:p>
        </c:txPr>
        <c:crossAx val="171933056"/>
        <c:crossesAt val="0"/>
        <c:auto val="1"/>
        <c:lblAlgn val="ctr"/>
        <c:lblOffset val="100"/>
      </c:catAx>
      <c:valAx>
        <c:axId val="171933056"/>
        <c:scaling>
          <c:orientation val="minMax"/>
          <c:max val="82"/>
          <c:min val="42"/>
        </c:scaling>
        <c:axPos val="l"/>
        <c:majorGridlines/>
        <c:minorGridlines/>
        <c:title>
          <c:tx>
            <c:rich>
              <a:bodyPr/>
              <a:lstStyle/>
              <a:p>
                <a:pPr>
                  <a:defRPr sz="995" b="1" i="0" u="none" strike="noStrike" baseline="0">
                    <a:solidFill>
                      <a:srgbClr val="000000"/>
                    </a:solidFill>
                    <a:latin typeface="Calibri"/>
                    <a:ea typeface="Calibri"/>
                    <a:cs typeface="Calibri"/>
                  </a:defRPr>
                </a:pPr>
                <a:r>
                  <a:rPr lang="ro-RO"/>
                  <a:t>dB(A)</a:t>
                </a:r>
              </a:p>
            </c:rich>
          </c:tx>
        </c:title>
        <c:numFmt formatCode="#,##0.0" sourceLinked="0"/>
        <c:majorTickMark val="none"/>
        <c:tickLblPos val="nextTo"/>
        <c:txPr>
          <a:bodyPr/>
          <a:lstStyle/>
          <a:p>
            <a:pPr>
              <a:defRPr sz="1100" b="1">
                <a:latin typeface="Arial" pitchFamily="34" charset="0"/>
                <a:cs typeface="Arial" pitchFamily="34" charset="0"/>
              </a:defRPr>
            </a:pPr>
            <a:endParaRPr lang="ro-RO"/>
          </a:p>
        </c:txPr>
        <c:crossAx val="171931520"/>
        <c:crosses val="autoZero"/>
        <c:crossBetween val="between"/>
        <c:majorUnit val="5"/>
        <c:minorUnit val="2"/>
      </c:valAx>
      <c:spPr>
        <a:solidFill>
          <a:srgbClr val="4BACC6">
            <a:lumMod val="20000"/>
            <a:lumOff val="80000"/>
          </a:srgbClr>
        </a:solidFill>
      </c:spPr>
    </c:plotArea>
    <c:legend>
      <c:legendPos val="b"/>
      <c:legendEntry>
        <c:idx val="0"/>
        <c:txPr>
          <a:bodyPr/>
          <a:lstStyle/>
          <a:p>
            <a:pPr>
              <a:defRPr sz="1198">
                <a:latin typeface="Arial" pitchFamily="34" charset="0"/>
                <a:cs typeface="Arial" pitchFamily="34" charset="0"/>
              </a:defRPr>
            </a:pPr>
            <a:endParaRPr lang="ro-RO"/>
          </a:p>
        </c:txPr>
      </c:legendEntry>
      <c:layout>
        <c:manualLayout>
          <c:xMode val="edge"/>
          <c:yMode val="edge"/>
          <c:x val="0.25209013024315324"/>
          <c:y val="0.90499846825140562"/>
          <c:w val="0.49171257366414312"/>
          <c:h val="7.8496071271848336E-2"/>
        </c:manualLayout>
      </c:layout>
      <c:txPr>
        <a:bodyPr/>
        <a:lstStyle/>
        <a:p>
          <a:pPr>
            <a:defRPr sz="1198">
              <a:latin typeface="Arial" pitchFamily="34" charset="0"/>
              <a:cs typeface="Arial" pitchFamily="34" charset="0"/>
            </a:defRPr>
          </a:pPr>
          <a:endParaRPr lang="ro-RO"/>
        </a:p>
      </c:txPr>
    </c:legend>
    <c:plotVisOnly val="1"/>
    <c:dispBlanksAs val="gap"/>
  </c:chart>
  <c:spPr>
    <a:solidFill>
      <a:srgbClr val="F79646">
        <a:lumMod val="20000"/>
        <a:lumOff val="80000"/>
      </a:srgbClr>
    </a:solidFill>
  </c:sp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c:v>
                </c:pt>
              </c:strCache>
            </c:strRef>
          </c:tx>
          <c:spPr>
            <a:solidFill>
              <a:srgbClr val="00B05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471.46</c:v>
                </c:pt>
                <c:pt idx="1">
                  <c:v>471.46</c:v>
                </c:pt>
                <c:pt idx="2">
                  <c:v>471.46</c:v>
                </c:pt>
                <c:pt idx="3">
                  <c:v>471.46</c:v>
                </c:pt>
                <c:pt idx="4">
                  <c:v>471.46</c:v>
                </c:pt>
              </c:numCache>
            </c:numRef>
          </c:val>
        </c:ser>
        <c:ser>
          <c:idx val="1"/>
          <c:order val="1"/>
          <c:tx>
            <c:strRef>
              <c:f>Sheet1!$C$1</c:f>
              <c:strCache>
                <c:ptCount val="1"/>
                <c:pt idx="0">
                  <c:v>Suprafață intravilan</c:v>
                </c:pt>
              </c:strCache>
            </c:strRef>
          </c:tx>
          <c:spPr>
            <a:solidFill>
              <a:srgbClr val="FFFF00"/>
            </a:solidFill>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4201.41</c:v>
                </c:pt>
                <c:pt idx="1">
                  <c:v>4201.41</c:v>
                </c:pt>
                <c:pt idx="2">
                  <c:v>4201.41</c:v>
                </c:pt>
                <c:pt idx="3">
                  <c:v>4201.41</c:v>
                </c:pt>
                <c:pt idx="4">
                  <c:v>4201.41</c:v>
                </c:pt>
              </c:numCache>
            </c:numRef>
          </c:val>
        </c:ser>
        <c:shape val="box"/>
        <c:axId val="171955328"/>
        <c:axId val="171956864"/>
        <c:axId val="0"/>
      </c:bar3DChart>
      <c:catAx>
        <c:axId val="171955328"/>
        <c:scaling>
          <c:orientation val="minMax"/>
        </c:scaling>
        <c:axPos val="b"/>
        <c:numFmt formatCode="General" sourceLinked="1"/>
        <c:tickLblPos val="nextTo"/>
        <c:txPr>
          <a:bodyPr/>
          <a:lstStyle/>
          <a:p>
            <a:pPr>
              <a:defRPr lang="ro-RO"/>
            </a:pPr>
            <a:endParaRPr lang="ro-RO"/>
          </a:p>
        </c:txPr>
        <c:crossAx val="171956864"/>
        <c:crosses val="autoZero"/>
        <c:auto val="1"/>
        <c:lblAlgn val="ctr"/>
        <c:lblOffset val="100"/>
      </c:catAx>
      <c:valAx>
        <c:axId val="171956864"/>
        <c:scaling>
          <c:orientation val="minMax"/>
        </c:scaling>
        <c:axPos val="l"/>
        <c:majorGridlines/>
        <c:numFmt formatCode="General" sourceLinked="1"/>
        <c:tickLblPos val="nextTo"/>
        <c:txPr>
          <a:bodyPr/>
          <a:lstStyle/>
          <a:p>
            <a:pPr>
              <a:defRPr lang="ro-RO"/>
            </a:pPr>
            <a:endParaRPr lang="ro-RO"/>
          </a:p>
        </c:txPr>
        <c:crossAx val="171955328"/>
        <c:crosses val="autoZero"/>
        <c:crossBetween val="between"/>
      </c:valAx>
      <c:spPr>
        <a:noFill/>
        <a:ln w="25391">
          <a:noFill/>
        </a:ln>
      </c:spPr>
    </c:plotArea>
    <c:legend>
      <c:legendPos val="r"/>
      <c:txPr>
        <a:bodyPr/>
        <a:lstStyle/>
        <a:p>
          <a:pPr>
            <a:defRPr lang="ro-RO"/>
          </a:pPr>
          <a:endParaRPr lang="ro-RO"/>
        </a:p>
      </c:txPr>
    </c:legend>
    <c:plotVisOnly val="1"/>
    <c:dispBlanksAs val="gap"/>
  </c:chart>
  <c:spPr>
    <a:solidFill>
      <a:srgbClr val="F79646">
        <a:lumMod val="20000"/>
        <a:lumOff val="80000"/>
      </a:srgbClr>
    </a:solidFill>
  </c:sp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clustered"/>
        <c:ser>
          <c:idx val="0"/>
          <c:order val="0"/>
          <c:tx>
            <c:strRef>
              <c:f>Sheet1!$B$1</c:f>
              <c:strCache>
                <c:ptCount val="1"/>
                <c:pt idx="0">
                  <c:v>Suprafata spatiu verde pe cap de locuitor din mediul urban, tendinta 2011-2015</c:v>
                </c:pt>
              </c:strCache>
            </c:strRef>
          </c:tx>
          <c:spPr>
            <a:solidFill>
              <a:srgbClr val="00B05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26.14</c:v>
                </c:pt>
                <c:pt idx="1">
                  <c:v>26.14</c:v>
                </c:pt>
                <c:pt idx="2">
                  <c:v>26.14</c:v>
                </c:pt>
                <c:pt idx="3">
                  <c:v>26.14</c:v>
                </c:pt>
                <c:pt idx="4">
                  <c:v>26.14</c:v>
                </c:pt>
              </c:numCache>
            </c:numRef>
          </c:val>
        </c:ser>
        <c:shape val="box"/>
        <c:axId val="171690240"/>
        <c:axId val="171696128"/>
        <c:axId val="0"/>
      </c:bar3DChart>
      <c:catAx>
        <c:axId val="171690240"/>
        <c:scaling>
          <c:orientation val="minMax"/>
        </c:scaling>
        <c:axPos val="b"/>
        <c:numFmt formatCode="General" sourceLinked="1"/>
        <c:tickLblPos val="nextTo"/>
        <c:txPr>
          <a:bodyPr/>
          <a:lstStyle/>
          <a:p>
            <a:pPr>
              <a:defRPr lang="ro-RO"/>
            </a:pPr>
            <a:endParaRPr lang="ro-RO"/>
          </a:p>
        </c:txPr>
        <c:crossAx val="171696128"/>
        <c:crosses val="autoZero"/>
        <c:auto val="1"/>
        <c:lblAlgn val="ctr"/>
        <c:lblOffset val="100"/>
      </c:catAx>
      <c:valAx>
        <c:axId val="171696128"/>
        <c:scaling>
          <c:orientation val="minMax"/>
        </c:scaling>
        <c:axPos val="l"/>
        <c:majorGridlines/>
        <c:numFmt formatCode="General" sourceLinked="1"/>
        <c:tickLblPos val="nextTo"/>
        <c:txPr>
          <a:bodyPr/>
          <a:lstStyle/>
          <a:p>
            <a:pPr>
              <a:defRPr lang="ro-RO"/>
            </a:pPr>
            <a:endParaRPr lang="ro-RO"/>
          </a:p>
        </c:txPr>
        <c:crossAx val="171690240"/>
        <c:crosses val="autoZero"/>
        <c:crossBetween val="between"/>
      </c:valAx>
      <c:spPr>
        <a:noFill/>
        <a:ln w="25372">
          <a:noFill/>
        </a:ln>
      </c:spPr>
    </c:plotArea>
    <c:legend>
      <c:legendPos val="r"/>
      <c:txPr>
        <a:bodyPr/>
        <a:lstStyle/>
        <a:p>
          <a:pPr>
            <a:defRPr lang="ro-RO"/>
          </a:pPr>
          <a:endParaRPr lang="ro-RO"/>
        </a:p>
      </c:txPr>
    </c:legend>
    <c:plotVisOnly val="1"/>
    <c:dispBlanksAs val="gap"/>
  </c:chart>
  <c:spPr>
    <a:solidFill>
      <a:srgbClr val="F79646">
        <a:lumMod val="20000"/>
        <a:lumOff val="80000"/>
      </a:srgbClr>
    </a:solidFill>
  </c:spPr>
  <c:externalData r:id="rId2"/>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37.15</c:v>
                </c:pt>
                <c:pt idx="1">
                  <c:v>37.15</c:v>
                </c:pt>
                <c:pt idx="2">
                  <c:v>38.28</c:v>
                </c:pt>
                <c:pt idx="3">
                  <c:v>38.28</c:v>
                </c:pt>
                <c:pt idx="4">
                  <c:v>38.28</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1092</c:v>
                </c:pt>
                <c:pt idx="1">
                  <c:v>1092</c:v>
                </c:pt>
                <c:pt idx="2">
                  <c:v>1092</c:v>
                </c:pt>
                <c:pt idx="3">
                  <c:v>1092</c:v>
                </c:pt>
                <c:pt idx="4">
                  <c:v>1092</c:v>
                </c:pt>
              </c:numCache>
            </c:numRef>
          </c:val>
        </c:ser>
        <c:shape val="box"/>
        <c:axId val="172560768"/>
        <c:axId val="172562304"/>
        <c:axId val="0"/>
      </c:bar3DChart>
      <c:catAx>
        <c:axId val="172560768"/>
        <c:scaling>
          <c:orientation val="minMax"/>
        </c:scaling>
        <c:axPos val="b"/>
        <c:numFmt formatCode="General" sourceLinked="1"/>
        <c:tickLblPos val="nextTo"/>
        <c:txPr>
          <a:bodyPr/>
          <a:lstStyle/>
          <a:p>
            <a:pPr>
              <a:defRPr lang="ro-RO"/>
            </a:pPr>
            <a:endParaRPr lang="ro-RO"/>
          </a:p>
        </c:txPr>
        <c:crossAx val="172562304"/>
        <c:crosses val="autoZero"/>
        <c:auto val="1"/>
        <c:lblAlgn val="ctr"/>
        <c:lblOffset val="100"/>
      </c:catAx>
      <c:valAx>
        <c:axId val="172562304"/>
        <c:scaling>
          <c:orientation val="minMax"/>
        </c:scaling>
        <c:axPos val="l"/>
        <c:majorGridlines/>
        <c:numFmt formatCode="General" sourceLinked="1"/>
        <c:tickLblPos val="nextTo"/>
        <c:txPr>
          <a:bodyPr/>
          <a:lstStyle/>
          <a:p>
            <a:pPr>
              <a:defRPr lang="ro-RO"/>
            </a:pPr>
            <a:endParaRPr lang="ro-RO"/>
          </a:p>
        </c:txPr>
        <c:crossAx val="172560768"/>
        <c:crosses val="autoZero"/>
        <c:crossBetween val="between"/>
      </c:valAx>
      <c:spPr>
        <a:noFill/>
        <a:ln w="25409">
          <a:noFill/>
        </a:ln>
      </c:spPr>
    </c:plotArea>
    <c:legend>
      <c:legendPos val="r"/>
      <c:txPr>
        <a:bodyPr/>
        <a:lstStyle/>
        <a:p>
          <a:pPr>
            <a:defRPr lang="ro-RO"/>
          </a:pPr>
          <a:endParaRPr lang="ro-RO"/>
        </a:p>
      </c:txPr>
    </c:legend>
    <c:plotVisOnly val="1"/>
    <c:dispBlanksAs val="gap"/>
  </c:chart>
  <c:spPr>
    <a:solidFill>
      <a:srgbClr val="4BACC6">
        <a:lumMod val="20000"/>
        <a:lumOff val="80000"/>
      </a:srgbClr>
    </a:solidFill>
  </c:spPr>
  <c:externalData r:id="rId2"/>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Sheet1!$B$2</c:f>
              <c:strCache>
                <c:ptCount val="1"/>
                <c:pt idx="0">
                  <c:v>Suprafața spațiu verde m.p./pe cap de locuitor din mediul urban, tendința 2012-2016</c:v>
                </c:pt>
              </c:strCache>
            </c:strRef>
          </c:tx>
          <c:spPr>
            <a:solidFill>
              <a:srgbClr val="00B050"/>
            </a:solidFill>
          </c:spPr>
          <c:cat>
            <c:numRef>
              <c:f>Sheet1!$A$3:$A$7</c:f>
              <c:numCache>
                <c:formatCode>General</c:formatCode>
                <c:ptCount val="5"/>
                <c:pt idx="0">
                  <c:v>2012</c:v>
                </c:pt>
                <c:pt idx="1">
                  <c:v>2013</c:v>
                </c:pt>
                <c:pt idx="2">
                  <c:v>2014</c:v>
                </c:pt>
                <c:pt idx="3">
                  <c:v>2015</c:v>
                </c:pt>
                <c:pt idx="4">
                  <c:v>2016</c:v>
                </c:pt>
              </c:numCache>
            </c:numRef>
          </c:cat>
          <c:val>
            <c:numRef>
              <c:f>Sheet1!$B$3:$B$7</c:f>
              <c:numCache>
                <c:formatCode>General</c:formatCode>
                <c:ptCount val="5"/>
                <c:pt idx="0">
                  <c:v>35.92</c:v>
                </c:pt>
                <c:pt idx="1">
                  <c:v>35.92</c:v>
                </c:pt>
                <c:pt idx="2">
                  <c:v>37.01</c:v>
                </c:pt>
                <c:pt idx="3">
                  <c:v>37.01</c:v>
                </c:pt>
                <c:pt idx="4">
                  <c:v>37.01</c:v>
                </c:pt>
              </c:numCache>
            </c:numRef>
          </c:val>
        </c:ser>
        <c:shape val="box"/>
        <c:axId val="172103168"/>
        <c:axId val="172104704"/>
        <c:axId val="0"/>
      </c:bar3DChart>
      <c:catAx>
        <c:axId val="172103168"/>
        <c:scaling>
          <c:orientation val="minMax"/>
        </c:scaling>
        <c:axPos val="b"/>
        <c:numFmt formatCode="General" sourceLinked="1"/>
        <c:tickLblPos val="nextTo"/>
        <c:txPr>
          <a:bodyPr/>
          <a:lstStyle/>
          <a:p>
            <a:pPr>
              <a:defRPr lang="ro-RO"/>
            </a:pPr>
            <a:endParaRPr lang="ro-RO"/>
          </a:p>
        </c:txPr>
        <c:crossAx val="172104704"/>
        <c:crosses val="autoZero"/>
        <c:auto val="1"/>
        <c:lblAlgn val="ctr"/>
        <c:lblOffset val="100"/>
      </c:catAx>
      <c:valAx>
        <c:axId val="172104704"/>
        <c:scaling>
          <c:orientation val="minMax"/>
        </c:scaling>
        <c:axPos val="l"/>
        <c:majorGridlines/>
        <c:numFmt formatCode="General" sourceLinked="1"/>
        <c:tickLblPos val="nextTo"/>
        <c:txPr>
          <a:bodyPr/>
          <a:lstStyle/>
          <a:p>
            <a:pPr>
              <a:defRPr lang="ro-RO"/>
            </a:pPr>
            <a:endParaRPr lang="ro-RO"/>
          </a:p>
        </c:txPr>
        <c:crossAx val="172103168"/>
        <c:crosses val="autoZero"/>
        <c:crossBetween val="between"/>
      </c:valAx>
      <c:spPr>
        <a:noFill/>
        <a:ln w="25413">
          <a:noFill/>
        </a:ln>
      </c:spPr>
    </c:plotArea>
    <c:legend>
      <c:legendPos val="r"/>
      <c:txPr>
        <a:bodyPr/>
        <a:lstStyle/>
        <a:p>
          <a:pPr>
            <a:defRPr lang="ro-RO"/>
          </a:pPr>
          <a:endParaRPr lang="ro-RO"/>
        </a:p>
      </c:txPr>
    </c:legend>
    <c:plotVisOnly val="1"/>
    <c:dispBlanksAs val="gap"/>
  </c:chart>
  <c:spPr>
    <a:solidFill>
      <a:srgbClr val="FFFF00"/>
    </a:solidFill>
  </c:spPr>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18.07</c:v>
                </c:pt>
                <c:pt idx="1">
                  <c:v>18.07</c:v>
                </c:pt>
                <c:pt idx="2">
                  <c:v>18.07</c:v>
                </c:pt>
                <c:pt idx="3">
                  <c:v>18.07</c:v>
                </c:pt>
                <c:pt idx="4">
                  <c:v>18.07</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860.24</c:v>
                </c:pt>
                <c:pt idx="1">
                  <c:v>860.24</c:v>
                </c:pt>
                <c:pt idx="2">
                  <c:v>860.24</c:v>
                </c:pt>
                <c:pt idx="3">
                  <c:v>860.24</c:v>
                </c:pt>
                <c:pt idx="4">
                  <c:v>860.24</c:v>
                </c:pt>
              </c:numCache>
            </c:numRef>
          </c:val>
        </c:ser>
        <c:shape val="box"/>
        <c:axId val="172588416"/>
        <c:axId val="172766336"/>
        <c:axId val="0"/>
      </c:bar3DChart>
      <c:catAx>
        <c:axId val="172588416"/>
        <c:scaling>
          <c:orientation val="minMax"/>
        </c:scaling>
        <c:axPos val="b"/>
        <c:numFmt formatCode="General" sourceLinked="1"/>
        <c:tickLblPos val="nextTo"/>
        <c:txPr>
          <a:bodyPr/>
          <a:lstStyle/>
          <a:p>
            <a:pPr>
              <a:defRPr lang="ro-RO"/>
            </a:pPr>
            <a:endParaRPr lang="ro-RO"/>
          </a:p>
        </c:txPr>
        <c:crossAx val="172766336"/>
        <c:crosses val="autoZero"/>
        <c:auto val="1"/>
        <c:lblAlgn val="ctr"/>
        <c:lblOffset val="100"/>
      </c:catAx>
      <c:valAx>
        <c:axId val="172766336"/>
        <c:scaling>
          <c:orientation val="minMax"/>
        </c:scaling>
        <c:axPos val="l"/>
        <c:majorGridlines/>
        <c:numFmt formatCode="General" sourceLinked="1"/>
        <c:tickLblPos val="nextTo"/>
        <c:txPr>
          <a:bodyPr/>
          <a:lstStyle/>
          <a:p>
            <a:pPr>
              <a:defRPr lang="ro-RO"/>
            </a:pPr>
            <a:endParaRPr lang="ro-RO"/>
          </a:p>
        </c:txPr>
        <c:crossAx val="172588416"/>
        <c:crosses val="autoZero"/>
        <c:crossBetween val="between"/>
      </c:valAx>
      <c:spPr>
        <a:noFill/>
        <a:ln w="25413">
          <a:noFill/>
        </a:ln>
      </c:spPr>
    </c:plotArea>
    <c:legend>
      <c:legendPos val="r"/>
      <c:txPr>
        <a:bodyPr/>
        <a:lstStyle/>
        <a:p>
          <a:pPr>
            <a:defRPr lang="ro-RO"/>
          </a:pPr>
          <a:endParaRPr lang="ro-RO"/>
        </a:p>
      </c:txPr>
    </c:legend>
    <c:plotVisOnly val="1"/>
    <c:dispBlanksAs val="gap"/>
  </c:chart>
  <c:spPr>
    <a:solidFill>
      <a:srgbClr val="C0504D">
        <a:lumMod val="20000"/>
        <a:lumOff val="80000"/>
      </a:srgbClr>
    </a:solidFill>
  </c:spPr>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2012-2016</c:v>
                </c:pt>
              </c:strCache>
            </c:strRef>
          </c:tx>
          <c:spPr>
            <a:solidFill>
              <a:srgbClr val="00B05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27.67</c:v>
                </c:pt>
                <c:pt idx="1">
                  <c:v>27.67</c:v>
                </c:pt>
                <c:pt idx="2">
                  <c:v>27.67</c:v>
                </c:pt>
                <c:pt idx="3">
                  <c:v>27.67</c:v>
                </c:pt>
                <c:pt idx="4">
                  <c:v>27.67</c:v>
                </c:pt>
              </c:numCache>
            </c:numRef>
          </c:val>
        </c:ser>
        <c:shape val="box"/>
        <c:axId val="172819200"/>
        <c:axId val="172820736"/>
        <c:axId val="0"/>
      </c:bar3DChart>
      <c:catAx>
        <c:axId val="172819200"/>
        <c:scaling>
          <c:orientation val="minMax"/>
        </c:scaling>
        <c:axPos val="b"/>
        <c:numFmt formatCode="General" sourceLinked="1"/>
        <c:tickLblPos val="nextTo"/>
        <c:txPr>
          <a:bodyPr/>
          <a:lstStyle/>
          <a:p>
            <a:pPr>
              <a:defRPr lang="ro-RO"/>
            </a:pPr>
            <a:endParaRPr lang="ro-RO"/>
          </a:p>
        </c:txPr>
        <c:crossAx val="172820736"/>
        <c:crosses val="autoZero"/>
        <c:auto val="1"/>
        <c:lblAlgn val="ctr"/>
        <c:lblOffset val="100"/>
      </c:catAx>
      <c:valAx>
        <c:axId val="172820736"/>
        <c:scaling>
          <c:orientation val="minMax"/>
        </c:scaling>
        <c:axPos val="l"/>
        <c:majorGridlines/>
        <c:numFmt formatCode="General" sourceLinked="1"/>
        <c:tickLblPos val="nextTo"/>
        <c:txPr>
          <a:bodyPr/>
          <a:lstStyle/>
          <a:p>
            <a:pPr>
              <a:defRPr lang="ro-RO"/>
            </a:pPr>
            <a:endParaRPr lang="ro-RO"/>
          </a:p>
        </c:txPr>
        <c:crossAx val="172819200"/>
        <c:crosses val="autoZero"/>
        <c:crossBetween val="between"/>
      </c:valAx>
      <c:spPr>
        <a:noFill/>
        <a:ln w="25361">
          <a:noFill/>
        </a:ln>
      </c:spPr>
    </c:plotArea>
    <c:legend>
      <c:legendPos val="r"/>
      <c:txPr>
        <a:bodyPr/>
        <a:lstStyle/>
        <a:p>
          <a:pPr>
            <a:defRPr lang="ro-RO"/>
          </a:pPr>
          <a:endParaRPr lang="ro-RO"/>
        </a:p>
      </c:txPr>
    </c:legend>
    <c:plotVisOnly val="1"/>
    <c:dispBlanksAs val="gap"/>
  </c:chart>
  <c:spPr>
    <a:solidFill>
      <a:srgbClr val="9BBB59">
        <a:lumMod val="20000"/>
        <a:lumOff val="80000"/>
      </a:srgbClr>
    </a:solidFill>
  </c:sp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5.63</c:v>
                </c:pt>
                <c:pt idx="1">
                  <c:v>5.63</c:v>
                </c:pt>
                <c:pt idx="2">
                  <c:v>5.63</c:v>
                </c:pt>
                <c:pt idx="3">
                  <c:v>5.63</c:v>
                </c:pt>
                <c:pt idx="4">
                  <c:v>5.63</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296.47000000000003</c:v>
                </c:pt>
                <c:pt idx="1">
                  <c:v>296.47000000000003</c:v>
                </c:pt>
                <c:pt idx="2">
                  <c:v>296.47000000000003</c:v>
                </c:pt>
                <c:pt idx="3">
                  <c:v>296.47000000000003</c:v>
                </c:pt>
                <c:pt idx="4">
                  <c:v>296.47000000000003</c:v>
                </c:pt>
              </c:numCache>
            </c:numRef>
          </c:val>
        </c:ser>
        <c:shape val="box"/>
        <c:axId val="171940480"/>
        <c:axId val="172626304"/>
        <c:axId val="0"/>
      </c:bar3DChart>
      <c:catAx>
        <c:axId val="171940480"/>
        <c:scaling>
          <c:orientation val="minMax"/>
        </c:scaling>
        <c:axPos val="b"/>
        <c:numFmt formatCode="General" sourceLinked="1"/>
        <c:tickLblPos val="nextTo"/>
        <c:txPr>
          <a:bodyPr/>
          <a:lstStyle/>
          <a:p>
            <a:pPr>
              <a:defRPr lang="ro-RO"/>
            </a:pPr>
            <a:endParaRPr lang="ro-RO"/>
          </a:p>
        </c:txPr>
        <c:crossAx val="172626304"/>
        <c:crosses val="autoZero"/>
        <c:auto val="1"/>
        <c:lblAlgn val="ctr"/>
        <c:lblOffset val="100"/>
      </c:catAx>
      <c:valAx>
        <c:axId val="172626304"/>
        <c:scaling>
          <c:orientation val="minMax"/>
        </c:scaling>
        <c:axPos val="l"/>
        <c:majorGridlines/>
        <c:numFmt formatCode="General" sourceLinked="1"/>
        <c:tickLblPos val="nextTo"/>
        <c:txPr>
          <a:bodyPr/>
          <a:lstStyle/>
          <a:p>
            <a:pPr>
              <a:defRPr lang="ro-RO"/>
            </a:pPr>
            <a:endParaRPr lang="ro-RO"/>
          </a:p>
        </c:txPr>
        <c:crossAx val="171940480"/>
        <c:crosses val="autoZero"/>
        <c:crossBetween val="between"/>
      </c:valAx>
      <c:spPr>
        <a:noFill/>
        <a:ln w="25347">
          <a:noFill/>
        </a:ln>
      </c:spPr>
    </c:plotArea>
    <c:legend>
      <c:legendPos val="r"/>
      <c:txPr>
        <a:bodyPr/>
        <a:lstStyle/>
        <a:p>
          <a:pPr>
            <a:defRPr lang="ro-RO"/>
          </a:pPr>
          <a:endParaRPr lang="ro-RO"/>
        </a:p>
      </c:txPr>
    </c:legend>
    <c:plotVisOnly val="1"/>
    <c:dispBlanksAs val="gap"/>
  </c:chart>
  <c:spPr>
    <a:solidFill>
      <a:srgbClr val="9BBB59">
        <a:lumMod val="20000"/>
        <a:lumOff val="80000"/>
      </a:srgbClr>
    </a:solidFill>
  </c:spPr>
  <c:externalData r:id="rId2"/>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2012-2016 </c:v>
                </c:pt>
              </c:strCache>
            </c:strRef>
          </c:tx>
          <c:spPr>
            <a:solidFill>
              <a:srgbClr val="00B05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15.68</c:v>
                </c:pt>
                <c:pt idx="1">
                  <c:v>15.68</c:v>
                </c:pt>
                <c:pt idx="2">
                  <c:v>15.68</c:v>
                </c:pt>
                <c:pt idx="3">
                  <c:v>15.68</c:v>
                </c:pt>
                <c:pt idx="4">
                  <c:v>15.68</c:v>
                </c:pt>
              </c:numCache>
            </c:numRef>
          </c:val>
        </c:ser>
        <c:shape val="box"/>
        <c:axId val="172982272"/>
        <c:axId val="172983808"/>
        <c:axId val="0"/>
      </c:bar3DChart>
      <c:catAx>
        <c:axId val="172982272"/>
        <c:scaling>
          <c:orientation val="minMax"/>
        </c:scaling>
        <c:axPos val="b"/>
        <c:numFmt formatCode="General" sourceLinked="1"/>
        <c:tickLblPos val="nextTo"/>
        <c:txPr>
          <a:bodyPr/>
          <a:lstStyle/>
          <a:p>
            <a:pPr>
              <a:defRPr lang="ro-RO"/>
            </a:pPr>
            <a:endParaRPr lang="ro-RO"/>
          </a:p>
        </c:txPr>
        <c:crossAx val="172983808"/>
        <c:crosses val="autoZero"/>
        <c:auto val="1"/>
        <c:lblAlgn val="ctr"/>
        <c:lblOffset val="100"/>
      </c:catAx>
      <c:valAx>
        <c:axId val="172983808"/>
        <c:scaling>
          <c:orientation val="minMax"/>
        </c:scaling>
        <c:axPos val="l"/>
        <c:majorGridlines/>
        <c:numFmt formatCode="General" sourceLinked="1"/>
        <c:tickLblPos val="nextTo"/>
        <c:txPr>
          <a:bodyPr/>
          <a:lstStyle/>
          <a:p>
            <a:pPr>
              <a:defRPr lang="ro-RO"/>
            </a:pPr>
            <a:endParaRPr lang="ro-RO"/>
          </a:p>
        </c:txPr>
        <c:crossAx val="172982272"/>
        <c:crosses val="autoZero"/>
        <c:crossBetween val="between"/>
      </c:valAx>
      <c:spPr>
        <a:noFill/>
        <a:ln w="25413">
          <a:noFill/>
        </a:ln>
      </c:spPr>
    </c:plotArea>
    <c:legend>
      <c:legendPos val="r"/>
      <c:txPr>
        <a:bodyPr/>
        <a:lstStyle/>
        <a:p>
          <a:pPr>
            <a:defRPr lang="ro-RO"/>
          </a:pPr>
          <a:endParaRPr lang="ro-RO"/>
        </a:p>
      </c:txPr>
    </c:legend>
    <c:plotVisOnly val="1"/>
    <c:dispBlanksAs val="gap"/>
  </c:chart>
  <c:spPr>
    <a:solidFill>
      <a:srgbClr val="FFFF00"/>
    </a:solidFill>
  </c:spPr>
  <c:externalData r:id="rId2"/>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524.22</c:v>
                </c:pt>
                <c:pt idx="1">
                  <c:v>524.30999999999949</c:v>
                </c:pt>
                <c:pt idx="2">
                  <c:v>532.43999999999949</c:v>
                </c:pt>
                <c:pt idx="3">
                  <c:v>532.43999999999949</c:v>
                </c:pt>
                <c:pt idx="4">
                  <c:v>533.43999999999949</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6450.1200000000044</c:v>
                </c:pt>
                <c:pt idx="1">
                  <c:v>6450.1200000000044</c:v>
                </c:pt>
                <c:pt idx="2">
                  <c:v>6450.1200000000044</c:v>
                </c:pt>
                <c:pt idx="3">
                  <c:v>6450.1200000000044</c:v>
                </c:pt>
                <c:pt idx="4">
                  <c:v>6450.1200000000044</c:v>
                </c:pt>
              </c:numCache>
            </c:numRef>
          </c:val>
        </c:ser>
        <c:shape val="box"/>
        <c:axId val="172922752"/>
        <c:axId val="172924288"/>
        <c:axId val="0"/>
      </c:bar3DChart>
      <c:catAx>
        <c:axId val="172922752"/>
        <c:scaling>
          <c:orientation val="minMax"/>
        </c:scaling>
        <c:axPos val="b"/>
        <c:numFmt formatCode="General" sourceLinked="1"/>
        <c:tickLblPos val="nextTo"/>
        <c:txPr>
          <a:bodyPr/>
          <a:lstStyle/>
          <a:p>
            <a:pPr>
              <a:defRPr lang="ro-RO"/>
            </a:pPr>
            <a:endParaRPr lang="ro-RO"/>
          </a:p>
        </c:txPr>
        <c:crossAx val="172924288"/>
        <c:crosses val="autoZero"/>
        <c:auto val="1"/>
        <c:lblAlgn val="ctr"/>
        <c:lblOffset val="100"/>
      </c:catAx>
      <c:valAx>
        <c:axId val="172924288"/>
        <c:scaling>
          <c:orientation val="minMax"/>
        </c:scaling>
        <c:axPos val="l"/>
        <c:majorGridlines/>
        <c:numFmt formatCode="General" sourceLinked="1"/>
        <c:tickLblPos val="nextTo"/>
        <c:txPr>
          <a:bodyPr/>
          <a:lstStyle/>
          <a:p>
            <a:pPr>
              <a:defRPr lang="ro-RO"/>
            </a:pPr>
            <a:endParaRPr lang="ro-RO"/>
          </a:p>
        </c:txPr>
        <c:crossAx val="172922752"/>
        <c:crosses val="autoZero"/>
        <c:crossBetween val="between"/>
      </c:valAx>
      <c:spPr>
        <a:noFill/>
        <a:ln w="25405">
          <a:noFill/>
        </a:ln>
      </c:spPr>
    </c:plotArea>
    <c:legend>
      <c:legendPos val="r"/>
      <c:txPr>
        <a:bodyPr/>
        <a:lstStyle/>
        <a:p>
          <a:pPr>
            <a:defRPr lang="ro-RO"/>
          </a:pPr>
          <a:endParaRPr lang="ro-RO"/>
        </a:p>
      </c:txPr>
    </c:legend>
    <c:plotVisOnly val="1"/>
    <c:dispBlanksAs val="gap"/>
  </c:chart>
  <c:spPr>
    <a:solidFill>
      <a:srgbClr val="C0504D">
        <a:lumMod val="20000"/>
        <a:lumOff val="80000"/>
      </a:srgbClr>
    </a:solid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0"/>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1455"/>
          <c:h val="0.65934065934066732"/>
        </c:manualLayout>
      </c:layout>
      <c:bar3DChart>
        <c:barDir val="col"/>
        <c:grouping val="clustered"/>
        <c:ser>
          <c:idx val="4"/>
          <c:order val="0"/>
          <c:tx>
            <c:strRef>
              <c:f>Sheet1!$A$2</c:f>
              <c:strCache>
                <c:ptCount val="1"/>
                <c:pt idx="0">
                  <c:v>Medii anuale 2012</c:v>
                </c:pt>
              </c:strCache>
            </c:strRef>
          </c:tx>
          <c:spPr>
            <a:solidFill>
              <a:srgbClr val="660066"/>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0.27</c:v>
                </c:pt>
                <c:pt idx="1">
                  <c:v>0.19</c:v>
                </c:pt>
                <c:pt idx="2">
                  <c:v>0.15000000000000024</c:v>
                </c:pt>
                <c:pt idx="3">
                  <c:v>0.42000000000000032</c:v>
                </c:pt>
                <c:pt idx="4">
                  <c:v>0.1</c:v>
                </c:pt>
              </c:numCache>
            </c:numRef>
          </c:val>
        </c:ser>
        <c:ser>
          <c:idx val="5"/>
          <c:order val="1"/>
          <c:tx>
            <c:strRef>
              <c:f>Sheet1!$A$3</c:f>
              <c:strCache>
                <c:ptCount val="1"/>
                <c:pt idx="0">
                  <c:v>Medii anuale 2013</c:v>
                </c:pt>
              </c:strCache>
            </c:strRef>
          </c:tx>
          <c:cat>
            <c:strRef>
              <c:f>Sheet1!$B$1:$F$1</c:f>
              <c:strCache>
                <c:ptCount val="5"/>
                <c:pt idx="0">
                  <c:v>BR1</c:v>
                </c:pt>
                <c:pt idx="1">
                  <c:v>BR2</c:v>
                </c:pt>
                <c:pt idx="2">
                  <c:v>BR3</c:v>
                </c:pt>
                <c:pt idx="3">
                  <c:v>BR4</c:v>
                </c:pt>
                <c:pt idx="4">
                  <c:v>BR5</c:v>
                </c:pt>
              </c:strCache>
            </c:strRef>
          </c:cat>
          <c:val>
            <c:numRef>
              <c:f>Sheet1!$B$3:$F$3</c:f>
              <c:numCache>
                <c:formatCode>General</c:formatCode>
                <c:ptCount val="5"/>
                <c:pt idx="1">
                  <c:v>0.15000000000000024</c:v>
                </c:pt>
                <c:pt idx="2">
                  <c:v>0.14000000000000001</c:v>
                </c:pt>
                <c:pt idx="3">
                  <c:v>6.0000000000000032E-2</c:v>
                </c:pt>
                <c:pt idx="4">
                  <c:v>8.0000000000000043E-2</c:v>
                </c:pt>
              </c:numCache>
            </c:numRef>
          </c:val>
        </c:ser>
        <c:ser>
          <c:idx val="6"/>
          <c:order val="2"/>
          <c:tx>
            <c:strRef>
              <c:f>Sheet1!$A$4</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Sheet1!$B$4:$F$4</c:f>
              <c:numCache>
                <c:formatCode>General</c:formatCode>
                <c:ptCount val="5"/>
                <c:pt idx="1">
                  <c:v>0.22</c:v>
                </c:pt>
                <c:pt idx="2">
                  <c:v>0.21000000000000021</c:v>
                </c:pt>
                <c:pt idx="3">
                  <c:v>0.11</c:v>
                </c:pt>
                <c:pt idx="4">
                  <c:v>0.05</c:v>
                </c:pt>
              </c:numCache>
            </c:numRef>
          </c:val>
        </c:ser>
        <c:ser>
          <c:idx val="7"/>
          <c:order val="3"/>
          <c:tx>
            <c:strRef>
              <c:f>Sheet1!$A$5</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Sheet1!$B$5:$F$5</c:f>
              <c:numCache>
                <c:formatCode>General</c:formatCode>
                <c:ptCount val="5"/>
                <c:pt idx="0">
                  <c:v>0.34</c:v>
                </c:pt>
                <c:pt idx="1">
                  <c:v>0.11</c:v>
                </c:pt>
                <c:pt idx="2">
                  <c:v>0.11</c:v>
                </c:pt>
                <c:pt idx="3">
                  <c:v>0.1</c:v>
                </c:pt>
                <c:pt idx="4">
                  <c:v>4.0000000000000022E-2</c:v>
                </c:pt>
              </c:numCache>
            </c:numRef>
          </c:val>
        </c:ser>
        <c:ser>
          <c:idx val="8"/>
          <c:order val="4"/>
          <c:tx>
            <c:strRef>
              <c:f>Sheet1!$A$6</c:f>
              <c:strCache>
                <c:ptCount val="1"/>
                <c:pt idx="0">
                  <c:v>Medii anuale 2016</c:v>
                </c:pt>
              </c:strCache>
            </c:strRef>
          </c:tx>
          <c:cat>
            <c:strRef>
              <c:f>Sheet1!$B$1:$F$1</c:f>
              <c:strCache>
                <c:ptCount val="5"/>
                <c:pt idx="0">
                  <c:v>BR1</c:v>
                </c:pt>
                <c:pt idx="1">
                  <c:v>BR2</c:v>
                </c:pt>
                <c:pt idx="2">
                  <c:v>BR3</c:v>
                </c:pt>
                <c:pt idx="3">
                  <c:v>BR4</c:v>
                </c:pt>
                <c:pt idx="4">
                  <c:v>BR5</c:v>
                </c:pt>
              </c:strCache>
            </c:strRef>
          </c:cat>
          <c:val>
            <c:numRef>
              <c:f>Sheet1!$B$6:$F$6</c:f>
              <c:numCache>
                <c:formatCode>General</c:formatCode>
                <c:ptCount val="5"/>
                <c:pt idx="0">
                  <c:v>0</c:v>
                </c:pt>
                <c:pt idx="1">
                  <c:v>0</c:v>
                </c:pt>
                <c:pt idx="2">
                  <c:v>0</c:v>
                </c:pt>
                <c:pt idx="3">
                  <c:v>0</c:v>
                </c:pt>
                <c:pt idx="4">
                  <c:v>0</c:v>
                </c:pt>
              </c:numCache>
            </c:numRef>
          </c:val>
        </c:ser>
        <c:gapWidth val="260"/>
        <c:gapDepth val="0"/>
        <c:shape val="box"/>
        <c:axId val="63053824"/>
        <c:axId val="63055360"/>
        <c:axId val="0"/>
      </c:bar3DChart>
      <c:catAx>
        <c:axId val="6305382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63055360"/>
        <c:crosses val="autoZero"/>
        <c:auto val="1"/>
        <c:lblAlgn val="ctr"/>
        <c:lblOffset val="100"/>
        <c:tickLblSkip val="1"/>
        <c:tickMarkSkip val="1"/>
      </c:catAx>
      <c:valAx>
        <c:axId val="63055360"/>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t>miligrame/mc</a:t>
                </a:r>
              </a:p>
            </c:rich>
          </c:tx>
          <c:layout>
            <c:manualLayout>
              <c:xMode val="edge"/>
              <c:yMode val="edge"/>
              <c:x val="4.0992385457521888E-2"/>
              <c:y val="0.12232884951881016"/>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63053824"/>
        <c:crosses val="autoZero"/>
        <c:crossBetween val="between"/>
      </c:valAx>
      <c:spPr>
        <a:noFill/>
        <a:ln w="25400">
          <a:noFill/>
        </a:ln>
      </c:spPr>
    </c:plotArea>
    <c:legend>
      <c:legendPos val="r"/>
      <c:layout>
        <c:manualLayout>
          <c:xMode val="edge"/>
          <c:yMode val="edge"/>
          <c:x val="0.77325589054220234"/>
          <c:y val="5.4334536307961825E-2"/>
          <c:w val="0.19241699350318894"/>
          <c:h val="0.6402416885389338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(2012-2016)</c:v>
                </c:pt>
              </c:strCache>
            </c:strRef>
          </c:tx>
          <c:spPr>
            <a:solidFill>
              <a:srgbClr val="00B050"/>
            </a:solidFill>
          </c:spPr>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26.110000000000031</c:v>
                </c:pt>
                <c:pt idx="1">
                  <c:v>26.51</c:v>
                </c:pt>
                <c:pt idx="2">
                  <c:v>26.57</c:v>
                </c:pt>
                <c:pt idx="3">
                  <c:v>26.57</c:v>
                </c:pt>
                <c:pt idx="4">
                  <c:v>26.57</c:v>
                </c:pt>
              </c:numCache>
            </c:numRef>
          </c:val>
        </c:ser>
        <c:shape val="box"/>
        <c:axId val="172944384"/>
        <c:axId val="173683456"/>
        <c:axId val="0"/>
      </c:bar3DChart>
      <c:catAx>
        <c:axId val="172944384"/>
        <c:scaling>
          <c:orientation val="minMax"/>
        </c:scaling>
        <c:axPos val="b"/>
        <c:numFmt formatCode="General" sourceLinked="1"/>
        <c:tickLblPos val="nextTo"/>
        <c:txPr>
          <a:bodyPr/>
          <a:lstStyle/>
          <a:p>
            <a:pPr>
              <a:defRPr lang="ro-RO"/>
            </a:pPr>
            <a:endParaRPr lang="ro-RO"/>
          </a:p>
        </c:txPr>
        <c:crossAx val="173683456"/>
        <c:crosses val="autoZero"/>
        <c:auto val="1"/>
        <c:lblAlgn val="ctr"/>
        <c:lblOffset val="100"/>
      </c:catAx>
      <c:valAx>
        <c:axId val="173683456"/>
        <c:scaling>
          <c:orientation val="minMax"/>
        </c:scaling>
        <c:axPos val="l"/>
        <c:majorGridlines/>
        <c:numFmt formatCode="General" sourceLinked="1"/>
        <c:tickLblPos val="nextTo"/>
        <c:txPr>
          <a:bodyPr/>
          <a:lstStyle/>
          <a:p>
            <a:pPr>
              <a:defRPr lang="ro-RO"/>
            </a:pPr>
            <a:endParaRPr lang="ro-RO"/>
          </a:p>
        </c:txPr>
        <c:crossAx val="172944384"/>
        <c:crosses val="autoZero"/>
        <c:crossBetween val="between"/>
      </c:valAx>
      <c:spPr>
        <a:noFill/>
        <a:ln w="25413">
          <a:noFill/>
        </a:ln>
      </c:spPr>
    </c:plotArea>
    <c:legend>
      <c:legendPos val="r"/>
      <c:txPr>
        <a:bodyPr/>
        <a:lstStyle/>
        <a:p>
          <a:pPr>
            <a:defRPr lang="ro-RO"/>
          </a:pPr>
          <a:endParaRPr lang="ro-RO"/>
        </a:p>
      </c:txPr>
    </c:legend>
    <c:plotVisOnly val="1"/>
    <c:dispBlanksAs val="gap"/>
  </c:chart>
  <c:spPr>
    <a:solidFill>
      <a:srgbClr val="4BACC6">
        <a:lumMod val="20000"/>
        <a:lumOff val="80000"/>
      </a:srgbClr>
    </a:solidFill>
  </c:spPr>
  <c:externalData r:id="rId2"/>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rot="0"/>
          <a:lstStyle/>
          <a:p>
            <a:pPr algn="ctr" rtl="0">
              <a:defRPr/>
            </a:pPr>
            <a:r>
              <a:rPr lang="ro-RO"/>
              <a:t>Variația mediilor și maximelor anuale ale debitului dozei gama</a:t>
            </a:r>
          </a:p>
        </c:rich>
      </c:tx>
      <c:spPr>
        <a:ln>
          <a:noFill/>
        </a:ln>
      </c:spPr>
    </c:title>
    <c:plotArea>
      <c:layout>
        <c:manualLayout>
          <c:layoutTarget val="inner"/>
          <c:xMode val="edge"/>
          <c:yMode val="edge"/>
          <c:x val="0.10960220397982315"/>
          <c:y val="0.26912446206753987"/>
          <c:w val="0.78874294968448799"/>
          <c:h val="0.56977305044506665"/>
        </c:manualLayout>
      </c:layout>
      <c:lineChart>
        <c:grouping val="standard"/>
        <c:ser>
          <c:idx val="0"/>
          <c:order val="0"/>
          <c:tx>
            <c:strRef>
              <c:f>Sheet1!$B$1</c:f>
              <c:strCache>
                <c:ptCount val="1"/>
                <c:pt idx="0">
                  <c:v>maxima anuală</c:v>
                </c:pt>
              </c:strCache>
            </c:strRef>
          </c:tx>
          <c:spPr>
            <a:ln w="28479">
              <a:solidFill>
                <a:srgbClr val="C00000"/>
              </a:solidFill>
            </a:ln>
          </c:spPr>
          <c:marker>
            <c:symbol val="square"/>
            <c:size val="2"/>
            <c:spPr>
              <a:solidFill>
                <a:srgbClr val="FFFF00"/>
              </a:solidFill>
            </c:spPr>
          </c:marker>
          <c:dLbls>
            <c:dLbl>
              <c:idx val="0"/>
              <c:layout>
                <c:manualLayout>
                  <c:x val="-5.1282051282051294E-2"/>
                  <c:y val="-4.9252418645558523E-2"/>
                </c:manualLayout>
              </c:layout>
              <c:dLblPos val="r"/>
              <c:showVal val="1"/>
            </c:dLbl>
            <c:dLbl>
              <c:idx val="1"/>
              <c:layout>
                <c:manualLayout>
                  <c:x val="-6.1538461538461833E-2"/>
                  <c:y val="-5.9806508355322432E-2"/>
                </c:manualLayout>
              </c:layout>
              <c:dLblPos val="r"/>
              <c:showVal val="1"/>
            </c:dLbl>
            <c:dLbl>
              <c:idx val="3"/>
              <c:layout>
                <c:manualLayout>
                  <c:x val="-4.3589743589743567E-2"/>
                  <c:y val="-6.3324538258575411E-2"/>
                </c:manualLayout>
              </c:layout>
              <c:dLblPos val="r"/>
              <c:showVal val="1"/>
            </c:dLbl>
            <c:dLbl>
              <c:idx val="4"/>
              <c:layout>
                <c:manualLayout>
                  <c:x val="-4.8717948717948933E-2"/>
                  <c:y val="-5.2770448548812764E-2"/>
                </c:manualLayout>
              </c:layout>
              <c:dLblPos val="r"/>
              <c:showVal val="1"/>
            </c:dLbl>
            <c:txPr>
              <a:bodyPr/>
              <a:lstStyle/>
              <a:p>
                <a:pPr>
                  <a:defRPr sz="897" b="1" i="0" baseline="0"/>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0.192</c:v>
                </c:pt>
                <c:pt idx="1">
                  <c:v>0.15200000000000041</c:v>
                </c:pt>
                <c:pt idx="2">
                  <c:v>0.16400000000000001</c:v>
                </c:pt>
                <c:pt idx="3">
                  <c:v>0.14800000000000021</c:v>
                </c:pt>
                <c:pt idx="4">
                  <c:v>0.16900000000000001</c:v>
                </c:pt>
              </c:numCache>
            </c:numRef>
          </c:val>
        </c:ser>
        <c:ser>
          <c:idx val="1"/>
          <c:order val="1"/>
          <c:tx>
            <c:strRef>
              <c:f>Sheet1!$C$1</c:f>
              <c:strCache>
                <c:ptCount val="1"/>
                <c:pt idx="0">
                  <c:v>media anuală</c:v>
                </c:pt>
              </c:strCache>
            </c:strRef>
          </c:tx>
          <c:spPr>
            <a:ln w="28479">
              <a:solidFill>
                <a:srgbClr val="D47ACE"/>
              </a:solidFill>
            </a:ln>
          </c:spPr>
          <c:marker>
            <c:symbol val="square"/>
            <c:size val="11"/>
            <c:spPr>
              <a:solidFill>
                <a:srgbClr val="FFFF00"/>
              </a:solidFill>
              <a:ln w="6329">
                <a:solidFill>
                  <a:srgbClr val="D47ACE"/>
                </a:solidFill>
              </a:ln>
            </c:spPr>
          </c:marker>
          <c:dPt>
            <c:idx val="0"/>
            <c:marker>
              <c:symbol val="circle"/>
              <c:size val="5"/>
            </c:marker>
          </c:dPt>
          <c:dPt>
            <c:idx val="1"/>
            <c:marker>
              <c:symbol val="circle"/>
              <c:size val="5"/>
            </c:marker>
          </c:dPt>
          <c:dPt>
            <c:idx val="2"/>
            <c:marker>
              <c:symbol val="circle"/>
              <c:size val="5"/>
            </c:marker>
          </c:dPt>
          <c:dPt>
            <c:idx val="3"/>
            <c:marker>
              <c:symbol val="circle"/>
              <c:size val="5"/>
            </c:marker>
          </c:dPt>
          <c:dPt>
            <c:idx val="4"/>
            <c:marker>
              <c:symbol val="circle"/>
              <c:size val="5"/>
            </c:marker>
          </c:dPt>
          <c:dLbls>
            <c:dLbl>
              <c:idx val="0"/>
              <c:layout>
                <c:manualLayout>
                  <c:x val="-5.3846153846153884E-2"/>
                  <c:y val="6.684256816182936E-2"/>
                </c:manualLayout>
              </c:layout>
              <c:dLblPos val="r"/>
              <c:showVal val="1"/>
            </c:dLbl>
            <c:dLbl>
              <c:idx val="1"/>
              <c:layout>
                <c:manualLayout>
                  <c:x val="-5.3846153846153912E-2"/>
                  <c:y val="6.3324538258575411E-2"/>
                </c:manualLayout>
              </c:layout>
              <c:dLblPos val="r"/>
              <c:showVal val="1"/>
            </c:dLbl>
            <c:dLbl>
              <c:idx val="2"/>
              <c:layout>
                <c:manualLayout>
                  <c:x val="-5.1282051282051294E-2"/>
                  <c:y val="5.2770448548812764E-2"/>
                </c:manualLayout>
              </c:layout>
              <c:dLblPos val="r"/>
              <c:showVal val="1"/>
            </c:dLbl>
            <c:dLbl>
              <c:idx val="3"/>
              <c:layout>
                <c:manualLayout>
                  <c:x val="-5.6410256410256432E-2"/>
                  <c:y val="6.3324538258575411E-2"/>
                </c:manualLayout>
              </c:layout>
              <c:dLblPos val="r"/>
              <c:showVal val="1"/>
            </c:dLbl>
            <c:dLbl>
              <c:idx val="4"/>
              <c:layout>
                <c:manualLayout>
                  <c:x val="-6.1538461538461584E-2"/>
                  <c:y val="5.6288478452066908E-2"/>
                </c:manualLayout>
              </c:layout>
              <c:dLblPos val="r"/>
              <c:showVal val="1"/>
            </c:dLbl>
            <c:txPr>
              <a:bodyPr/>
              <a:lstStyle/>
              <a:p>
                <a:pPr>
                  <a:defRPr sz="897" b="1" i="0" baseline="0"/>
                </a:pPr>
                <a:endParaRPr lang="ro-RO"/>
              </a:p>
            </c:txPr>
            <c:showVal val="1"/>
          </c:dLbls>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0.10500000000000002</c:v>
                </c:pt>
                <c:pt idx="1">
                  <c:v>0.10600000000000002</c:v>
                </c:pt>
                <c:pt idx="2">
                  <c:v>0.10800000000000012</c:v>
                </c:pt>
                <c:pt idx="3">
                  <c:v>9.9000000000000046E-2</c:v>
                </c:pt>
                <c:pt idx="4">
                  <c:v>0.10400000000000002</c:v>
                </c:pt>
              </c:numCache>
            </c:numRef>
          </c:val>
        </c:ser>
        <c:marker val="1"/>
        <c:axId val="172746624"/>
        <c:axId val="172748160"/>
      </c:lineChart>
      <c:catAx>
        <c:axId val="172746624"/>
        <c:scaling>
          <c:orientation val="minMax"/>
        </c:scaling>
        <c:axPos val="b"/>
        <c:numFmt formatCode="General" sourceLinked="1"/>
        <c:majorTickMark val="none"/>
        <c:tickLblPos val="nextTo"/>
        <c:spPr>
          <a:noFill/>
          <a:ln cap="rnd"/>
        </c:spPr>
        <c:txPr>
          <a:bodyPr/>
          <a:lstStyle/>
          <a:p>
            <a:pPr>
              <a:defRPr sz="1196" b="1"/>
            </a:pPr>
            <a:endParaRPr lang="ro-RO"/>
          </a:p>
        </c:txPr>
        <c:crossAx val="172748160"/>
        <c:crossesAt val="0"/>
        <c:auto val="1"/>
        <c:lblAlgn val="ctr"/>
        <c:lblOffset val="100"/>
      </c:catAx>
      <c:valAx>
        <c:axId val="172748160"/>
        <c:scaling>
          <c:orientation val="minMax"/>
          <c:max val="0.2"/>
        </c:scaling>
        <c:axPos val="l"/>
        <c:majorGridlines/>
        <c:title>
          <c:tx>
            <c:rich>
              <a:bodyPr/>
              <a:lstStyle/>
              <a:p>
                <a:pPr>
                  <a:defRPr sz="993" b="1" i="0" u="none" strike="noStrike" baseline="0">
                    <a:solidFill>
                      <a:srgbClr val="000000"/>
                    </a:solidFill>
                    <a:latin typeface="Arial"/>
                    <a:ea typeface="Arial"/>
                    <a:cs typeface="Arial"/>
                  </a:defRPr>
                </a:pPr>
                <a:r>
                  <a:rPr lang="ro-RO"/>
                  <a:t>µSv/h</a:t>
                </a:r>
              </a:p>
            </c:rich>
          </c:tx>
        </c:title>
        <c:numFmt formatCode="#,##0.000" sourceLinked="0"/>
        <c:majorTickMark val="none"/>
        <c:tickLblPos val="nextTo"/>
        <c:spPr>
          <a:noFill/>
        </c:spPr>
        <c:txPr>
          <a:bodyPr/>
          <a:lstStyle/>
          <a:p>
            <a:pPr>
              <a:defRPr sz="1000" b="1" baseline="0"/>
            </a:pPr>
            <a:endParaRPr lang="ro-RO"/>
          </a:p>
        </c:txPr>
        <c:crossAx val="172746624"/>
        <c:crosses val="autoZero"/>
        <c:crossBetween val="between"/>
        <c:majorUnit val="2.0000000000000046E-2"/>
        <c:minorUnit val="5.0000000000000192E-3"/>
      </c:valAx>
      <c:spPr>
        <a:solidFill>
          <a:srgbClr val="9BBB59">
            <a:lumMod val="20000"/>
            <a:lumOff val="80000"/>
          </a:srgbClr>
        </a:solidFill>
        <a:ln w="25316">
          <a:solidFill>
            <a:sysClr val="windowText" lastClr="000000"/>
          </a:solidFill>
        </a:ln>
      </c:spPr>
    </c:plotArea>
    <c:legend>
      <c:legendPos val="b"/>
      <c:legendEntry>
        <c:idx val="1"/>
        <c:txPr>
          <a:bodyPr/>
          <a:lstStyle/>
          <a:p>
            <a:pPr>
              <a:defRPr sz="1196" b="1" i="0" baseline="0"/>
            </a:pPr>
            <a:endParaRPr lang="ro-RO"/>
          </a:p>
        </c:txPr>
      </c:legendEntry>
      <c:legendEntry>
        <c:idx val="0"/>
        <c:txPr>
          <a:bodyPr/>
          <a:lstStyle/>
          <a:p>
            <a:pPr>
              <a:defRPr sz="1196" b="1" i="0" baseline="0"/>
            </a:pPr>
            <a:endParaRPr lang="ro-RO"/>
          </a:p>
        </c:txPr>
      </c:legendEntry>
      <c:txPr>
        <a:bodyPr/>
        <a:lstStyle/>
        <a:p>
          <a:pPr>
            <a:defRPr sz="1196"/>
          </a:pPr>
          <a:endParaRPr lang="ro-RO"/>
        </a:p>
      </c:txPr>
    </c:legend>
    <c:plotVisOnly val="1"/>
    <c:dispBlanksAs val="gap"/>
  </c:chart>
  <c:spPr>
    <a:solidFill>
      <a:srgbClr val="8064A2">
        <a:lumMod val="20000"/>
        <a:lumOff val="80000"/>
      </a:srgbClr>
    </a:solidFill>
  </c:spPr>
  <c:txPr>
    <a:bodyPr/>
    <a:lstStyle/>
    <a:p>
      <a:pPr>
        <a:defRPr sz="996">
          <a:latin typeface="Arial" pitchFamily="34" charset="0"/>
          <a:cs typeface="Arial" pitchFamily="34" charset="0"/>
        </a:defRPr>
      </a:pPr>
      <a:endParaRPr lang="ro-RO"/>
    </a:p>
  </c:txPr>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a:solidFill>
                  <a:srgbClr val="FF0000"/>
                </a:solidFill>
              </a:defRPr>
            </a:pPr>
            <a:r>
              <a:rPr lang="en-GB" sz="1200" b="1">
                <a:solidFill>
                  <a:sysClr val="windowText" lastClr="000000"/>
                </a:solidFill>
                <a:latin typeface="Arial" pitchFamily="34" charset="0"/>
                <a:cs typeface="Arial" pitchFamily="34" charset="0"/>
              </a:rPr>
              <a:t>Figura</a:t>
            </a:r>
            <a:r>
              <a:rPr lang="en-GB" sz="1200">
                <a:solidFill>
                  <a:sysClr val="windowText" lastClr="000000"/>
                </a:solidFill>
                <a:latin typeface="Arial" pitchFamily="34" charset="0"/>
                <a:cs typeface="Arial" pitchFamily="34" charset="0"/>
              </a:rPr>
              <a:t> </a:t>
            </a:r>
            <a:r>
              <a:rPr lang="en-GB" sz="1200" b="1">
                <a:solidFill>
                  <a:sysClr val="windowText" lastClr="000000"/>
                </a:solidFill>
                <a:latin typeface="Arial" pitchFamily="34" charset="0"/>
                <a:cs typeface="Arial" pitchFamily="34" charset="0"/>
              </a:rPr>
              <a:t>nr. X.1.2. - 1</a:t>
            </a:r>
            <a:r>
              <a:rPr lang="en-GB" sz="1200">
                <a:solidFill>
                  <a:sysClr val="windowText" lastClr="000000"/>
                </a:solidFill>
                <a:latin typeface="Arial" pitchFamily="34" charset="0"/>
                <a:cs typeface="Arial" pitchFamily="34" charset="0"/>
              </a:rPr>
              <a:t> Populaţia totală stabilă raportată la numărul total de locuinţe, la nivelul  județului Brăila, pentru perioada 201</a:t>
            </a:r>
            <a:r>
              <a:rPr lang="ro-RO" sz="1200">
                <a:solidFill>
                  <a:sysClr val="windowText" lastClr="000000"/>
                </a:solidFill>
                <a:latin typeface="Arial" pitchFamily="34" charset="0"/>
                <a:cs typeface="Arial" pitchFamily="34" charset="0"/>
              </a:rPr>
              <a:t>2</a:t>
            </a:r>
            <a:r>
              <a:rPr lang="en-GB" sz="1200">
                <a:solidFill>
                  <a:sysClr val="windowText" lastClr="000000"/>
                </a:solidFill>
                <a:latin typeface="Arial" pitchFamily="34" charset="0"/>
                <a:cs typeface="Arial" pitchFamily="34" charset="0"/>
              </a:rPr>
              <a:t> - 201</a:t>
            </a:r>
            <a:r>
              <a:rPr lang="ro-RO" sz="1200">
                <a:solidFill>
                  <a:sysClr val="windowText" lastClr="000000"/>
                </a:solidFill>
                <a:latin typeface="Arial" pitchFamily="34" charset="0"/>
                <a:cs typeface="Arial" pitchFamily="34" charset="0"/>
              </a:rPr>
              <a:t>6</a:t>
            </a:r>
          </a:p>
          <a:p>
            <a:pPr algn="ctr">
              <a:defRPr>
                <a:solidFill>
                  <a:srgbClr val="FF0000"/>
                </a:solidFill>
              </a:defRPr>
            </a:pPr>
            <a:r>
              <a:rPr lang="en-GB" sz="1800">
                <a:solidFill>
                  <a:srgbClr val="FF0000"/>
                </a:solidFill>
              </a:rPr>
              <a:t> </a:t>
            </a:r>
            <a:endParaRPr lang="ro-RO" sz="1800">
              <a:solidFill>
                <a:srgbClr val="FF0000"/>
              </a:solidFill>
            </a:endParaRPr>
          </a:p>
        </c:rich>
      </c:tx>
      <c:layout>
        <c:manualLayout>
          <c:xMode val="edge"/>
          <c:yMode val="edge"/>
          <c:x val="0.10408555701370661"/>
          <c:y val="3.9095113110861387E-3"/>
        </c:manualLayout>
      </c:layout>
      <c:overlay val="1"/>
    </c:title>
    <c:plotArea>
      <c:layout>
        <c:manualLayout>
          <c:layoutTarget val="inner"/>
          <c:xMode val="edge"/>
          <c:yMode val="edge"/>
          <c:x val="6.5765893846602932E-2"/>
          <c:y val="0.34961317335333097"/>
          <c:w val="0.58742855059784149"/>
          <c:h val="0.55097550306211762"/>
        </c:manualLayout>
      </c:layout>
      <c:lineChart>
        <c:grouping val="standard"/>
        <c:ser>
          <c:idx val="0"/>
          <c:order val="0"/>
          <c:tx>
            <c:strRef>
              <c:f>Sheet1!$B$1</c:f>
              <c:strCache>
                <c:ptCount val="1"/>
                <c:pt idx="0">
                  <c:v>Total populație stabilă/Total gospodării</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2.67</c:v>
                </c:pt>
                <c:pt idx="1">
                  <c:v>2.65</c:v>
                </c:pt>
                <c:pt idx="2">
                  <c:v>2.62</c:v>
                </c:pt>
                <c:pt idx="3">
                  <c:v>2.59</c:v>
                </c:pt>
                <c:pt idx="4">
                  <c:v>2.57</c:v>
                </c:pt>
              </c:numCache>
            </c:numRef>
          </c:val>
        </c:ser>
        <c:ser>
          <c:idx val="1"/>
          <c:order val="1"/>
          <c:tx>
            <c:strRef>
              <c:f>Sheet1!$C$1</c:f>
              <c:strCache>
                <c:ptCount val="1"/>
                <c:pt idx="0">
                  <c:v>Total populație stabilă/Total gospodării Urban</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2.7600000000000002</c:v>
                </c:pt>
                <c:pt idx="1">
                  <c:v>2.73</c:v>
                </c:pt>
                <c:pt idx="2">
                  <c:v>2.7</c:v>
                </c:pt>
                <c:pt idx="3">
                  <c:v>2.67</c:v>
                </c:pt>
                <c:pt idx="4">
                  <c:v>2.64</c:v>
                </c:pt>
              </c:numCache>
            </c:numRef>
          </c:val>
        </c:ser>
        <c:ser>
          <c:idx val="2"/>
          <c:order val="2"/>
          <c:tx>
            <c:strRef>
              <c:f>Sheet1!$D$1</c:f>
              <c:strCache>
                <c:ptCount val="1"/>
                <c:pt idx="0">
                  <c:v>Total populație stabilă/Total gospodării Rural</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2.5299999999999998</c:v>
                </c:pt>
                <c:pt idx="1">
                  <c:v>2.5</c:v>
                </c:pt>
                <c:pt idx="2">
                  <c:v>2.48</c:v>
                </c:pt>
                <c:pt idx="3">
                  <c:v>2.4499999999999997</c:v>
                </c:pt>
                <c:pt idx="4">
                  <c:v>2.44</c:v>
                </c:pt>
              </c:numCache>
            </c:numRef>
          </c:val>
        </c:ser>
        <c:marker val="1"/>
        <c:axId val="173674880"/>
        <c:axId val="173676416"/>
      </c:lineChart>
      <c:catAx>
        <c:axId val="173674880"/>
        <c:scaling>
          <c:orientation val="minMax"/>
        </c:scaling>
        <c:axPos val="b"/>
        <c:numFmt formatCode="General" sourceLinked="1"/>
        <c:tickLblPos val="nextTo"/>
        <c:crossAx val="173676416"/>
        <c:crosses val="autoZero"/>
        <c:auto val="1"/>
        <c:lblAlgn val="ctr"/>
        <c:lblOffset val="100"/>
      </c:catAx>
      <c:valAx>
        <c:axId val="173676416"/>
        <c:scaling>
          <c:orientation val="minMax"/>
        </c:scaling>
        <c:axPos val="l"/>
        <c:majorGridlines/>
        <c:numFmt formatCode="General" sourceLinked="1"/>
        <c:tickLblPos val="nextTo"/>
        <c:crossAx val="173674880"/>
        <c:crosses val="autoZero"/>
        <c:crossBetween val="between"/>
      </c:valAx>
    </c:plotArea>
    <c:legend>
      <c:legendPos val="r"/>
      <c:layout>
        <c:manualLayout>
          <c:xMode val="edge"/>
          <c:yMode val="edge"/>
          <c:x val="0.67865740740741565"/>
          <c:y val="0.42709067616548213"/>
          <c:w val="0.30745370370370634"/>
          <c:h val="0.46327865266841645"/>
        </c:manualLayout>
      </c:layout>
    </c:legend>
    <c:plotVisOnly val="1"/>
    <c:dispBlanksAs val="gap"/>
  </c:chart>
  <c:spPr>
    <a:solidFill>
      <a:schemeClr val="accent6">
        <a:lumMod val="20000"/>
        <a:lumOff val="80000"/>
      </a:schemeClr>
    </a:solidFill>
  </c:spPr>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Arial" pitchFamily="34" charset="0"/>
              </a:defRPr>
            </a:pPr>
            <a:r>
              <a:rPr lang="en-US" sz="1200" b="1">
                <a:solidFill>
                  <a:sysClr val="windowText" lastClr="000000"/>
                </a:solidFill>
                <a:latin typeface="Arial" pitchFamily="34" charset="0"/>
                <a:cs typeface="Arial" pitchFamily="34" charset="0"/>
              </a:rPr>
              <a:t>Figura nr. X.1.3.1.-</a:t>
            </a:r>
            <a:r>
              <a:rPr lang="en-US" sz="1200">
                <a:solidFill>
                  <a:sysClr val="windowText" lastClr="000000"/>
                </a:solidFill>
                <a:latin typeface="Arial" pitchFamily="34" charset="0"/>
                <a:cs typeface="Arial" pitchFamily="34" charset="0"/>
              </a:rPr>
              <a:t>1 </a:t>
            </a:r>
            <a:r>
              <a:rPr lang="pt-BR" sz="1200">
                <a:solidFill>
                  <a:sysClr val="windowText" lastClr="000000"/>
                </a:solidFill>
                <a:latin typeface="Arial" pitchFamily="34" charset="0"/>
                <a:cs typeface="Arial" pitchFamily="34" charset="0"/>
              </a:rPr>
              <a:t>Numărul vehiculelor în inventar pentru transport public local de pasageri, </a:t>
            </a:r>
            <a:r>
              <a:rPr lang="en-US" sz="1200">
                <a:solidFill>
                  <a:sysClr val="windowText" lastClr="000000"/>
                </a:solidFill>
                <a:latin typeface="Arial" pitchFamily="34" charset="0"/>
                <a:cs typeface="Arial" pitchFamily="34" charset="0"/>
              </a:rPr>
              <a:t>pe tipuri de vehicule</a:t>
            </a:r>
            <a:endParaRPr lang="ro-RO" sz="1200">
              <a:solidFill>
                <a:sysClr val="windowText" lastClr="000000"/>
              </a:solidFill>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Arial" pitchFamily="34" charset="0"/>
              </a:defRPr>
            </a:pPr>
            <a:endParaRPr lang="ro-RO" sz="1200">
              <a:solidFill>
                <a:sysClr val="windowText" lastClr="000000"/>
              </a:solidFill>
              <a:latin typeface="Arial" pitchFamily="34" charset="0"/>
              <a:cs typeface="Arial" pitchFamily="34" charset="0"/>
            </a:endParaRPr>
          </a:p>
        </c:rich>
      </c:tx>
    </c:title>
    <c:plotArea>
      <c:layout>
        <c:manualLayout>
          <c:layoutTarget val="inner"/>
          <c:xMode val="edge"/>
          <c:yMode val="edge"/>
          <c:x val="7.1726450860309127E-2"/>
          <c:y val="0.24247031621047371"/>
          <c:w val="0.63410797608632263"/>
          <c:h val="0.65811836020497461"/>
        </c:manualLayout>
      </c:layout>
      <c:barChart>
        <c:barDir val="col"/>
        <c:grouping val="stacked"/>
        <c:ser>
          <c:idx val="0"/>
          <c:order val="0"/>
          <c:tx>
            <c:strRef>
              <c:f>Sheet1!$B$1</c:f>
              <c:strCache>
                <c:ptCount val="1"/>
                <c:pt idx="0">
                  <c:v>Tramvaie</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34</c:v>
                </c:pt>
                <c:pt idx="1">
                  <c:v>31</c:v>
                </c:pt>
                <c:pt idx="2">
                  <c:v>31</c:v>
                </c:pt>
                <c:pt idx="3">
                  <c:v>31</c:v>
                </c:pt>
                <c:pt idx="4">
                  <c:v>38</c:v>
                </c:pt>
              </c:numCache>
            </c:numRef>
          </c:val>
        </c:ser>
        <c:ser>
          <c:idx val="1"/>
          <c:order val="1"/>
          <c:tx>
            <c:strRef>
              <c:f>Sheet1!$C$1</c:f>
              <c:strCache>
                <c:ptCount val="1"/>
                <c:pt idx="0">
                  <c:v>Autobuze și Microbuze</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157</c:v>
                </c:pt>
                <c:pt idx="1">
                  <c:v>164</c:v>
                </c:pt>
                <c:pt idx="2">
                  <c:v>178</c:v>
                </c:pt>
                <c:pt idx="3">
                  <c:v>176</c:v>
                </c:pt>
                <c:pt idx="4">
                  <c:v>135</c:v>
                </c:pt>
              </c:numCache>
            </c:numRef>
          </c:val>
        </c:ser>
        <c:ser>
          <c:idx val="2"/>
          <c:order val="2"/>
          <c:tx>
            <c:strRef>
              <c:f>Sheet1!$D$1</c:f>
              <c:strCache>
                <c:ptCount val="1"/>
                <c:pt idx="0">
                  <c:v>Column1</c:v>
                </c:pt>
              </c:strCache>
            </c:strRef>
          </c:tx>
          <c:cat>
            <c:numRef>
              <c:f>Sheet1!$A$2:$A$6</c:f>
              <c:numCache>
                <c:formatCode>General</c:formatCode>
                <c:ptCount val="5"/>
                <c:pt idx="0">
                  <c:v>2012</c:v>
                </c:pt>
                <c:pt idx="1">
                  <c:v>2013</c:v>
                </c:pt>
                <c:pt idx="2">
                  <c:v>2014</c:v>
                </c:pt>
                <c:pt idx="3">
                  <c:v>2015</c:v>
                </c:pt>
                <c:pt idx="4">
                  <c:v>2016</c:v>
                </c:pt>
              </c:numCache>
            </c:numRef>
          </c:cat>
          <c:val>
            <c:numRef>
              <c:f>Sheet1!$D$2:$D$6</c:f>
            </c:numRef>
          </c:val>
        </c:ser>
        <c:overlap val="100"/>
        <c:axId val="174152704"/>
        <c:axId val="174842624"/>
      </c:barChart>
      <c:catAx>
        <c:axId val="174152704"/>
        <c:scaling>
          <c:orientation val="minMax"/>
        </c:scaling>
        <c:axPos val="b"/>
        <c:numFmt formatCode="General" sourceLinked="1"/>
        <c:tickLblPos val="nextTo"/>
        <c:crossAx val="174842624"/>
        <c:crosses val="autoZero"/>
        <c:auto val="1"/>
        <c:lblAlgn val="ctr"/>
        <c:lblOffset val="100"/>
      </c:catAx>
      <c:valAx>
        <c:axId val="174842624"/>
        <c:scaling>
          <c:orientation val="minMax"/>
        </c:scaling>
        <c:axPos val="l"/>
        <c:majorGridlines/>
        <c:numFmt formatCode="General" sourceLinked="1"/>
        <c:tickLblPos val="nextTo"/>
        <c:crossAx val="174152704"/>
        <c:crosses val="autoZero"/>
        <c:crossBetween val="between"/>
      </c:valAx>
      <c:spPr>
        <a:solidFill>
          <a:schemeClr val="bg1"/>
        </a:solidFill>
      </c:spPr>
    </c:plotArea>
    <c:legend>
      <c:legendPos val="r"/>
    </c:legend>
    <c:plotVisOnly val="1"/>
    <c:dispBlanksAs val="gap"/>
  </c:chart>
  <c:spPr>
    <a:solidFill>
      <a:schemeClr val="accent3">
        <a:lumMod val="20000"/>
        <a:lumOff val="80000"/>
      </a:schemeClr>
    </a:solidFill>
  </c:spPr>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solidFill>
                  <a:sysClr val="windowText" lastClr="000000"/>
                </a:solidFill>
              </a:defRPr>
            </a:pPr>
            <a:r>
              <a:rPr lang="ro-RO" sz="1200" b="1" i="0" baseline="0">
                <a:solidFill>
                  <a:sysClr val="windowText" lastClr="000000"/>
                </a:solidFill>
                <a:latin typeface="Arial" pitchFamily="34" charset="0"/>
                <a:cs typeface="Arial" pitchFamily="34" charset="0"/>
              </a:rPr>
              <a:t>Figura nr. X.1.3.1. - 2 Numărul pasagerilor transportaţi în transportul public local, pe tipuri de vehicule </a:t>
            </a:r>
            <a:endParaRPr lang="ro-RO" sz="1200">
              <a:solidFill>
                <a:sysClr val="windowText" lastClr="000000"/>
              </a:solidFill>
              <a:latin typeface="Arial" pitchFamily="34" charset="0"/>
              <a:cs typeface="Arial" pitchFamily="34" charset="0"/>
            </a:endParaRPr>
          </a:p>
          <a:p>
            <a:pPr>
              <a:defRPr>
                <a:solidFill>
                  <a:sysClr val="windowText" lastClr="000000"/>
                </a:solidFill>
              </a:defRPr>
            </a:pPr>
            <a:r>
              <a:rPr lang="ro-RO" sz="1200" b="1" i="0" baseline="0">
                <a:solidFill>
                  <a:sysClr val="windowText" lastClr="000000"/>
                </a:solidFill>
                <a:latin typeface="Arial" pitchFamily="34" charset="0"/>
                <a:cs typeface="Arial" pitchFamily="34" charset="0"/>
              </a:rPr>
              <a:t> mii pasageri </a:t>
            </a:r>
            <a:endParaRPr lang="ro-RO" sz="1200">
              <a:solidFill>
                <a:sysClr val="windowText" lastClr="000000"/>
              </a:solidFill>
              <a:latin typeface="Arial" pitchFamily="34" charset="0"/>
              <a:cs typeface="Arial" pitchFamily="34" charset="0"/>
            </a:endParaRPr>
          </a:p>
          <a:p>
            <a:pPr>
              <a:defRPr>
                <a:solidFill>
                  <a:sysClr val="windowText" lastClr="000000"/>
                </a:solidFill>
              </a:defRPr>
            </a:pPr>
            <a:endParaRPr lang="ro-RO" sz="1200">
              <a:solidFill>
                <a:sysClr val="windowText" lastClr="000000"/>
              </a:solidFill>
              <a:latin typeface="Arial" pitchFamily="34" charset="0"/>
              <a:cs typeface="Arial" pitchFamily="34" charset="0"/>
            </a:endParaRPr>
          </a:p>
        </c:rich>
      </c:tx>
    </c:title>
    <c:plotArea>
      <c:layout>
        <c:manualLayout>
          <c:layoutTarget val="inner"/>
          <c:xMode val="edge"/>
          <c:yMode val="edge"/>
          <c:x val="9.4041265675124025E-2"/>
          <c:y val="0.25040682414698162"/>
          <c:w val="0.62408482793818298"/>
          <c:h val="0.65018185226848002"/>
        </c:manualLayout>
      </c:layout>
      <c:barChart>
        <c:barDir val="col"/>
        <c:grouping val="clustered"/>
        <c:ser>
          <c:idx val="0"/>
          <c:order val="0"/>
          <c:tx>
            <c:strRef>
              <c:f>Sheet1!$B$1</c:f>
              <c:strCache>
                <c:ptCount val="1"/>
                <c:pt idx="0">
                  <c:v>Tramvaie</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1807</c:v>
                </c:pt>
                <c:pt idx="1">
                  <c:v>4898</c:v>
                </c:pt>
                <c:pt idx="2">
                  <c:v>6082</c:v>
                </c:pt>
                <c:pt idx="3">
                  <c:v>11564</c:v>
                </c:pt>
                <c:pt idx="4">
                  <c:v>11174</c:v>
                </c:pt>
              </c:numCache>
            </c:numRef>
          </c:val>
        </c:ser>
        <c:ser>
          <c:idx val="1"/>
          <c:order val="1"/>
          <c:tx>
            <c:strRef>
              <c:f>Sheet1!$C$1</c:f>
              <c:strCache>
                <c:ptCount val="1"/>
                <c:pt idx="0">
                  <c:v>Autobuze și Microbuze</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29792</c:v>
                </c:pt>
                <c:pt idx="1">
                  <c:v>27370</c:v>
                </c:pt>
                <c:pt idx="2">
                  <c:v>27069</c:v>
                </c:pt>
                <c:pt idx="3">
                  <c:v>24088</c:v>
                </c:pt>
                <c:pt idx="4">
                  <c:v>24017.4</c:v>
                </c:pt>
              </c:numCache>
            </c:numRef>
          </c:val>
        </c:ser>
        <c:ser>
          <c:idx val="2"/>
          <c:order val="2"/>
          <c:tx>
            <c:strRef>
              <c:f>Sheet1!$D$1</c:f>
              <c:strCache>
                <c:ptCount val="1"/>
                <c:pt idx="0">
                  <c:v>Series 3</c:v>
                </c:pt>
              </c:strCache>
            </c:strRef>
          </c:tx>
          <c:cat>
            <c:numRef>
              <c:f>Sheet1!$A$2:$A$6</c:f>
              <c:numCache>
                <c:formatCode>General</c:formatCode>
                <c:ptCount val="5"/>
                <c:pt idx="0">
                  <c:v>2012</c:v>
                </c:pt>
                <c:pt idx="1">
                  <c:v>2013</c:v>
                </c:pt>
                <c:pt idx="2">
                  <c:v>2014</c:v>
                </c:pt>
                <c:pt idx="3">
                  <c:v>2015</c:v>
                </c:pt>
                <c:pt idx="4">
                  <c:v>2016</c:v>
                </c:pt>
              </c:numCache>
            </c:numRef>
          </c:cat>
          <c:val>
            <c:numRef>
              <c:f>Sheet1!$D$2:$D$6</c:f>
            </c:numRef>
          </c:val>
        </c:ser>
        <c:axId val="173672320"/>
        <c:axId val="173673856"/>
      </c:barChart>
      <c:catAx>
        <c:axId val="173672320"/>
        <c:scaling>
          <c:orientation val="minMax"/>
        </c:scaling>
        <c:axPos val="b"/>
        <c:numFmt formatCode="General" sourceLinked="1"/>
        <c:tickLblPos val="nextTo"/>
        <c:crossAx val="173673856"/>
        <c:crosses val="autoZero"/>
        <c:auto val="1"/>
        <c:lblAlgn val="ctr"/>
        <c:lblOffset val="100"/>
      </c:catAx>
      <c:valAx>
        <c:axId val="173673856"/>
        <c:scaling>
          <c:orientation val="minMax"/>
        </c:scaling>
        <c:axPos val="l"/>
        <c:majorGridlines/>
        <c:numFmt formatCode="General" sourceLinked="1"/>
        <c:tickLblPos val="nextTo"/>
        <c:crossAx val="173672320"/>
        <c:crosses val="autoZero"/>
        <c:crossBetween val="between"/>
      </c:valAx>
    </c:plotArea>
    <c:legend>
      <c:legendPos val="r"/>
    </c:legend>
    <c:plotVisOnly val="1"/>
    <c:dispBlanksAs val="gap"/>
  </c:chart>
  <c:spPr>
    <a:solidFill>
      <a:schemeClr val="accent4">
        <a:lumMod val="40000"/>
        <a:lumOff val="60000"/>
      </a:schemeClr>
    </a:solidFill>
  </c:spPr>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ro-RO" sz="1200" b="1">
                <a:solidFill>
                  <a:sysClr val="windowText" lastClr="000000"/>
                </a:solidFill>
                <a:latin typeface="Arial" pitchFamily="34" charset="0"/>
                <a:cs typeface="Arial" pitchFamily="34" charset="0"/>
              </a:rPr>
              <a:t>Figura nr. X.1.3.1. - 3 Numărul pasagerilor transportaţi în transportul public local, pe tipuri de vehicule </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ro-RO" sz="1200" b="1">
                <a:solidFill>
                  <a:sysClr val="windowText" lastClr="000000"/>
                </a:solidFill>
                <a:latin typeface="Arial" pitchFamily="34" charset="0"/>
                <a:cs typeface="Arial" pitchFamily="34" charset="0"/>
              </a:rPr>
              <a:t> mii pasageri - km</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endParaRPr lang="ro-RO" sz="1200" b="0">
              <a:latin typeface="Arial" pitchFamily="34" charset="0"/>
              <a:cs typeface="Arial" pitchFamily="34" charset="0"/>
            </a:endParaRPr>
          </a:p>
        </c:rich>
      </c:tx>
    </c:title>
    <c:plotArea>
      <c:layout/>
      <c:barChart>
        <c:barDir val="col"/>
        <c:grouping val="clustered"/>
        <c:ser>
          <c:idx val="0"/>
          <c:order val="0"/>
          <c:tx>
            <c:strRef>
              <c:f>Sheet1!$B$1</c:f>
              <c:strCache>
                <c:ptCount val="1"/>
                <c:pt idx="0">
                  <c:v>Tramvaie</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3975</c:v>
                </c:pt>
                <c:pt idx="1">
                  <c:v>10775</c:v>
                </c:pt>
                <c:pt idx="2">
                  <c:v>13379</c:v>
                </c:pt>
                <c:pt idx="3">
                  <c:v>25440</c:v>
                </c:pt>
                <c:pt idx="4">
                  <c:v>24582</c:v>
                </c:pt>
              </c:numCache>
            </c:numRef>
          </c:val>
        </c:ser>
        <c:ser>
          <c:idx val="1"/>
          <c:order val="1"/>
          <c:tx>
            <c:strRef>
              <c:f>Sheet1!$C$1</c:f>
              <c:strCache>
                <c:ptCount val="1"/>
                <c:pt idx="0">
                  <c:v>Autobuze si microbuze</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144459.70000000001</c:v>
                </c:pt>
                <c:pt idx="1">
                  <c:v>131755.20000000001</c:v>
                </c:pt>
                <c:pt idx="2">
                  <c:v>131151</c:v>
                </c:pt>
                <c:pt idx="3">
                  <c:v>118027</c:v>
                </c:pt>
                <c:pt idx="4">
                  <c:v>116097.1</c:v>
                </c:pt>
              </c:numCache>
            </c:numRef>
          </c:val>
        </c:ser>
        <c:axId val="175243264"/>
        <c:axId val="175244800"/>
      </c:barChart>
      <c:catAx>
        <c:axId val="175243264"/>
        <c:scaling>
          <c:orientation val="minMax"/>
        </c:scaling>
        <c:axPos val="b"/>
        <c:numFmt formatCode="General" sourceLinked="1"/>
        <c:tickLblPos val="nextTo"/>
        <c:crossAx val="175244800"/>
        <c:crosses val="autoZero"/>
        <c:auto val="1"/>
        <c:lblAlgn val="ctr"/>
        <c:lblOffset val="100"/>
      </c:catAx>
      <c:valAx>
        <c:axId val="175244800"/>
        <c:scaling>
          <c:orientation val="minMax"/>
        </c:scaling>
        <c:axPos val="l"/>
        <c:majorGridlines/>
        <c:numFmt formatCode="General" sourceLinked="1"/>
        <c:tickLblPos val="nextTo"/>
        <c:crossAx val="175243264"/>
        <c:crosses val="autoZero"/>
        <c:crossBetween val="between"/>
      </c:valAx>
      <c:spPr>
        <a:solidFill>
          <a:srgbClr val="FFFF00"/>
        </a:solidFill>
        <a:ln>
          <a:solidFill>
            <a:schemeClr val="accent4">
              <a:lumMod val="60000"/>
              <a:lumOff val="40000"/>
            </a:schemeClr>
          </a:solidFill>
        </a:ln>
      </c:spPr>
    </c:plotArea>
    <c:legend>
      <c:legendPos val="r"/>
    </c:legend>
    <c:plotVisOnly val="1"/>
    <c:dispBlanksAs val="gap"/>
  </c:chart>
  <c:spPr>
    <a:solidFill>
      <a:schemeClr val="accent6">
        <a:lumMod val="20000"/>
        <a:lumOff val="80000"/>
      </a:schemeClr>
    </a:solidFill>
  </c:spPr>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solidFill>
                  <a:srgbClr val="FF0000"/>
                </a:solidFill>
              </a:defRPr>
            </a:pPr>
            <a:r>
              <a:rPr lang="ro-RO" sz="1100" b="0">
                <a:solidFill>
                  <a:sysClr val="windowText" lastClr="000000"/>
                </a:solidFill>
                <a:latin typeface="Arial" pitchFamily="34" charset="0"/>
                <a:cs typeface="Arial" pitchFamily="34" charset="0"/>
              </a:rPr>
              <a:t>Evoluția densității</a:t>
            </a:r>
            <a:r>
              <a:rPr lang="vi-VN" sz="1100" b="0">
                <a:solidFill>
                  <a:sysClr val="windowText" lastClr="000000"/>
                </a:solidFill>
                <a:latin typeface="Arial" pitchFamily="34" charset="0"/>
                <a:cs typeface="Arial" pitchFamily="34" charset="0"/>
              </a:rPr>
              <a:t> populației</a:t>
            </a:r>
            <a:r>
              <a:rPr lang="ro-RO" sz="1100" b="0">
                <a:solidFill>
                  <a:sysClr val="windowText" lastClr="000000"/>
                </a:solidFill>
                <a:latin typeface="Arial" pitchFamily="34" charset="0"/>
                <a:cs typeface="Arial" pitchFamily="34" charset="0"/>
              </a:rPr>
              <a:t> după domiciliu a </a:t>
            </a:r>
            <a:r>
              <a:rPr lang="vi-VN" sz="1100" b="0">
                <a:solidFill>
                  <a:sysClr val="windowText" lastClr="000000"/>
                </a:solidFill>
                <a:latin typeface="Arial" pitchFamily="34" charset="0"/>
                <a:cs typeface="Arial" pitchFamily="34" charset="0"/>
              </a:rPr>
              <a:t> județului Brăila</a:t>
            </a:r>
            <a:endParaRPr lang="ro-RO" sz="1100" b="0">
              <a:solidFill>
                <a:sysClr val="windowText" lastClr="000000"/>
              </a:solidFill>
              <a:latin typeface="Arial" pitchFamily="34" charset="0"/>
              <a:cs typeface="Arial" pitchFamily="34" charset="0"/>
            </a:endParaRPr>
          </a:p>
          <a:p>
            <a:pPr>
              <a:defRPr>
                <a:solidFill>
                  <a:srgbClr val="FF0000"/>
                </a:solidFill>
              </a:defRPr>
            </a:pPr>
            <a:r>
              <a:rPr lang="ro-RO" sz="1100" b="0">
                <a:solidFill>
                  <a:sysClr val="windowText" lastClr="000000"/>
                </a:solidFill>
                <a:latin typeface="Arial" pitchFamily="34" charset="0"/>
                <a:cs typeface="Arial" pitchFamily="34" charset="0"/>
              </a:rPr>
              <a:t> (locuitori/km</a:t>
            </a:r>
            <a:r>
              <a:rPr lang="ro-RO" sz="1100" b="0" baseline="0">
                <a:solidFill>
                  <a:sysClr val="windowText" lastClr="000000"/>
                </a:solidFill>
                <a:latin typeface="Arial" pitchFamily="34" charset="0"/>
                <a:cs typeface="Arial" pitchFamily="34" charset="0"/>
              </a:rPr>
              <a:t> 2)</a:t>
            </a:r>
            <a:endParaRPr lang="vi-VN" sz="1100" b="0">
              <a:solidFill>
                <a:sysClr val="windowText" lastClr="000000"/>
              </a:solidFill>
              <a:latin typeface="Arial" pitchFamily="34" charset="0"/>
              <a:cs typeface="Arial" pitchFamily="34" charset="0"/>
            </a:endParaRPr>
          </a:p>
        </c:rich>
      </c:tx>
    </c:title>
    <c:plotArea>
      <c:layout>
        <c:manualLayout>
          <c:layoutTarget val="inner"/>
          <c:xMode val="edge"/>
          <c:yMode val="edge"/>
          <c:x val="9.0553044912753566E-2"/>
          <c:y val="0.23323348177361444"/>
          <c:w val="0.83668490709488452"/>
          <c:h val="0.50791049347708461"/>
        </c:manualLayout>
      </c:layout>
      <c:lineChart>
        <c:grouping val="standard"/>
        <c:ser>
          <c:idx val="0"/>
          <c:order val="0"/>
          <c:tx>
            <c:strRef>
              <c:f>Sheet1!$B$1</c:f>
              <c:strCache>
                <c:ptCount val="1"/>
                <c:pt idx="0">
                  <c:v>Column1</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77.099999999999994</c:v>
                </c:pt>
                <c:pt idx="1">
                  <c:v>76.5</c:v>
                </c:pt>
                <c:pt idx="2">
                  <c:v>75.7</c:v>
                </c:pt>
                <c:pt idx="3">
                  <c:v>75</c:v>
                </c:pt>
                <c:pt idx="4">
                  <c:v>74.3</c:v>
                </c:pt>
              </c:numCache>
            </c:numRef>
          </c:val>
        </c:ser>
        <c:marker val="1"/>
        <c:axId val="175264896"/>
        <c:axId val="175266432"/>
      </c:lineChart>
      <c:catAx>
        <c:axId val="175264896"/>
        <c:scaling>
          <c:orientation val="minMax"/>
        </c:scaling>
        <c:axPos val="b"/>
        <c:numFmt formatCode="General" sourceLinked="1"/>
        <c:tickLblPos val="nextTo"/>
        <c:crossAx val="175266432"/>
        <c:crosses val="autoZero"/>
        <c:auto val="1"/>
        <c:lblAlgn val="ctr"/>
        <c:lblOffset val="100"/>
      </c:catAx>
      <c:valAx>
        <c:axId val="175266432"/>
        <c:scaling>
          <c:orientation val="minMax"/>
        </c:scaling>
        <c:axPos val="l"/>
        <c:majorGridlines/>
        <c:numFmt formatCode="General" sourceLinked="1"/>
        <c:tickLblPos val="nextTo"/>
        <c:crossAx val="175264896"/>
        <c:crosses val="autoZero"/>
        <c:crossBetween val="between"/>
      </c:valAx>
    </c:plotArea>
    <c:legend>
      <c:legendPos val="r"/>
      <c:layout>
        <c:manualLayout>
          <c:xMode val="edge"/>
          <c:yMode val="edge"/>
          <c:x val="0.18783109505332674"/>
          <c:y val="0.87697600594295111"/>
          <c:w val="0.60504629629630635"/>
          <c:h val="0.11970566179227612"/>
        </c:manualLayout>
      </c:layout>
    </c:legend>
    <c:plotVisOnly val="1"/>
    <c:dispBlanksAs val="gap"/>
  </c:chart>
  <c:spPr>
    <a:solidFill>
      <a:schemeClr val="accent4">
        <a:lumMod val="60000"/>
        <a:lumOff val="40000"/>
        <a:alpha val="39000"/>
      </a:schemeClr>
    </a:solidFill>
    <a:ln>
      <a:solidFill>
        <a:sysClr val="windowText" lastClr="000000">
          <a:alpha val="41000"/>
        </a:sysClr>
      </a:solidFill>
    </a:ln>
  </c:spPr>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solidFill>
                  <a:srgbClr val="FF0000"/>
                </a:solidFill>
              </a:defRPr>
            </a:pPr>
            <a:r>
              <a:rPr lang="ro-RO" sz="1100" b="1">
                <a:solidFill>
                  <a:sysClr val="windowText" lastClr="000000"/>
                </a:solidFill>
                <a:latin typeface="Arial" pitchFamily="34" charset="0"/>
                <a:cs typeface="Arial" pitchFamily="34" charset="0"/>
              </a:rPr>
              <a:t>Evoluția densității</a:t>
            </a:r>
            <a:r>
              <a:rPr lang="vi-VN" sz="1100" b="1">
                <a:solidFill>
                  <a:sysClr val="windowText" lastClr="000000"/>
                </a:solidFill>
                <a:latin typeface="Arial" pitchFamily="34" charset="0"/>
                <a:cs typeface="Arial" pitchFamily="34" charset="0"/>
              </a:rPr>
              <a:t> populației</a:t>
            </a:r>
            <a:r>
              <a:rPr lang="ro-RO" sz="1100" b="1">
                <a:solidFill>
                  <a:sysClr val="windowText" lastClr="000000"/>
                </a:solidFill>
                <a:latin typeface="Arial" pitchFamily="34" charset="0"/>
                <a:cs typeface="Arial" pitchFamily="34" charset="0"/>
              </a:rPr>
              <a:t> rezidente a </a:t>
            </a:r>
            <a:r>
              <a:rPr lang="vi-VN" sz="1100" b="1">
                <a:solidFill>
                  <a:sysClr val="windowText" lastClr="000000"/>
                </a:solidFill>
                <a:latin typeface="Arial" pitchFamily="34" charset="0"/>
                <a:cs typeface="Arial" pitchFamily="34" charset="0"/>
              </a:rPr>
              <a:t> județului Brăila</a:t>
            </a:r>
            <a:endParaRPr lang="ro-RO" sz="1100" b="1">
              <a:solidFill>
                <a:sysClr val="windowText" lastClr="000000"/>
              </a:solidFill>
              <a:latin typeface="Arial" pitchFamily="34" charset="0"/>
              <a:cs typeface="Arial" pitchFamily="34" charset="0"/>
            </a:endParaRPr>
          </a:p>
          <a:p>
            <a:pPr>
              <a:defRPr>
                <a:solidFill>
                  <a:srgbClr val="FF0000"/>
                </a:solidFill>
              </a:defRPr>
            </a:pPr>
            <a:r>
              <a:rPr lang="ro-RO" sz="1100" b="1">
                <a:solidFill>
                  <a:sysClr val="windowText" lastClr="000000"/>
                </a:solidFill>
                <a:latin typeface="Arial" pitchFamily="34" charset="0"/>
                <a:cs typeface="Arial" pitchFamily="34" charset="0"/>
              </a:rPr>
              <a:t> (locuitori/km</a:t>
            </a:r>
            <a:r>
              <a:rPr lang="ro-RO" sz="1100" b="1" baseline="0">
                <a:solidFill>
                  <a:sysClr val="windowText" lastClr="000000"/>
                </a:solidFill>
                <a:latin typeface="Arial" pitchFamily="34" charset="0"/>
                <a:cs typeface="Arial" pitchFamily="34" charset="0"/>
              </a:rPr>
              <a:t> 2)</a:t>
            </a:r>
            <a:endParaRPr lang="vi-VN" sz="1100" b="1">
              <a:solidFill>
                <a:sysClr val="windowText" lastClr="000000"/>
              </a:solidFill>
              <a:latin typeface="Arial" pitchFamily="34" charset="0"/>
              <a:cs typeface="Arial" pitchFamily="34" charset="0"/>
            </a:endParaRPr>
          </a:p>
        </c:rich>
      </c:tx>
    </c:title>
    <c:plotArea>
      <c:layout>
        <c:manualLayout>
          <c:layoutTarget val="inner"/>
          <c:xMode val="edge"/>
          <c:yMode val="edge"/>
          <c:x val="9.0553044912753566E-2"/>
          <c:y val="0.23323348177361444"/>
          <c:w val="0.83668490709488408"/>
          <c:h val="0.50791049347708461"/>
        </c:manualLayout>
      </c:layout>
      <c:lineChart>
        <c:grouping val="standard"/>
        <c:ser>
          <c:idx val="0"/>
          <c:order val="0"/>
          <c:tx>
            <c:strRef>
              <c:f>Sheet1!$B$1</c:f>
              <c:strCache>
                <c:ptCount val="1"/>
                <c:pt idx="0">
                  <c:v>Column1</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67.08</c:v>
                </c:pt>
                <c:pt idx="1">
                  <c:v>66.22</c:v>
                </c:pt>
                <c:pt idx="2">
                  <c:v>65.489999999999995</c:v>
                </c:pt>
                <c:pt idx="3">
                  <c:v>64.649999999999991</c:v>
                </c:pt>
                <c:pt idx="4">
                  <c:v>63.71</c:v>
                </c:pt>
              </c:numCache>
            </c:numRef>
          </c:val>
        </c:ser>
        <c:marker val="1"/>
        <c:axId val="175286528"/>
        <c:axId val="175620096"/>
      </c:lineChart>
      <c:catAx>
        <c:axId val="175286528"/>
        <c:scaling>
          <c:orientation val="minMax"/>
        </c:scaling>
        <c:axPos val="b"/>
        <c:numFmt formatCode="General" sourceLinked="1"/>
        <c:tickLblPos val="nextTo"/>
        <c:crossAx val="175620096"/>
        <c:crosses val="autoZero"/>
        <c:auto val="1"/>
        <c:lblAlgn val="ctr"/>
        <c:lblOffset val="100"/>
      </c:catAx>
      <c:valAx>
        <c:axId val="175620096"/>
        <c:scaling>
          <c:orientation val="minMax"/>
        </c:scaling>
        <c:axPos val="l"/>
        <c:majorGridlines/>
        <c:numFmt formatCode="General" sourceLinked="1"/>
        <c:tickLblPos val="nextTo"/>
        <c:crossAx val="175286528"/>
        <c:crosses val="autoZero"/>
        <c:crossBetween val="between"/>
      </c:valAx>
    </c:plotArea>
    <c:legend>
      <c:legendPos val="r"/>
      <c:layout>
        <c:manualLayout>
          <c:xMode val="edge"/>
          <c:yMode val="edge"/>
          <c:x val="0.18783109505332662"/>
          <c:y val="0.87697600594295133"/>
          <c:w val="0.60504629629630613"/>
          <c:h val="0.11970566179227612"/>
        </c:manualLayout>
      </c:layout>
    </c:legend>
    <c:plotVisOnly val="1"/>
    <c:dispBlanksAs val="gap"/>
  </c:chart>
  <c:spPr>
    <a:solidFill>
      <a:schemeClr val="accent4">
        <a:lumMod val="60000"/>
        <a:lumOff val="40000"/>
        <a:alpha val="39000"/>
      </a:schemeClr>
    </a:solidFill>
    <a:ln>
      <a:solidFill>
        <a:sysClr val="windowText" lastClr="000000">
          <a:alpha val="41000"/>
        </a:sysClr>
      </a:solid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9.141791044776118E-2"/>
          <c:y val="6.7796610169492996E-2"/>
          <c:w val="0.65485074626866613"/>
          <c:h val="0.76836158192089998"/>
        </c:manualLayout>
      </c:layout>
      <c:bar3DChart>
        <c:barDir val="col"/>
        <c:grouping val="clustered"/>
        <c:ser>
          <c:idx val="0"/>
          <c:order val="0"/>
          <c:tx>
            <c:strRef>
              <c:f>Sheet1!$A$2</c:f>
              <c:strCache>
                <c:ptCount val="1"/>
                <c:pt idx="0">
                  <c:v>Medii anuale 2008</c:v>
                </c:pt>
              </c:strCache>
            </c:strRef>
          </c:tx>
          <c:spPr>
            <a:solidFill>
              <a:srgbClr val="9999FF"/>
            </a:solidFill>
            <a:ln w="12701">
              <a:solidFill>
                <a:srgbClr val="000000"/>
              </a:solidFill>
              <a:prstDash val="solid"/>
            </a:ln>
          </c:spPr>
          <c:cat>
            <c:strRef>
              <c:f>Sheet1!$B$1:$E$1</c:f>
              <c:strCache>
                <c:ptCount val="4"/>
                <c:pt idx="0">
                  <c:v>BR1</c:v>
                </c:pt>
                <c:pt idx="1">
                  <c:v>BR2</c:v>
                </c:pt>
                <c:pt idx="2">
                  <c:v>BR3</c:v>
                </c:pt>
                <c:pt idx="3">
                  <c:v>BR5</c:v>
                </c:pt>
              </c:strCache>
            </c:strRef>
          </c:cat>
          <c:val>
            <c:numRef>
              <c:f>Sheet1!$B$2:$E$2</c:f>
              <c:numCache>
                <c:formatCode>General</c:formatCode>
                <c:ptCount val="4"/>
                <c:pt idx="1">
                  <c:v>3.145</c:v>
                </c:pt>
                <c:pt idx="2">
                  <c:v>3.19</c:v>
                </c:pt>
              </c:numCache>
            </c:numRef>
          </c:val>
        </c:ser>
        <c:ser>
          <c:idx val="1"/>
          <c:order val="1"/>
          <c:tx>
            <c:strRef>
              <c:f>Sheet1!$A$3</c:f>
              <c:strCache>
                <c:ptCount val="1"/>
                <c:pt idx="0">
                  <c:v>Medii anuale 2009</c:v>
                </c:pt>
              </c:strCache>
            </c:strRef>
          </c:tx>
          <c:spPr>
            <a:solidFill>
              <a:srgbClr val="993366"/>
            </a:solidFill>
            <a:ln w="12701">
              <a:solidFill>
                <a:srgbClr val="000000"/>
              </a:solidFill>
              <a:prstDash val="solid"/>
            </a:ln>
          </c:spPr>
          <c:cat>
            <c:strRef>
              <c:f>Sheet1!$B$1:$E$1</c:f>
              <c:strCache>
                <c:ptCount val="4"/>
                <c:pt idx="0">
                  <c:v>BR1</c:v>
                </c:pt>
                <c:pt idx="1">
                  <c:v>BR2</c:v>
                </c:pt>
                <c:pt idx="2">
                  <c:v>BR3</c:v>
                </c:pt>
                <c:pt idx="3">
                  <c:v>BR5</c:v>
                </c:pt>
              </c:strCache>
            </c:strRef>
          </c:cat>
          <c:val>
            <c:numRef>
              <c:f>Sheet1!$B$3:$E$3</c:f>
              <c:numCache>
                <c:formatCode>General</c:formatCode>
                <c:ptCount val="4"/>
                <c:pt idx="0">
                  <c:v>4.6499999999999995</c:v>
                </c:pt>
                <c:pt idx="1">
                  <c:v>0.25</c:v>
                </c:pt>
                <c:pt idx="2">
                  <c:v>1.48</c:v>
                </c:pt>
              </c:numCache>
            </c:numRef>
          </c:val>
        </c:ser>
        <c:ser>
          <c:idx val="2"/>
          <c:order val="2"/>
          <c:tx>
            <c:strRef>
              <c:f>Sheet1!$A$4</c:f>
              <c:strCache>
                <c:ptCount val="1"/>
                <c:pt idx="0">
                  <c:v>Medii anuale 2010</c:v>
                </c:pt>
              </c:strCache>
            </c:strRef>
          </c:tx>
          <c:spPr>
            <a:solidFill>
              <a:srgbClr val="00FF00"/>
            </a:solidFill>
            <a:ln w="12701">
              <a:solidFill>
                <a:srgbClr val="000000"/>
              </a:solidFill>
              <a:prstDash val="solid"/>
            </a:ln>
          </c:spPr>
          <c:cat>
            <c:strRef>
              <c:f>Sheet1!$B$1:$E$1</c:f>
              <c:strCache>
                <c:ptCount val="4"/>
                <c:pt idx="0">
                  <c:v>BR1</c:v>
                </c:pt>
                <c:pt idx="1">
                  <c:v>BR2</c:v>
                </c:pt>
                <c:pt idx="2">
                  <c:v>BR3</c:v>
                </c:pt>
                <c:pt idx="3">
                  <c:v>BR5</c:v>
                </c:pt>
              </c:strCache>
            </c:strRef>
          </c:cat>
          <c:val>
            <c:numRef>
              <c:f>Sheet1!$B$4:$E$4</c:f>
              <c:numCache>
                <c:formatCode>General</c:formatCode>
                <c:ptCount val="4"/>
                <c:pt idx="0">
                  <c:v>2.4099999999999997</c:v>
                </c:pt>
                <c:pt idx="1">
                  <c:v>0.13</c:v>
                </c:pt>
                <c:pt idx="2">
                  <c:v>1.41</c:v>
                </c:pt>
                <c:pt idx="3">
                  <c:v>2.1</c:v>
                </c:pt>
              </c:numCache>
            </c:numRef>
          </c:val>
        </c:ser>
        <c:ser>
          <c:idx val="3"/>
          <c:order val="3"/>
          <c:tx>
            <c:strRef>
              <c:f>Sheet1!$A$5</c:f>
              <c:strCache>
                <c:ptCount val="1"/>
                <c:pt idx="0">
                  <c:v>Medii anuale 2011</c:v>
                </c:pt>
              </c:strCache>
            </c:strRef>
          </c:tx>
          <c:spPr>
            <a:solidFill>
              <a:srgbClr val="CCFFFF"/>
            </a:solidFill>
            <a:ln w="12701">
              <a:solidFill>
                <a:srgbClr val="000000"/>
              </a:solidFill>
              <a:prstDash val="solid"/>
            </a:ln>
          </c:spPr>
          <c:cat>
            <c:strRef>
              <c:f>Sheet1!$B$1:$E$1</c:f>
              <c:strCache>
                <c:ptCount val="4"/>
                <c:pt idx="0">
                  <c:v>BR1</c:v>
                </c:pt>
                <c:pt idx="1">
                  <c:v>BR2</c:v>
                </c:pt>
                <c:pt idx="2">
                  <c:v>BR3</c:v>
                </c:pt>
                <c:pt idx="3">
                  <c:v>BR5</c:v>
                </c:pt>
              </c:strCache>
            </c:strRef>
          </c:cat>
          <c:val>
            <c:numRef>
              <c:f>Sheet1!$B$5:$E$5</c:f>
              <c:numCache>
                <c:formatCode>General</c:formatCode>
                <c:ptCount val="4"/>
                <c:pt idx="2">
                  <c:v>1.42</c:v>
                </c:pt>
                <c:pt idx="3">
                  <c:v>2.17</c:v>
                </c:pt>
              </c:numCache>
            </c:numRef>
          </c:val>
        </c:ser>
        <c:ser>
          <c:idx val="4"/>
          <c:order val="4"/>
          <c:tx>
            <c:strRef>
              <c:f>Sheet1!$A$6</c:f>
              <c:strCache>
                <c:ptCount val="1"/>
                <c:pt idx="0">
                  <c:v>Medii anuale 2012</c:v>
                </c:pt>
              </c:strCache>
            </c:strRef>
          </c:tx>
          <c:cat>
            <c:strRef>
              <c:f>Sheet1!$B$1:$E$1</c:f>
              <c:strCache>
                <c:ptCount val="4"/>
                <c:pt idx="0">
                  <c:v>BR1</c:v>
                </c:pt>
                <c:pt idx="1">
                  <c:v>BR2</c:v>
                </c:pt>
                <c:pt idx="2">
                  <c:v>BR3</c:v>
                </c:pt>
                <c:pt idx="3">
                  <c:v>BR5</c:v>
                </c:pt>
              </c:strCache>
            </c:strRef>
          </c:cat>
          <c:val>
            <c:numRef>
              <c:f>Sheet1!$B$6:$E$6</c:f>
              <c:numCache>
                <c:formatCode>General</c:formatCode>
                <c:ptCount val="4"/>
                <c:pt idx="2">
                  <c:v>2.4499999999999997</c:v>
                </c:pt>
                <c:pt idx="3">
                  <c:v>0.93</c:v>
                </c:pt>
              </c:numCache>
            </c:numRef>
          </c:val>
        </c:ser>
        <c:ser>
          <c:idx val="5"/>
          <c:order val="5"/>
          <c:tx>
            <c:strRef>
              <c:f>Sheet1!$A$7</c:f>
              <c:strCache>
                <c:ptCount val="1"/>
                <c:pt idx="0">
                  <c:v>Medii anuale 2016</c:v>
                </c:pt>
              </c:strCache>
            </c:strRef>
          </c:tx>
          <c:cat>
            <c:strRef>
              <c:f>Sheet1!$B$1:$E$1</c:f>
              <c:strCache>
                <c:ptCount val="4"/>
                <c:pt idx="0">
                  <c:v>BR1</c:v>
                </c:pt>
                <c:pt idx="1">
                  <c:v>BR2</c:v>
                </c:pt>
                <c:pt idx="2">
                  <c:v>BR3</c:v>
                </c:pt>
                <c:pt idx="3">
                  <c:v>BR5</c:v>
                </c:pt>
              </c:strCache>
            </c:strRef>
          </c:cat>
          <c:val>
            <c:numRef>
              <c:f>Sheet1!$B$7:$E$7</c:f>
              <c:numCache>
                <c:formatCode>General</c:formatCode>
                <c:ptCount val="4"/>
                <c:pt idx="0">
                  <c:v>1.9300000000000019</c:v>
                </c:pt>
                <c:pt idx="1">
                  <c:v>1.2</c:v>
                </c:pt>
                <c:pt idx="3">
                  <c:v>1.37</c:v>
                </c:pt>
              </c:numCache>
            </c:numRef>
          </c:val>
        </c:ser>
        <c:gapWidth val="500"/>
        <c:gapDepth val="0"/>
        <c:shape val="box"/>
        <c:axId val="85607936"/>
        <c:axId val="85609472"/>
        <c:axId val="0"/>
      </c:bar3DChart>
      <c:catAx>
        <c:axId val="85607936"/>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85609472"/>
        <c:crosses val="autoZero"/>
        <c:auto val="1"/>
        <c:lblAlgn val="ctr"/>
        <c:lblOffset val="100"/>
        <c:tickLblSkip val="1"/>
        <c:tickMarkSkip val="1"/>
      </c:catAx>
      <c:valAx>
        <c:axId val="85609472"/>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2788773889552704E-2"/>
              <c:y val="0.16384184597246354"/>
            </c:manualLayout>
          </c:layout>
          <c:spPr>
            <a:noFill/>
            <a:ln w="25401">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85607936"/>
        <c:crosses val="autoZero"/>
        <c:crossBetween val="between"/>
      </c:valAx>
      <c:spPr>
        <a:noFill/>
        <a:ln w="25401">
          <a:noFill/>
        </a:ln>
      </c:spPr>
    </c:plotArea>
    <c:legend>
      <c:legendPos val="r"/>
      <c:layout>
        <c:manualLayout>
          <c:xMode val="edge"/>
          <c:yMode val="edge"/>
          <c:x val="0.76492537313434028"/>
          <c:y val="0.14689265536723403"/>
          <c:w val="0.20113604629403042"/>
          <c:h val="0.6374365236431031"/>
        </c:manualLayout>
      </c:layout>
      <c:spPr>
        <a:solidFill>
          <a:srgbClr val="FFFFFF"/>
        </a:solidFill>
        <a:ln w="3175">
          <a:solidFill>
            <a:srgbClr val="000000"/>
          </a:solidFill>
          <a:prstDash val="solid"/>
        </a:ln>
      </c:spPr>
      <c:txPr>
        <a:bodyPr/>
        <a:lstStyle/>
        <a:p>
          <a:pPr>
            <a:defRPr sz="80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6358"/>
          <c:h val="0.72979095260151527"/>
        </c:manualLayout>
      </c:layout>
      <c:bar3DChart>
        <c:barDir val="col"/>
        <c:grouping val="clustered"/>
        <c:ser>
          <c:idx val="3"/>
          <c:order val="0"/>
          <c:tx>
            <c:strRef>
              <c:f>Sheet1!#REF!</c:f>
              <c:strCache>
                <c:ptCount val="1"/>
                <c:pt idx="0">
                  <c:v>#REF!</c:v>
                </c:pt>
              </c:strCache>
            </c:strRef>
          </c:tx>
          <c:spPr>
            <a:solidFill>
              <a:srgbClr val="CCFFFF"/>
            </a:solidFill>
            <a:ln w="12699">
              <a:solidFill>
                <a:srgbClr val="000000"/>
              </a:solidFill>
              <a:prstDash val="solid"/>
            </a:ln>
          </c:spPr>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ser>
        <c:ser>
          <c:idx val="0"/>
          <c:order val="1"/>
          <c:tx>
            <c:strRef>
              <c:f>Sheet1!#REF!</c:f>
              <c:strCache>
                <c:ptCount val="1"/>
                <c:pt idx="0">
                  <c:v>#REF!</c:v>
                </c:pt>
              </c:strCache>
            </c:strRef>
          </c:tx>
          <c:spPr>
            <a:solidFill>
              <a:srgbClr val="9999FF"/>
            </a:solidFill>
            <a:ln w="12699">
              <a:solidFill>
                <a:srgbClr val="000000"/>
              </a:solidFill>
              <a:prstDash val="solid"/>
            </a:ln>
          </c:spPr>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ser>
        <c:ser>
          <c:idx val="1"/>
          <c:order val="2"/>
          <c:tx>
            <c:strRef>
              <c:f>Sheet1!#REF!</c:f>
              <c:strCache>
                <c:ptCount val="1"/>
                <c:pt idx="0">
                  <c:v>#REF!</c:v>
                </c:pt>
              </c:strCache>
            </c:strRef>
          </c:tx>
          <c:spPr>
            <a:solidFill>
              <a:srgbClr val="993366"/>
            </a:solidFill>
            <a:ln w="12699">
              <a:solidFill>
                <a:srgbClr val="000000"/>
              </a:solidFill>
              <a:prstDash val="solid"/>
            </a:ln>
          </c:spPr>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ser>
        <c:ser>
          <c:idx val="2"/>
          <c:order val="3"/>
          <c:tx>
            <c:strRef>
              <c:f>Sheet1!#REF!</c:f>
              <c:strCache>
                <c:ptCount val="1"/>
                <c:pt idx="0">
                  <c:v>#REF!</c:v>
                </c:pt>
              </c:strCache>
            </c:strRef>
          </c:tx>
          <c:spPr>
            <a:solidFill>
              <a:srgbClr val="FFFFCC"/>
            </a:solidFill>
            <a:ln w="12699">
              <a:solidFill>
                <a:srgbClr val="000000"/>
              </a:solidFill>
              <a:prstDash val="solid"/>
            </a:ln>
          </c:spPr>
          <c:cat>
            <c:strRef>
              <c:f>Sheet1!$C$1:$F$1</c:f>
              <c:strCache>
                <c:ptCount val="4"/>
                <c:pt idx="0">
                  <c:v>BR2</c:v>
                </c:pt>
                <c:pt idx="1">
                  <c:v>BR3</c:v>
                </c:pt>
                <c:pt idx="2">
                  <c:v>BR4</c:v>
                </c:pt>
                <c:pt idx="3">
                  <c:v>BR5</c:v>
                </c:pt>
              </c:strCache>
            </c:strRef>
          </c:cat>
          <c:val>
            <c:numRef>
              <c:f>Sheet1!#REF!</c:f>
              <c:numCache>
                <c:formatCode>General</c:formatCode>
                <c:ptCount val="1"/>
                <c:pt idx="0">
                  <c:v>1</c:v>
                </c:pt>
              </c:numCache>
            </c:numRef>
          </c:val>
        </c:ser>
        <c:ser>
          <c:idx val="4"/>
          <c:order val="4"/>
          <c:tx>
            <c:strRef>
              <c:f>Sheet1!$B$2</c:f>
              <c:strCache>
                <c:ptCount val="1"/>
                <c:pt idx="0">
                  <c:v>Medii anuale 2012</c:v>
                </c:pt>
              </c:strCache>
            </c:strRef>
          </c:tx>
          <c:cat>
            <c:strRef>
              <c:f>Sheet1!$C$1:$F$1</c:f>
              <c:strCache>
                <c:ptCount val="4"/>
                <c:pt idx="0">
                  <c:v>BR2</c:v>
                </c:pt>
                <c:pt idx="1">
                  <c:v>BR3</c:v>
                </c:pt>
                <c:pt idx="2">
                  <c:v>BR4</c:v>
                </c:pt>
                <c:pt idx="3">
                  <c:v>BR5</c:v>
                </c:pt>
              </c:strCache>
            </c:strRef>
          </c:cat>
          <c:val>
            <c:numRef>
              <c:f>Sheet1!$C$2:$F$2</c:f>
              <c:numCache>
                <c:formatCode>General</c:formatCode>
                <c:ptCount val="4"/>
                <c:pt idx="0">
                  <c:v>67.42</c:v>
                </c:pt>
                <c:pt idx="2">
                  <c:v>77.58</c:v>
                </c:pt>
                <c:pt idx="3">
                  <c:v>76.13</c:v>
                </c:pt>
              </c:numCache>
            </c:numRef>
          </c:val>
        </c:ser>
        <c:ser>
          <c:idx val="5"/>
          <c:order val="5"/>
          <c:tx>
            <c:strRef>
              <c:f>Sheet1!$B$3</c:f>
              <c:strCache>
                <c:ptCount val="1"/>
                <c:pt idx="0">
                  <c:v>Medii anuale 2013</c:v>
                </c:pt>
              </c:strCache>
            </c:strRef>
          </c:tx>
          <c:cat>
            <c:strRef>
              <c:f>Sheet1!$C$1:$F$1</c:f>
              <c:strCache>
                <c:ptCount val="4"/>
                <c:pt idx="0">
                  <c:v>BR2</c:v>
                </c:pt>
                <c:pt idx="1">
                  <c:v>BR3</c:v>
                </c:pt>
                <c:pt idx="2">
                  <c:v>BR4</c:v>
                </c:pt>
                <c:pt idx="3">
                  <c:v>BR5</c:v>
                </c:pt>
              </c:strCache>
            </c:strRef>
          </c:cat>
          <c:val>
            <c:numRef>
              <c:f>Sheet1!$C$3:$F$3</c:f>
              <c:numCache>
                <c:formatCode>General</c:formatCode>
                <c:ptCount val="4"/>
                <c:pt idx="0">
                  <c:v>57.39</c:v>
                </c:pt>
                <c:pt idx="2">
                  <c:v>64.56</c:v>
                </c:pt>
                <c:pt idx="3">
                  <c:v>74.3</c:v>
                </c:pt>
              </c:numCache>
            </c:numRef>
          </c:val>
        </c:ser>
        <c:ser>
          <c:idx val="6"/>
          <c:order val="6"/>
          <c:tx>
            <c:strRef>
              <c:f>Sheet1!$B$4</c:f>
              <c:strCache>
                <c:ptCount val="1"/>
                <c:pt idx="0">
                  <c:v>Medii anuale 2014</c:v>
                </c:pt>
              </c:strCache>
            </c:strRef>
          </c:tx>
          <c:cat>
            <c:strRef>
              <c:f>Sheet1!$C$1:$F$1</c:f>
              <c:strCache>
                <c:ptCount val="4"/>
                <c:pt idx="0">
                  <c:v>BR2</c:v>
                </c:pt>
                <c:pt idx="1">
                  <c:v>BR3</c:v>
                </c:pt>
                <c:pt idx="2">
                  <c:v>BR4</c:v>
                </c:pt>
                <c:pt idx="3">
                  <c:v>BR5</c:v>
                </c:pt>
              </c:strCache>
            </c:strRef>
          </c:cat>
          <c:val>
            <c:numRef>
              <c:f>Sheet1!$C$4:$F$4</c:f>
              <c:numCache>
                <c:formatCode>General</c:formatCode>
                <c:ptCount val="4"/>
                <c:pt idx="0">
                  <c:v>23.02</c:v>
                </c:pt>
                <c:pt idx="2">
                  <c:v>29.23</c:v>
                </c:pt>
                <c:pt idx="3">
                  <c:v>67.239999999999995</c:v>
                </c:pt>
              </c:numCache>
            </c:numRef>
          </c:val>
        </c:ser>
        <c:ser>
          <c:idx val="7"/>
          <c:order val="7"/>
          <c:tx>
            <c:strRef>
              <c:f>Sheet1!$B$5</c:f>
              <c:strCache>
                <c:ptCount val="1"/>
                <c:pt idx="0">
                  <c:v>Medii anuale 2015</c:v>
                </c:pt>
              </c:strCache>
            </c:strRef>
          </c:tx>
          <c:cat>
            <c:strRef>
              <c:f>Sheet1!$C$1:$F$1</c:f>
              <c:strCache>
                <c:ptCount val="4"/>
                <c:pt idx="0">
                  <c:v>BR2</c:v>
                </c:pt>
                <c:pt idx="1">
                  <c:v>BR3</c:v>
                </c:pt>
                <c:pt idx="2">
                  <c:v>BR4</c:v>
                </c:pt>
                <c:pt idx="3">
                  <c:v>BR5</c:v>
                </c:pt>
              </c:strCache>
            </c:strRef>
          </c:cat>
          <c:val>
            <c:numRef>
              <c:f>Sheet1!$C$5:$F$5</c:f>
              <c:numCache>
                <c:formatCode>General</c:formatCode>
                <c:ptCount val="4"/>
                <c:pt idx="0">
                  <c:v>53.230000000000011</c:v>
                </c:pt>
                <c:pt idx="1">
                  <c:v>50.68</c:v>
                </c:pt>
                <c:pt idx="2">
                  <c:v>46.01</c:v>
                </c:pt>
                <c:pt idx="3">
                  <c:v>42.25</c:v>
                </c:pt>
              </c:numCache>
            </c:numRef>
          </c:val>
        </c:ser>
        <c:ser>
          <c:idx val="8"/>
          <c:order val="8"/>
          <c:tx>
            <c:strRef>
              <c:f>Sheet1!$B$6</c:f>
              <c:strCache>
                <c:ptCount val="1"/>
                <c:pt idx="0">
                  <c:v>Medii anuale 2016</c:v>
                </c:pt>
              </c:strCache>
            </c:strRef>
          </c:tx>
          <c:cat>
            <c:strRef>
              <c:f>Sheet1!$C$1:$F$1</c:f>
              <c:strCache>
                <c:ptCount val="4"/>
                <c:pt idx="0">
                  <c:v>BR2</c:v>
                </c:pt>
                <c:pt idx="1">
                  <c:v>BR3</c:v>
                </c:pt>
                <c:pt idx="2">
                  <c:v>BR4</c:v>
                </c:pt>
                <c:pt idx="3">
                  <c:v>BR5</c:v>
                </c:pt>
              </c:strCache>
            </c:strRef>
          </c:cat>
          <c:val>
            <c:numRef>
              <c:f>Sheet1!$C$6:$F$6</c:f>
              <c:numCache>
                <c:formatCode>General</c:formatCode>
                <c:ptCount val="4"/>
                <c:pt idx="0">
                  <c:v>0</c:v>
                </c:pt>
                <c:pt idx="1">
                  <c:v>0</c:v>
                </c:pt>
                <c:pt idx="2">
                  <c:v>0</c:v>
                </c:pt>
                <c:pt idx="3">
                  <c:v>0</c:v>
                </c:pt>
              </c:numCache>
            </c:numRef>
          </c:val>
        </c:ser>
        <c:gapWidth val="340"/>
        <c:gapDepth val="0"/>
        <c:shape val="box"/>
        <c:axId val="85739008"/>
        <c:axId val="85740544"/>
        <c:axId val="0"/>
      </c:bar3DChart>
      <c:catAx>
        <c:axId val="85739008"/>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85740544"/>
        <c:crosses val="autoZero"/>
        <c:auto val="1"/>
        <c:lblAlgn val="ctr"/>
        <c:lblOffset val="100"/>
        <c:tickLblSkip val="1"/>
        <c:tickMarkSkip val="1"/>
      </c:catAx>
      <c:valAx>
        <c:axId val="85740544"/>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2.2830106762970506E-2"/>
              <c:y val="0.17247079409191499"/>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85739008"/>
        <c:crosses val="autoZero"/>
        <c:crossBetween val="between"/>
      </c:valAx>
      <c:spPr>
        <a:noFill/>
        <a:ln w="25399">
          <a:noFill/>
        </a:ln>
      </c:spPr>
    </c:plotArea>
    <c:legend>
      <c:legendPos val="r"/>
      <c:legendEntry>
        <c:idx val="0"/>
        <c:delete val="1"/>
      </c:legendEntry>
      <c:legendEntry>
        <c:idx val="1"/>
        <c:delete val="1"/>
      </c:legendEntry>
      <c:legendEntry>
        <c:idx val="2"/>
        <c:delete val="1"/>
      </c:legendEntry>
      <c:legendEntry>
        <c:idx val="3"/>
        <c:delete val="1"/>
      </c:legendEntry>
      <c:layout>
        <c:manualLayout>
          <c:xMode val="edge"/>
          <c:yMode val="edge"/>
          <c:x val="0.75110196751721825"/>
          <c:y val="0.24636549843034375"/>
          <c:w val="0.21167406705740729"/>
          <c:h val="0.42182268001998352"/>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4.3545797651206024E-2"/>
          <c:y val="4.7855983650898923E-2"/>
          <c:w val="0.92531065003735846"/>
          <c:h val="0.81264050009016064"/>
        </c:manualLayout>
      </c:layout>
      <c:barChart>
        <c:barDir val="col"/>
        <c:grouping val="clustered"/>
        <c:ser>
          <c:idx val="1"/>
          <c:order val="0"/>
          <c:tx>
            <c:strRef>
              <c:f>Sheet1!$A$2</c:f>
              <c:strCache>
                <c:ptCount val="1"/>
                <c:pt idx="0">
                  <c:v>Sediu APM</c:v>
                </c:pt>
              </c:strCache>
            </c:strRef>
          </c:tx>
          <c:spPr>
            <a:solidFill>
              <a:srgbClr val="993366"/>
            </a:solidFill>
            <a:ln w="9290">
              <a:solidFill>
                <a:srgbClr val="000000"/>
              </a:solidFill>
              <a:prstDash val="solid"/>
            </a:ln>
          </c:spPr>
          <c:cat>
            <c:strRef>
              <c:f>Sheet1!$B$1:$F$1</c:f>
              <c:strCache>
                <c:ptCount val="5"/>
                <c:pt idx="0">
                  <c:v>Medie an 2012</c:v>
                </c:pt>
                <c:pt idx="1">
                  <c:v>Medie an 2013</c:v>
                </c:pt>
                <c:pt idx="2">
                  <c:v>Medie an 2014</c:v>
                </c:pt>
                <c:pt idx="3">
                  <c:v>Media an 2015</c:v>
                </c:pt>
                <c:pt idx="4">
                  <c:v>Medie an 2016</c:v>
                </c:pt>
              </c:strCache>
            </c:strRef>
          </c:cat>
          <c:val>
            <c:numRef>
              <c:f>Sheet1!$B$2:$F$2</c:f>
              <c:numCache>
                <c:formatCode>General</c:formatCode>
                <c:ptCount val="5"/>
                <c:pt idx="0">
                  <c:v>5.2700000000000014</c:v>
                </c:pt>
                <c:pt idx="1">
                  <c:v>5.64</c:v>
                </c:pt>
                <c:pt idx="2">
                  <c:v>4.24</c:v>
                </c:pt>
                <c:pt idx="3">
                  <c:v>4.78</c:v>
                </c:pt>
                <c:pt idx="4">
                  <c:v>3.2800000000000002</c:v>
                </c:pt>
              </c:numCache>
            </c:numRef>
          </c:val>
        </c:ser>
        <c:ser>
          <c:idx val="2"/>
          <c:order val="1"/>
          <c:tx>
            <c:strRef>
              <c:f>Sheet1!$A$3</c:f>
              <c:strCache>
                <c:ptCount val="1"/>
                <c:pt idx="0">
                  <c:v>Uzina de Apă</c:v>
                </c:pt>
              </c:strCache>
            </c:strRef>
          </c:tx>
          <c:spPr>
            <a:solidFill>
              <a:srgbClr val="FFFFCC"/>
            </a:solidFill>
            <a:ln w="9290">
              <a:solidFill>
                <a:srgbClr val="000000"/>
              </a:solidFill>
              <a:prstDash val="solid"/>
            </a:ln>
          </c:spPr>
          <c:cat>
            <c:strRef>
              <c:f>Sheet1!$B$1:$F$1</c:f>
              <c:strCache>
                <c:ptCount val="5"/>
                <c:pt idx="0">
                  <c:v>Medie an 2012</c:v>
                </c:pt>
                <c:pt idx="1">
                  <c:v>Medie an 2013</c:v>
                </c:pt>
                <c:pt idx="2">
                  <c:v>Medie an 2014</c:v>
                </c:pt>
                <c:pt idx="3">
                  <c:v>Media an 2015</c:v>
                </c:pt>
                <c:pt idx="4">
                  <c:v>Medie an 2016</c:v>
                </c:pt>
              </c:strCache>
            </c:strRef>
          </c:cat>
          <c:val>
            <c:numRef>
              <c:f>Sheet1!$B$3:$F$3</c:f>
              <c:numCache>
                <c:formatCode>General</c:formatCode>
                <c:ptCount val="5"/>
                <c:pt idx="0">
                  <c:v>7.01</c:v>
                </c:pt>
                <c:pt idx="1">
                  <c:v>7.75</c:v>
                </c:pt>
                <c:pt idx="2">
                  <c:v>6.23</c:v>
                </c:pt>
                <c:pt idx="3">
                  <c:v>5.14</c:v>
                </c:pt>
                <c:pt idx="4">
                  <c:v>8.2800000000000011</c:v>
                </c:pt>
              </c:numCache>
            </c:numRef>
          </c:val>
        </c:ser>
        <c:ser>
          <c:idx val="3"/>
          <c:order val="2"/>
          <c:tx>
            <c:strRef>
              <c:f>Sheet1!$A$4</c:f>
              <c:strCache>
                <c:ptCount val="1"/>
                <c:pt idx="0">
                  <c:v>Vărsătura</c:v>
                </c:pt>
              </c:strCache>
            </c:strRef>
          </c:tx>
          <c:spPr>
            <a:solidFill>
              <a:srgbClr val="00FF00"/>
            </a:solidFill>
            <a:ln w="9290">
              <a:solidFill>
                <a:srgbClr val="000000"/>
              </a:solidFill>
              <a:prstDash val="solid"/>
            </a:ln>
          </c:spPr>
          <c:cat>
            <c:strRef>
              <c:f>Sheet1!$B$1:$F$1</c:f>
              <c:strCache>
                <c:ptCount val="5"/>
                <c:pt idx="0">
                  <c:v>Medie an 2012</c:v>
                </c:pt>
                <c:pt idx="1">
                  <c:v>Medie an 2013</c:v>
                </c:pt>
                <c:pt idx="2">
                  <c:v>Medie an 2014</c:v>
                </c:pt>
                <c:pt idx="3">
                  <c:v>Media an 2015</c:v>
                </c:pt>
                <c:pt idx="4">
                  <c:v>Medie an 2016</c:v>
                </c:pt>
              </c:strCache>
            </c:strRef>
          </c:cat>
          <c:val>
            <c:numRef>
              <c:f>Sheet1!$B$4:$F$4</c:f>
              <c:numCache>
                <c:formatCode>General</c:formatCode>
                <c:ptCount val="5"/>
                <c:pt idx="0">
                  <c:v>15.25</c:v>
                </c:pt>
                <c:pt idx="1">
                  <c:v>16.89</c:v>
                </c:pt>
                <c:pt idx="2">
                  <c:v>16.39</c:v>
                </c:pt>
                <c:pt idx="3">
                  <c:v>20.399999999999999</c:v>
                </c:pt>
                <c:pt idx="4">
                  <c:v>10.79</c:v>
                </c:pt>
              </c:numCache>
            </c:numRef>
          </c:val>
        </c:ser>
        <c:ser>
          <c:idx val="4"/>
          <c:order val="3"/>
          <c:tx>
            <c:strRef>
              <c:f>Sheet1!$A$5</c:f>
              <c:strCache>
                <c:ptCount val="1"/>
                <c:pt idx="0">
                  <c:v>Str.Gen.Gh. Avramescu</c:v>
                </c:pt>
              </c:strCache>
            </c:strRef>
          </c:tx>
          <c:spPr>
            <a:solidFill>
              <a:srgbClr val="660066"/>
            </a:solidFill>
            <a:ln w="9290">
              <a:solidFill>
                <a:srgbClr val="000000"/>
              </a:solidFill>
              <a:prstDash val="solid"/>
            </a:ln>
          </c:spPr>
          <c:cat>
            <c:strRef>
              <c:f>Sheet1!$B$1:$F$1</c:f>
              <c:strCache>
                <c:ptCount val="5"/>
                <c:pt idx="0">
                  <c:v>Medie an 2012</c:v>
                </c:pt>
                <c:pt idx="1">
                  <c:v>Medie an 2013</c:v>
                </c:pt>
                <c:pt idx="2">
                  <c:v>Medie an 2014</c:v>
                </c:pt>
                <c:pt idx="3">
                  <c:v>Media an 2015</c:v>
                </c:pt>
                <c:pt idx="4">
                  <c:v>Medie an 2016</c:v>
                </c:pt>
              </c:strCache>
            </c:strRef>
          </c:cat>
          <c:val>
            <c:numRef>
              <c:f>Sheet1!$B$5:$F$5</c:f>
              <c:numCache>
                <c:formatCode>General</c:formatCode>
                <c:ptCount val="5"/>
                <c:pt idx="0">
                  <c:v>13.91</c:v>
                </c:pt>
                <c:pt idx="1">
                  <c:v>8.56</c:v>
                </c:pt>
                <c:pt idx="2">
                  <c:v>6.6099999999999985</c:v>
                </c:pt>
                <c:pt idx="3">
                  <c:v>5.45</c:v>
                </c:pt>
                <c:pt idx="4">
                  <c:v>7.68</c:v>
                </c:pt>
              </c:numCache>
            </c:numRef>
          </c:val>
        </c:ser>
        <c:ser>
          <c:idx val="5"/>
          <c:order val="4"/>
          <c:tx>
            <c:strRef>
              <c:f>Sheet1!$A$6</c:f>
              <c:strCache>
                <c:ptCount val="1"/>
                <c:pt idx="0">
                  <c:v>Stația Nord</c:v>
                </c:pt>
              </c:strCache>
            </c:strRef>
          </c:tx>
          <c:spPr>
            <a:solidFill>
              <a:srgbClr val="FF8080"/>
            </a:solidFill>
            <a:ln w="9290">
              <a:solidFill>
                <a:srgbClr val="000000"/>
              </a:solidFill>
              <a:prstDash val="solid"/>
            </a:ln>
          </c:spPr>
          <c:cat>
            <c:strRef>
              <c:f>Sheet1!$B$1:$F$1</c:f>
              <c:strCache>
                <c:ptCount val="5"/>
                <c:pt idx="0">
                  <c:v>Medie an 2012</c:v>
                </c:pt>
                <c:pt idx="1">
                  <c:v>Medie an 2013</c:v>
                </c:pt>
                <c:pt idx="2">
                  <c:v>Medie an 2014</c:v>
                </c:pt>
                <c:pt idx="3">
                  <c:v>Media an 2015</c:v>
                </c:pt>
                <c:pt idx="4">
                  <c:v>Medie an 2016</c:v>
                </c:pt>
              </c:strCache>
            </c:strRef>
          </c:cat>
          <c:val>
            <c:numRef>
              <c:f>Sheet1!$B$6:$F$6</c:f>
              <c:numCache>
                <c:formatCode>General</c:formatCode>
                <c:ptCount val="5"/>
                <c:pt idx="0">
                  <c:v>5.34</c:v>
                </c:pt>
                <c:pt idx="1">
                  <c:v>6.52</c:v>
                </c:pt>
                <c:pt idx="2">
                  <c:v>5.88</c:v>
                </c:pt>
                <c:pt idx="3">
                  <c:v>4.46</c:v>
                </c:pt>
                <c:pt idx="4">
                  <c:v>5.1199999999999966</c:v>
                </c:pt>
              </c:numCache>
            </c:numRef>
          </c:val>
        </c:ser>
        <c:ser>
          <c:idx val="0"/>
          <c:order val="5"/>
          <c:tx>
            <c:strRef>
              <c:f>Sheet1!$A$7</c:f>
              <c:strCache>
                <c:ptCount val="1"/>
                <c:pt idx="0">
                  <c:v>SC Hercules</c:v>
                </c:pt>
              </c:strCache>
            </c:strRef>
          </c:tx>
          <c:cat>
            <c:strRef>
              <c:f>Sheet1!$B$1:$F$1</c:f>
              <c:strCache>
                <c:ptCount val="5"/>
                <c:pt idx="0">
                  <c:v>Medie an 2012</c:v>
                </c:pt>
                <c:pt idx="1">
                  <c:v>Medie an 2013</c:v>
                </c:pt>
                <c:pt idx="2">
                  <c:v>Medie an 2014</c:v>
                </c:pt>
                <c:pt idx="3">
                  <c:v>Media an 2015</c:v>
                </c:pt>
                <c:pt idx="4">
                  <c:v>Medie an 2016</c:v>
                </c:pt>
              </c:strCache>
            </c:strRef>
          </c:cat>
          <c:val>
            <c:numRef>
              <c:f>Sheet1!$B$7:$F$7</c:f>
              <c:numCache>
                <c:formatCode>General</c:formatCode>
                <c:ptCount val="5"/>
                <c:pt idx="0">
                  <c:v>8.25</c:v>
                </c:pt>
                <c:pt idx="1">
                  <c:v>10.16</c:v>
                </c:pt>
                <c:pt idx="2">
                  <c:v>8.56</c:v>
                </c:pt>
                <c:pt idx="3">
                  <c:v>8.77</c:v>
                </c:pt>
                <c:pt idx="4">
                  <c:v>11.05</c:v>
                </c:pt>
              </c:numCache>
            </c:numRef>
          </c:val>
        </c:ser>
        <c:ser>
          <c:idx val="6"/>
          <c:order val="6"/>
          <c:tx>
            <c:strRef>
              <c:f>Sheet1!$A$8</c:f>
              <c:strCache>
                <c:ptCount val="1"/>
                <c:pt idx="0">
                  <c:v>Termoelectrica Chiscani</c:v>
                </c:pt>
              </c:strCache>
            </c:strRef>
          </c:tx>
          <c:cat>
            <c:strRef>
              <c:f>Sheet1!$B$1:$F$1</c:f>
              <c:strCache>
                <c:ptCount val="5"/>
                <c:pt idx="0">
                  <c:v>Medie an 2012</c:v>
                </c:pt>
                <c:pt idx="1">
                  <c:v>Medie an 2013</c:v>
                </c:pt>
                <c:pt idx="2">
                  <c:v>Medie an 2014</c:v>
                </c:pt>
                <c:pt idx="3">
                  <c:v>Media an 2015</c:v>
                </c:pt>
                <c:pt idx="4">
                  <c:v>Medie an 2016</c:v>
                </c:pt>
              </c:strCache>
            </c:strRef>
          </c:cat>
          <c:val>
            <c:numRef>
              <c:f>Sheet1!$B$8:$F$8</c:f>
              <c:numCache>
                <c:formatCode>General</c:formatCode>
                <c:ptCount val="5"/>
                <c:pt idx="0">
                  <c:v>5.78</c:v>
                </c:pt>
                <c:pt idx="1">
                  <c:v>5.8599999999999985</c:v>
                </c:pt>
                <c:pt idx="2">
                  <c:v>5.88</c:v>
                </c:pt>
                <c:pt idx="3">
                  <c:v>4.99</c:v>
                </c:pt>
                <c:pt idx="4">
                  <c:v>4.6599999999999975</c:v>
                </c:pt>
              </c:numCache>
            </c:numRef>
          </c:val>
        </c:ser>
        <c:ser>
          <c:idx val="7"/>
          <c:order val="7"/>
          <c:tx>
            <c:strRef>
              <c:f>Sheet1!$A$9</c:f>
              <c:strCache>
                <c:ptCount val="1"/>
                <c:pt idx="0">
                  <c:v>Str.Galați</c:v>
                </c:pt>
              </c:strCache>
            </c:strRef>
          </c:tx>
          <c:cat>
            <c:strRef>
              <c:f>Sheet1!$B$1:$F$1</c:f>
              <c:strCache>
                <c:ptCount val="5"/>
                <c:pt idx="0">
                  <c:v>Medie an 2012</c:v>
                </c:pt>
                <c:pt idx="1">
                  <c:v>Medie an 2013</c:v>
                </c:pt>
                <c:pt idx="2">
                  <c:v>Medie an 2014</c:v>
                </c:pt>
                <c:pt idx="3">
                  <c:v>Media an 2015</c:v>
                </c:pt>
                <c:pt idx="4">
                  <c:v>Medie an 2016</c:v>
                </c:pt>
              </c:strCache>
            </c:strRef>
          </c:cat>
          <c:val>
            <c:numRef>
              <c:f>Sheet1!$B$9:$F$9</c:f>
              <c:numCache>
                <c:formatCode>General</c:formatCode>
                <c:ptCount val="5"/>
                <c:pt idx="0">
                  <c:v>11.12</c:v>
                </c:pt>
                <c:pt idx="1">
                  <c:v>11.78</c:v>
                </c:pt>
                <c:pt idx="2">
                  <c:v>7.68</c:v>
                </c:pt>
                <c:pt idx="3">
                  <c:v>6.94</c:v>
                </c:pt>
                <c:pt idx="4">
                  <c:v>5.17</c:v>
                </c:pt>
              </c:numCache>
            </c:numRef>
          </c:val>
        </c:ser>
        <c:ser>
          <c:idx val="8"/>
          <c:order val="8"/>
          <c:tx>
            <c:strRef>
              <c:f>Sheet1!$A$10</c:f>
              <c:strCache>
                <c:ptCount val="1"/>
                <c:pt idx="0">
                  <c:v>Cazasu</c:v>
                </c:pt>
              </c:strCache>
            </c:strRef>
          </c:tx>
          <c:cat>
            <c:strRef>
              <c:f>Sheet1!$B$1:$F$1</c:f>
              <c:strCache>
                <c:ptCount val="5"/>
                <c:pt idx="0">
                  <c:v>Medie an 2012</c:v>
                </c:pt>
                <c:pt idx="1">
                  <c:v>Medie an 2013</c:v>
                </c:pt>
                <c:pt idx="2">
                  <c:v>Medie an 2014</c:v>
                </c:pt>
                <c:pt idx="3">
                  <c:v>Media an 2015</c:v>
                </c:pt>
                <c:pt idx="4">
                  <c:v>Medie an 2016</c:v>
                </c:pt>
              </c:strCache>
            </c:strRef>
          </c:cat>
          <c:val>
            <c:numRef>
              <c:f>Sheet1!$B$10:$F$10</c:f>
              <c:numCache>
                <c:formatCode>General</c:formatCode>
                <c:ptCount val="5"/>
                <c:pt idx="0">
                  <c:v>4.57</c:v>
                </c:pt>
                <c:pt idx="1">
                  <c:v>4.3</c:v>
                </c:pt>
                <c:pt idx="2">
                  <c:v>4.07</c:v>
                </c:pt>
                <c:pt idx="3">
                  <c:v>4.75</c:v>
                </c:pt>
                <c:pt idx="4">
                  <c:v>6.9300000000000024</c:v>
                </c:pt>
              </c:numCache>
            </c:numRef>
          </c:val>
        </c:ser>
        <c:ser>
          <c:idx val="9"/>
          <c:order val="9"/>
          <c:tx>
            <c:strRef>
              <c:f>Sheet1!$A$11</c:f>
              <c:strCache>
                <c:ptCount val="1"/>
                <c:pt idx="0">
                  <c:v>Primaria Brăila</c:v>
                </c:pt>
              </c:strCache>
            </c:strRef>
          </c:tx>
          <c:cat>
            <c:strRef>
              <c:f>Sheet1!$B$1:$F$1</c:f>
              <c:strCache>
                <c:ptCount val="5"/>
                <c:pt idx="0">
                  <c:v>Medie an 2012</c:v>
                </c:pt>
                <c:pt idx="1">
                  <c:v>Medie an 2013</c:v>
                </c:pt>
                <c:pt idx="2">
                  <c:v>Medie an 2014</c:v>
                </c:pt>
                <c:pt idx="3">
                  <c:v>Media an 2015</c:v>
                </c:pt>
                <c:pt idx="4">
                  <c:v>Medie an 2016</c:v>
                </c:pt>
              </c:strCache>
            </c:strRef>
          </c:cat>
          <c:val>
            <c:numRef>
              <c:f>Sheet1!$B$11:$F$11</c:f>
              <c:numCache>
                <c:formatCode>General</c:formatCode>
                <c:ptCount val="5"/>
                <c:pt idx="0">
                  <c:v>11.94</c:v>
                </c:pt>
                <c:pt idx="1">
                  <c:v>10.9</c:v>
                </c:pt>
                <c:pt idx="2">
                  <c:v>10.07</c:v>
                </c:pt>
                <c:pt idx="3">
                  <c:v>7.31</c:v>
                </c:pt>
                <c:pt idx="4">
                  <c:v>7.45</c:v>
                </c:pt>
              </c:numCache>
            </c:numRef>
          </c:val>
        </c:ser>
        <c:axId val="85843328"/>
        <c:axId val="89523328"/>
      </c:barChart>
      <c:catAx>
        <c:axId val="85843328"/>
        <c:scaling>
          <c:orientation val="minMax"/>
        </c:scaling>
        <c:axPos val="b"/>
        <c:numFmt formatCode="#,##0.00" sourceLinked="0"/>
        <c:majorTickMark val="none"/>
        <c:tickLblPos val="low"/>
        <c:spPr>
          <a:ln w="2322">
            <a:solidFill>
              <a:srgbClr val="000000"/>
            </a:solidFill>
            <a:prstDash val="solid"/>
          </a:ln>
        </c:spPr>
        <c:txPr>
          <a:bodyPr rot="0" vert="horz"/>
          <a:lstStyle/>
          <a:p>
            <a:pPr>
              <a:defRPr sz="1000" b="1" i="0" u="none" strike="noStrike" baseline="0">
                <a:solidFill>
                  <a:srgbClr val="000000"/>
                </a:solidFill>
                <a:latin typeface="Arial" pitchFamily="34" charset="0"/>
                <a:ea typeface="Calibri"/>
                <a:cs typeface="Arial" pitchFamily="34" charset="0"/>
              </a:defRPr>
            </a:pPr>
            <a:endParaRPr lang="ro-RO"/>
          </a:p>
        </c:txPr>
        <c:crossAx val="89523328"/>
        <c:crosses val="autoZero"/>
        <c:auto val="1"/>
        <c:lblAlgn val="ctr"/>
        <c:lblOffset val="100"/>
        <c:tickLblSkip val="1"/>
        <c:tickMarkSkip val="1"/>
      </c:catAx>
      <c:valAx>
        <c:axId val="89523328"/>
        <c:scaling>
          <c:orientation val="minMax"/>
        </c:scaling>
        <c:axPos val="l"/>
        <c:majorGridlines>
          <c:spPr>
            <a:ln w="2322">
              <a:solidFill>
                <a:srgbClr val="000000"/>
              </a:solidFill>
              <a:prstDash val="solid"/>
            </a:ln>
          </c:spPr>
        </c:majorGridlines>
        <c:numFmt formatCode="General" sourceLinked="1"/>
        <c:majorTickMark val="none"/>
        <c:tickLblPos val="nextTo"/>
        <c:spPr>
          <a:ln w="2322">
            <a:solidFill>
              <a:srgbClr val="000000"/>
            </a:solidFill>
            <a:prstDash val="solid"/>
          </a:ln>
        </c:spPr>
        <c:txPr>
          <a:bodyPr rot="0" vert="horz"/>
          <a:lstStyle/>
          <a:p>
            <a:pPr>
              <a:defRPr sz="786" b="1" i="0" u="none" strike="noStrike" baseline="0">
                <a:solidFill>
                  <a:srgbClr val="000000"/>
                </a:solidFill>
                <a:latin typeface="Calibri"/>
                <a:ea typeface="Calibri"/>
                <a:cs typeface="Calibri"/>
              </a:defRPr>
            </a:pPr>
            <a:endParaRPr lang="ro-RO"/>
          </a:p>
        </c:txPr>
        <c:crossAx val="85843328"/>
        <c:crosses val="autoZero"/>
        <c:crossBetween val="between"/>
      </c:valAx>
      <c:spPr>
        <a:solidFill>
          <a:srgbClr val="C0C0C0"/>
        </a:solidFill>
        <a:ln w="9291">
          <a:solidFill>
            <a:srgbClr val="808080"/>
          </a:solidFill>
          <a:prstDash val="solid"/>
        </a:ln>
      </c:spPr>
    </c:plotArea>
    <c:plotVisOnly val="1"/>
    <c:dispBlanksAs val="gap"/>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00" baseline="0">
                <a:latin typeface="Arial" pitchFamily="34" charset="0"/>
              </a:defRPr>
            </a:pPr>
            <a:r>
              <a:rPr lang="ro-RO" sz="1200" baseline="0">
                <a:latin typeface="Arial" pitchFamily="34" charset="0"/>
              </a:rPr>
              <a:t>Contribuția sectoarelor de activitate din energie la emisiile de poluanți cu efect de acidifiere </a:t>
            </a:r>
          </a:p>
        </c:rich>
      </c:tx>
      <c:layout>
        <c:manualLayout>
          <c:xMode val="edge"/>
          <c:yMode val="edge"/>
          <c:x val="0.10788257690964596"/>
          <c:y val="0"/>
        </c:manualLayout>
      </c:layout>
    </c:title>
    <c:view3D>
      <c:perspective val="30"/>
    </c:view3D>
    <c:plotArea>
      <c:layout/>
      <c:bar3DChart>
        <c:barDir val="col"/>
        <c:grouping val="clustered"/>
        <c:ser>
          <c:idx val="0"/>
          <c:order val="0"/>
          <c:tx>
            <c:strRef>
              <c:f>Sheet1!$B$1</c:f>
              <c:strCache>
                <c:ptCount val="1"/>
                <c:pt idx="0">
                  <c:v>Nox</c:v>
                </c:pt>
              </c:strCache>
            </c:strRef>
          </c:tx>
          <c:cat>
            <c:strRef>
              <c:f>Sheet1!$A$2:$A$4</c:f>
              <c:strCache>
                <c:ptCount val="3"/>
                <c:pt idx="0">
                  <c:v>Producția de energie electrica și termică</c:v>
                </c:pt>
                <c:pt idx="1">
                  <c:v>Arderi pentru metale </c:v>
                </c:pt>
                <c:pt idx="2">
                  <c:v>Încălzire instituții</c:v>
                </c:pt>
              </c:strCache>
            </c:strRef>
          </c:cat>
          <c:val>
            <c:numRef>
              <c:f>Sheet1!$B$2:$B$4</c:f>
              <c:numCache>
                <c:formatCode>General</c:formatCode>
                <c:ptCount val="3"/>
                <c:pt idx="0">
                  <c:v>0</c:v>
                </c:pt>
                <c:pt idx="1">
                  <c:v>5.5000000000000014E-3</c:v>
                </c:pt>
                <c:pt idx="2">
                  <c:v>7.5999999999999998E-2</c:v>
                </c:pt>
              </c:numCache>
            </c:numRef>
          </c:val>
        </c:ser>
        <c:ser>
          <c:idx val="1"/>
          <c:order val="1"/>
          <c:tx>
            <c:strRef>
              <c:f>Sheet1!$C$1</c:f>
              <c:strCache>
                <c:ptCount val="1"/>
                <c:pt idx="0">
                  <c:v>SO2</c:v>
                </c:pt>
              </c:strCache>
            </c:strRef>
          </c:tx>
          <c:cat>
            <c:strRef>
              <c:f>Sheet1!$A$2:$A$4</c:f>
              <c:strCache>
                <c:ptCount val="3"/>
                <c:pt idx="0">
                  <c:v>Producția de energie electrica și termică</c:v>
                </c:pt>
                <c:pt idx="1">
                  <c:v>Arderi pentru metale </c:v>
                </c:pt>
                <c:pt idx="2">
                  <c:v>Încălzire instituții</c:v>
                </c:pt>
              </c:strCache>
            </c:strRef>
          </c:cat>
          <c:val>
            <c:numRef>
              <c:f>Sheet1!$C$2:$C$4</c:f>
              <c:numCache>
                <c:formatCode>General</c:formatCode>
                <c:ptCount val="3"/>
                <c:pt idx="0">
                  <c:v>0</c:v>
                </c:pt>
                <c:pt idx="1">
                  <c:v>1.6000000000000033E-6</c:v>
                </c:pt>
                <c:pt idx="2">
                  <c:v>2.0000000000000031E-4</c:v>
                </c:pt>
              </c:numCache>
            </c:numRef>
          </c:val>
        </c:ser>
        <c:ser>
          <c:idx val="2"/>
          <c:order val="2"/>
          <c:tx>
            <c:strRef>
              <c:f>Sheet1!$D$1</c:f>
              <c:strCache>
                <c:ptCount val="1"/>
                <c:pt idx="0">
                  <c:v>NH3</c:v>
                </c:pt>
              </c:strCache>
            </c:strRef>
          </c:tx>
          <c:cat>
            <c:strRef>
              <c:f>Sheet1!$A$2:$A$4</c:f>
              <c:strCache>
                <c:ptCount val="3"/>
                <c:pt idx="0">
                  <c:v>Producția de energie electrica și termică</c:v>
                </c:pt>
                <c:pt idx="1">
                  <c:v>Arderi pentru metale </c:v>
                </c:pt>
                <c:pt idx="2">
                  <c:v>Încălzire instituții</c:v>
                </c:pt>
              </c:strCache>
            </c:strRef>
          </c:cat>
          <c:val>
            <c:numRef>
              <c:f>Sheet1!$D$2:$D$4</c:f>
              <c:numCache>
                <c:formatCode>General</c:formatCode>
                <c:ptCount val="3"/>
                <c:pt idx="0">
                  <c:v>0</c:v>
                </c:pt>
                <c:pt idx="1">
                  <c:v>5.3000000000000102E-6</c:v>
                </c:pt>
                <c:pt idx="2">
                  <c:v>2.0000000000000031E-4</c:v>
                </c:pt>
              </c:numCache>
            </c:numRef>
          </c:val>
        </c:ser>
        <c:shape val="cylinder"/>
        <c:axId val="89531136"/>
        <c:axId val="89532672"/>
        <c:axId val="0"/>
      </c:bar3DChart>
      <c:catAx>
        <c:axId val="89531136"/>
        <c:scaling>
          <c:orientation val="minMax"/>
        </c:scaling>
        <c:axPos val="b"/>
        <c:numFmt formatCode="General" sourceLinked="1"/>
        <c:majorTickMark val="none"/>
        <c:tickLblPos val="nextTo"/>
        <c:crossAx val="89532672"/>
        <c:crossesAt val="0"/>
        <c:auto val="1"/>
        <c:lblAlgn val="ctr"/>
        <c:lblOffset val="100"/>
      </c:catAx>
      <c:valAx>
        <c:axId val="89532672"/>
        <c:scaling>
          <c:orientation val="minMax"/>
        </c:scaling>
        <c:axPos val="l"/>
        <c:title>
          <c:tx>
            <c:rich>
              <a:bodyPr rot="0" vert="horz"/>
              <a:lstStyle/>
              <a:p>
                <a:pPr>
                  <a:defRPr/>
                </a:pPr>
                <a:r>
                  <a:rPr lang="ro-RO"/>
                  <a:t>%</a:t>
                </a:r>
              </a:p>
            </c:rich>
          </c:tx>
          <c:layout>
            <c:manualLayout>
              <c:xMode val="edge"/>
              <c:yMode val="edge"/>
              <c:x val="0.14886778637648904"/>
              <c:y val="0.13551506349890721"/>
            </c:manualLayout>
          </c:layout>
        </c:title>
        <c:numFmt formatCode="General" sourceLinked="1"/>
        <c:majorTickMark val="none"/>
        <c:tickLblPos val="nextTo"/>
        <c:crossAx val="89531136"/>
        <c:crosses val="autoZero"/>
        <c:crossBetween val="between"/>
        <c:majorUnit val="2.0000000000000011E-2"/>
      </c:valAx>
    </c:plotArea>
    <c:legend>
      <c:legendPos val="r"/>
    </c:legend>
    <c:plotVisOnly val="1"/>
    <c:dispBlanksAs val="gap"/>
  </c:chart>
  <c:spPr>
    <a:ln>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din energie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Nox</c:v>
                </c:pt>
              </c:strCache>
            </c:strRef>
          </c:tx>
          <c:cat>
            <c:strRef>
              <c:f>Sheet1!$A$2:$A$4</c:f>
              <c:strCache>
                <c:ptCount val="3"/>
                <c:pt idx="0">
                  <c:v>Producția de energie electrica și termică</c:v>
                </c:pt>
                <c:pt idx="1">
                  <c:v>Arderi pentru metale </c:v>
                </c:pt>
                <c:pt idx="2">
                  <c:v>Încălzire instituții</c:v>
                </c:pt>
              </c:strCache>
            </c:strRef>
          </c:cat>
          <c:val>
            <c:numRef>
              <c:f>Sheet1!$B$2:$B$4</c:f>
              <c:numCache>
                <c:formatCode>General</c:formatCode>
                <c:ptCount val="3"/>
                <c:pt idx="0">
                  <c:v>0</c:v>
                </c:pt>
                <c:pt idx="1">
                  <c:v>5.0000000000000053E-3</c:v>
                </c:pt>
                <c:pt idx="2">
                  <c:v>7.0000000000000021E-2</c:v>
                </c:pt>
              </c:numCache>
            </c:numRef>
          </c:val>
        </c:ser>
        <c:ser>
          <c:idx val="1"/>
          <c:order val="1"/>
          <c:tx>
            <c:strRef>
              <c:f>Sheet1!$C$1</c:f>
              <c:strCache>
                <c:ptCount val="1"/>
                <c:pt idx="0">
                  <c:v>NMCOV</c:v>
                </c:pt>
              </c:strCache>
            </c:strRef>
          </c:tx>
          <c:cat>
            <c:strRef>
              <c:f>Sheet1!$A$2:$A$4</c:f>
              <c:strCache>
                <c:ptCount val="3"/>
                <c:pt idx="0">
                  <c:v>Producția de energie electrica și termică</c:v>
                </c:pt>
                <c:pt idx="1">
                  <c:v>Arderi pentru metale </c:v>
                </c:pt>
                <c:pt idx="2">
                  <c:v>Încălzire instituții</c:v>
                </c:pt>
              </c:strCache>
            </c:strRef>
          </c:cat>
          <c:val>
            <c:numRef>
              <c:f>Sheet1!$C$2:$C$4</c:f>
              <c:numCache>
                <c:formatCode>General</c:formatCode>
                <c:ptCount val="3"/>
                <c:pt idx="0">
                  <c:v>0</c:v>
                </c:pt>
                <c:pt idx="1">
                  <c:v>1.0000000000000013E-4</c:v>
                </c:pt>
                <c:pt idx="2">
                  <c:v>6.0000000000000062E-3</c:v>
                </c:pt>
              </c:numCache>
            </c:numRef>
          </c:val>
        </c:ser>
        <c:ser>
          <c:idx val="2"/>
          <c:order val="2"/>
          <c:tx>
            <c:strRef>
              <c:f>Sheet1!$D$1</c:f>
              <c:strCache>
                <c:ptCount val="1"/>
                <c:pt idx="0">
                  <c:v>CO</c:v>
                </c:pt>
              </c:strCache>
            </c:strRef>
          </c:tx>
          <c:cat>
            <c:strRef>
              <c:f>Sheet1!$A$2:$A$4</c:f>
              <c:strCache>
                <c:ptCount val="3"/>
                <c:pt idx="0">
                  <c:v>Producția de energie electrica și termică</c:v>
                </c:pt>
                <c:pt idx="1">
                  <c:v>Arderi pentru metale </c:v>
                </c:pt>
                <c:pt idx="2">
                  <c:v>Încălzire instituții</c:v>
                </c:pt>
              </c:strCache>
            </c:strRef>
          </c:cat>
          <c:val>
            <c:numRef>
              <c:f>Sheet1!$D$2:$D$4</c:f>
              <c:numCache>
                <c:formatCode>General</c:formatCode>
                <c:ptCount val="3"/>
                <c:pt idx="0">
                  <c:v>0</c:v>
                </c:pt>
                <c:pt idx="1">
                  <c:v>2.0000000000000026E-3</c:v>
                </c:pt>
                <c:pt idx="2">
                  <c:v>4.0000000000000022E-2</c:v>
                </c:pt>
              </c:numCache>
            </c:numRef>
          </c:val>
        </c:ser>
        <c:shape val="cone"/>
        <c:axId val="71512448"/>
        <c:axId val="71513984"/>
        <c:axId val="181536960"/>
      </c:bar3DChart>
      <c:catAx>
        <c:axId val="71512448"/>
        <c:scaling>
          <c:orientation val="minMax"/>
        </c:scaling>
        <c:axPos val="b"/>
        <c:numFmt formatCode="General" sourceLinked="1"/>
        <c:majorTickMark val="none"/>
        <c:tickLblPos val="nextTo"/>
        <c:crossAx val="71513984"/>
        <c:crossesAt val="0"/>
        <c:auto val="1"/>
        <c:lblAlgn val="ctr"/>
        <c:lblOffset val="100"/>
      </c:catAx>
      <c:valAx>
        <c:axId val="71513984"/>
        <c:scaling>
          <c:orientation val="minMax"/>
          <c:max val="7.0000000000000021E-2"/>
          <c:min val="0"/>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9.2623543552383267E-2"/>
              <c:y val="0.20639896467235241"/>
            </c:manualLayout>
          </c:layout>
        </c:title>
        <c:numFmt formatCode="General" sourceLinked="1"/>
        <c:majorTickMark val="none"/>
        <c:tickLblPos val="nextTo"/>
        <c:spPr>
          <a:noFill/>
        </c:spPr>
        <c:crossAx val="71512448"/>
        <c:crosses val="autoZero"/>
        <c:crossBetween val="between"/>
      </c:valAx>
      <c:serAx>
        <c:axId val="181536960"/>
        <c:scaling>
          <c:orientation val="minMax"/>
        </c:scaling>
        <c:delete val="1"/>
        <c:axPos val="b"/>
        <c:tickLblPos val="none"/>
        <c:crossAx val="71513984"/>
        <c:crossesAt val="0"/>
      </c:serAx>
    </c:plotArea>
    <c:legend>
      <c:legendPos val="r"/>
    </c:legend>
    <c:plotVisOnly val="1"/>
    <c:dispBlanksAs val="gap"/>
  </c:chart>
  <c:spPr>
    <a:ln w="0">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particule primare în suspensie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PM2,5</c:v>
                </c:pt>
              </c:strCache>
            </c:strRef>
          </c:tx>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5.000000000000009E-5</c:v>
                </c:pt>
                <c:pt idx="2">
                  <c:v>4.6000000000000034E-3</c:v>
                </c:pt>
              </c:numCache>
            </c:numRef>
          </c:val>
        </c:ser>
        <c:ser>
          <c:idx val="1"/>
          <c:order val="1"/>
          <c:tx>
            <c:strRef>
              <c:f>Sheet1!$C$1</c:f>
              <c:strCache>
                <c:ptCount val="1"/>
                <c:pt idx="0">
                  <c:v>PM10</c:v>
                </c:pt>
              </c:strCache>
            </c:strRef>
          </c:tx>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5.000000000000009E-5</c:v>
                </c:pt>
                <c:pt idx="2">
                  <c:v>4.7000000000000063E-3</c:v>
                </c:pt>
              </c:numCache>
            </c:numRef>
          </c:val>
        </c:ser>
        <c:shape val="cone"/>
        <c:axId val="91087232"/>
        <c:axId val="91088768"/>
        <c:axId val="181537856"/>
      </c:bar3DChart>
      <c:catAx>
        <c:axId val="91087232"/>
        <c:scaling>
          <c:orientation val="minMax"/>
        </c:scaling>
        <c:axPos val="b"/>
        <c:numFmt formatCode="General" sourceLinked="1"/>
        <c:majorTickMark val="none"/>
        <c:tickLblPos val="nextTo"/>
        <c:crossAx val="91088768"/>
        <c:crossesAt val="0"/>
        <c:auto val="1"/>
        <c:lblAlgn val="ctr"/>
        <c:lblOffset val="100"/>
      </c:catAx>
      <c:valAx>
        <c:axId val="91088768"/>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8.2654696200358146E-2"/>
              <c:y val="0.22117274121897929"/>
            </c:manualLayout>
          </c:layout>
        </c:title>
        <c:numFmt formatCode="General" sourceLinked="1"/>
        <c:majorTickMark val="none"/>
        <c:tickLblPos val="nextTo"/>
        <c:spPr>
          <a:noFill/>
        </c:spPr>
        <c:crossAx val="91087232"/>
        <c:crosses val="autoZero"/>
        <c:crossBetween val="between"/>
      </c:valAx>
      <c:serAx>
        <c:axId val="181537856"/>
        <c:scaling>
          <c:orientation val="minMax"/>
        </c:scaling>
        <c:delete val="1"/>
        <c:axPos val="b"/>
        <c:tickLblPos val="none"/>
        <c:crossAx val="91088768"/>
        <c:crossesAt val="0"/>
      </c:serAx>
    </c:plotArea>
    <c:legend>
      <c:legendPos val="r"/>
    </c:legend>
    <c:plotVisOnly val="1"/>
    <c:dispBlanksAs val="gap"/>
  </c:chart>
  <c:spPr>
    <a:no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100" b="1" i="0" baseline="0">
                <a:latin typeface="Arial" pitchFamily="34" charset="0"/>
              </a:rPr>
              <a:t>Contribuția sectoarelor de activitate din energie la emisiile de metale grele</a:t>
            </a:r>
            <a:endParaRPr lang="ro-RO" sz="1100" baseline="0">
              <a:latin typeface="Arial" pitchFamily="34" charset="0"/>
            </a:endParaRPr>
          </a:p>
        </c:rich>
      </c:tx>
    </c:title>
    <c:view3D>
      <c:perspective val="30"/>
    </c:view3D>
    <c:plotArea>
      <c:layout/>
      <c:bar3DChart>
        <c:barDir val="col"/>
        <c:grouping val="standard"/>
        <c:ser>
          <c:idx val="0"/>
          <c:order val="0"/>
          <c:tx>
            <c:strRef>
              <c:f>Sheet1!$B$1</c:f>
              <c:strCache>
                <c:ptCount val="1"/>
                <c:pt idx="0">
                  <c:v>Pb</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Sheet1!$B$2:$B$5</c:f>
              <c:numCache>
                <c:formatCode>General</c:formatCode>
                <c:ptCount val="4"/>
                <c:pt idx="0">
                  <c:v>0</c:v>
                </c:pt>
                <c:pt idx="1">
                  <c:v>3.000000000000006E-6</c:v>
                </c:pt>
                <c:pt idx="2">
                  <c:v>0</c:v>
                </c:pt>
                <c:pt idx="3">
                  <c:v>4.0000000000000093E-7</c:v>
                </c:pt>
              </c:numCache>
            </c:numRef>
          </c:val>
        </c:ser>
        <c:ser>
          <c:idx val="1"/>
          <c:order val="1"/>
          <c:tx>
            <c:strRef>
              <c:f>Sheet1!$C$1</c:f>
              <c:strCache>
                <c:ptCount val="1"/>
                <c:pt idx="0">
                  <c:v>Cd</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Sheet1!$C$2:$C$5</c:f>
              <c:numCache>
                <c:formatCode>General</c:formatCode>
                <c:ptCount val="4"/>
                <c:pt idx="0">
                  <c:v>0</c:v>
                </c:pt>
                <c:pt idx="1">
                  <c:v>2.0000000000000044E-7</c:v>
                </c:pt>
                <c:pt idx="2">
                  <c:v>0</c:v>
                </c:pt>
                <c:pt idx="3">
                  <c:v>2.0000000000000044E-7</c:v>
                </c:pt>
              </c:numCache>
            </c:numRef>
          </c:val>
        </c:ser>
        <c:ser>
          <c:idx val="2"/>
          <c:order val="2"/>
          <c:tx>
            <c:strRef>
              <c:f>Sheet1!$D$1</c:f>
              <c:strCache>
                <c:ptCount val="1"/>
                <c:pt idx="0">
                  <c:v>Hg</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Sheet1!$D$2:$D$5</c:f>
              <c:numCache>
                <c:formatCode>General</c:formatCode>
                <c:ptCount val="4"/>
                <c:pt idx="0">
                  <c:v>0</c:v>
                </c:pt>
                <c:pt idx="1">
                  <c:v>6.0000000000000153E-8</c:v>
                </c:pt>
                <c:pt idx="2">
                  <c:v>0</c:v>
                </c:pt>
                <c:pt idx="3">
                  <c:v>1.0000000000000026E-7</c:v>
                </c:pt>
              </c:numCache>
            </c:numRef>
          </c:val>
        </c:ser>
        <c:shape val="cone"/>
        <c:axId val="91174016"/>
        <c:axId val="91175552"/>
        <c:axId val="182701568"/>
      </c:bar3DChart>
      <c:catAx>
        <c:axId val="91174016"/>
        <c:scaling>
          <c:orientation val="minMax"/>
        </c:scaling>
        <c:axPos val="b"/>
        <c:numFmt formatCode="General" sourceLinked="1"/>
        <c:majorTickMark val="none"/>
        <c:tickLblPos val="nextTo"/>
        <c:crossAx val="91175552"/>
        <c:crossesAt val="0"/>
        <c:auto val="1"/>
        <c:lblAlgn val="ctr"/>
        <c:lblOffset val="100"/>
      </c:catAx>
      <c:valAx>
        <c:axId val="91175552"/>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2253012677212829"/>
              <c:y val="0.20270564583682713"/>
            </c:manualLayout>
          </c:layout>
        </c:title>
        <c:numFmt formatCode="General" sourceLinked="1"/>
        <c:majorTickMark val="none"/>
        <c:tickLblPos val="nextTo"/>
        <c:spPr>
          <a:noFill/>
        </c:spPr>
        <c:crossAx val="91174016"/>
        <c:crosses val="autoZero"/>
        <c:crossBetween val="between"/>
        <c:majorUnit val="1.5000000000000041E-6"/>
        <c:minorUnit val="3.0000000000000083E-7"/>
      </c:valAx>
      <c:serAx>
        <c:axId val="182701568"/>
        <c:scaling>
          <c:orientation val="minMax"/>
        </c:scaling>
        <c:delete val="1"/>
        <c:axPos val="b"/>
        <c:tickLblPos val="none"/>
        <c:crossAx val="91175552"/>
        <c:crossesAt val="0"/>
      </c:serAx>
    </c:plotArea>
    <c:legend>
      <c:legendPos val="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2"/>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60128"/>
          <c:h val="0.60487804878049645"/>
        </c:manualLayout>
      </c:layout>
      <c:bar3DChart>
        <c:barDir val="col"/>
        <c:grouping val="clustered"/>
        <c:ser>
          <c:idx val="7"/>
          <c:order val="0"/>
          <c:tx>
            <c:strRef>
              <c:f>Sheet1!$A$9</c:f>
              <c:strCache>
                <c:ptCount val="1"/>
                <c:pt idx="0">
                  <c:v>Medii anuale 2016</c:v>
                </c:pt>
              </c:strCache>
            </c:strRef>
          </c:tx>
          <c:cat>
            <c:strRef>
              <c:f>Sheet1!$B$1:$F$1</c:f>
              <c:strCache>
                <c:ptCount val="5"/>
                <c:pt idx="0">
                  <c:v>BR1</c:v>
                </c:pt>
                <c:pt idx="1">
                  <c:v>BR2</c:v>
                </c:pt>
                <c:pt idx="2">
                  <c:v>BR3</c:v>
                </c:pt>
                <c:pt idx="3">
                  <c:v>BR4</c:v>
                </c:pt>
                <c:pt idx="4">
                  <c:v>BR5</c:v>
                </c:pt>
              </c:strCache>
            </c:strRef>
          </c:cat>
          <c:val>
            <c:numRef>
              <c:f>Sheet1!$B$9:$F$9</c:f>
              <c:numCache>
                <c:formatCode>General</c:formatCode>
                <c:ptCount val="5"/>
                <c:pt idx="0">
                  <c:v>5.09</c:v>
                </c:pt>
                <c:pt idx="1">
                  <c:v>3.59</c:v>
                </c:pt>
                <c:pt idx="2">
                  <c:v>2.77</c:v>
                </c:pt>
                <c:pt idx="3">
                  <c:v>5.45</c:v>
                </c:pt>
                <c:pt idx="4">
                  <c:v>3.56</c:v>
                </c:pt>
              </c:numCache>
            </c:numRef>
          </c:val>
        </c:ser>
        <c:gapWidth val="290"/>
        <c:gapDepth val="0"/>
        <c:shape val="box"/>
        <c:axId val="169353984"/>
        <c:axId val="169355520"/>
        <c:axId val="0"/>
      </c:bar3DChart>
      <c:catAx>
        <c:axId val="16935398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69355520"/>
        <c:crosses val="autoZero"/>
        <c:auto val="1"/>
        <c:lblAlgn val="ctr"/>
        <c:lblOffset val="100"/>
        <c:tickLblSkip val="1"/>
        <c:tickMarkSkip val="1"/>
      </c:catAx>
      <c:valAx>
        <c:axId val="16935552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7457853347079262E-2"/>
              <c:y val="0.14634145150460973"/>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69353984"/>
        <c:crosses val="autoZero"/>
        <c:crossBetween val="between"/>
      </c:valAx>
      <c:spPr>
        <a:noFill/>
        <a:ln w="25399">
          <a:noFill/>
        </a:ln>
      </c:spPr>
    </c:plotArea>
    <c:legend>
      <c:legendPos val="r"/>
      <c:layout>
        <c:manualLayout>
          <c:xMode val="edge"/>
          <c:yMode val="edge"/>
          <c:x val="0.76863422432727546"/>
          <c:y val="0.31113617774522545"/>
          <c:w val="0.19205187586845765"/>
          <c:h val="0.13061734725019841"/>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PAH</c:v>
                </c:pt>
              </c:strCache>
            </c:strRef>
          </c:tx>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0</c:v>
                </c:pt>
                <c:pt idx="2">
                  <c:v>0</c:v>
                </c:pt>
              </c:numCache>
            </c:numRef>
          </c:val>
        </c:ser>
        <c:ser>
          <c:idx val="1"/>
          <c:order val="1"/>
          <c:tx>
            <c:strRef>
              <c:f>Sheet1!$C$1</c:f>
              <c:strCache>
                <c:ptCount val="1"/>
                <c:pt idx="0">
                  <c:v>PCBs</c:v>
                </c:pt>
              </c:strCache>
            </c:strRef>
          </c:tx>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0</c:v>
                </c:pt>
                <c:pt idx="2">
                  <c:v>7.0000000000000126E-6</c:v>
                </c:pt>
              </c:numCache>
            </c:numRef>
          </c:val>
        </c:ser>
        <c:shape val="cone"/>
        <c:axId val="91501696"/>
        <c:axId val="91503232"/>
        <c:axId val="183198592"/>
      </c:bar3DChart>
      <c:catAx>
        <c:axId val="91501696"/>
        <c:scaling>
          <c:orientation val="minMax"/>
        </c:scaling>
        <c:axPos val="b"/>
        <c:numFmt formatCode="General" sourceLinked="1"/>
        <c:majorTickMark val="none"/>
        <c:tickLblPos val="nextTo"/>
        <c:crossAx val="91503232"/>
        <c:crossesAt val="0"/>
        <c:auto val="1"/>
        <c:lblAlgn val="ctr"/>
        <c:lblOffset val="100"/>
      </c:catAx>
      <c:valAx>
        <c:axId val="91503232"/>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9.7607967228395501E-2"/>
              <c:y val="0.24333340603892722"/>
            </c:manualLayout>
          </c:layout>
        </c:title>
        <c:numFmt formatCode="General" sourceLinked="1"/>
        <c:majorTickMark val="none"/>
        <c:tickLblPos val="nextTo"/>
        <c:spPr>
          <a:noFill/>
        </c:spPr>
        <c:crossAx val="91501696"/>
        <c:crosses val="autoZero"/>
        <c:crossBetween val="between"/>
        <c:majorUnit val="5.0000000000000123E-6"/>
      </c:valAx>
      <c:serAx>
        <c:axId val="183198592"/>
        <c:scaling>
          <c:orientation val="minMax"/>
        </c:scaling>
        <c:delete val="1"/>
        <c:axPos val="b"/>
        <c:tickLblPos val="none"/>
        <c:crossAx val="91503232"/>
        <c:crossesAt val="0"/>
      </c:serAx>
    </c:plotArea>
    <c:legend>
      <c:legendPos val="r"/>
    </c:legend>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Contribuția sectoarelor de activitate la emisiile de poluanți cu efect de acidifiere </a:t>
            </a:r>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Energie</c:v>
                </c:pt>
                <c:pt idx="1">
                  <c:v>Transporturi</c:v>
                </c:pt>
                <c:pt idx="2">
                  <c:v>Procese industriale</c:v>
                </c:pt>
                <c:pt idx="3">
                  <c:v>Agricultură</c:v>
                </c:pt>
              </c:strCache>
            </c:strRef>
          </c:cat>
          <c:val>
            <c:numRef>
              <c:f>Sheet1!$B$2:$B$5</c:f>
              <c:numCache>
                <c:formatCode>General</c:formatCode>
                <c:ptCount val="4"/>
                <c:pt idx="0">
                  <c:v>0</c:v>
                </c:pt>
                <c:pt idx="1">
                  <c:v>0</c:v>
                </c:pt>
                <c:pt idx="2">
                  <c:v>5.0000000000000034E-4</c:v>
                </c:pt>
                <c:pt idx="3">
                  <c:v>7.5000000000000088E-4</c:v>
                </c:pt>
              </c:numCache>
            </c:numRef>
          </c:val>
        </c:ser>
        <c:ser>
          <c:idx val="1"/>
          <c:order val="1"/>
          <c:tx>
            <c:strRef>
              <c:f>Sheet1!$C$1</c:f>
              <c:strCache>
                <c:ptCount val="1"/>
                <c:pt idx="0">
                  <c:v>SO2</c:v>
                </c:pt>
              </c:strCache>
            </c:strRef>
          </c:tx>
          <c:cat>
            <c:strRef>
              <c:f>Sheet1!$A$2:$A$5</c:f>
              <c:strCache>
                <c:ptCount val="4"/>
                <c:pt idx="0">
                  <c:v>Energie</c:v>
                </c:pt>
                <c:pt idx="1">
                  <c:v>Transporturi</c:v>
                </c:pt>
                <c:pt idx="2">
                  <c:v>Procese industriale</c:v>
                </c:pt>
                <c:pt idx="3">
                  <c:v>Agricultură</c:v>
                </c:pt>
              </c:strCache>
            </c:strRef>
          </c:cat>
          <c:val>
            <c:numRef>
              <c:f>Sheet1!$C$2:$C$5</c:f>
              <c:numCache>
                <c:formatCode>General</c:formatCode>
                <c:ptCount val="4"/>
                <c:pt idx="0">
                  <c:v>0</c:v>
                </c:pt>
                <c:pt idx="1">
                  <c:v>0</c:v>
                </c:pt>
                <c:pt idx="2">
                  <c:v>1.0000000000000025E-6</c:v>
                </c:pt>
                <c:pt idx="3">
                  <c:v>1.8000000000000026E-4</c:v>
                </c:pt>
              </c:numCache>
            </c:numRef>
          </c:val>
        </c:ser>
        <c:shape val="cone"/>
        <c:axId val="91780224"/>
        <c:axId val="91781760"/>
        <c:axId val="181269824"/>
      </c:bar3DChart>
      <c:catAx>
        <c:axId val="91780224"/>
        <c:scaling>
          <c:orientation val="minMax"/>
        </c:scaling>
        <c:axPos val="b"/>
        <c:numFmt formatCode="General" sourceLinked="1"/>
        <c:majorTickMark val="none"/>
        <c:tickLblPos val="nextTo"/>
        <c:crossAx val="91781760"/>
        <c:crossesAt val="0"/>
        <c:auto val="1"/>
        <c:lblAlgn val="ctr"/>
        <c:lblOffset val="100"/>
      </c:catAx>
      <c:valAx>
        <c:axId val="91781760"/>
        <c:scaling>
          <c:orientation val="minMax"/>
        </c:scaling>
        <c:axPos val="l"/>
        <c:title>
          <c:tx>
            <c:rich>
              <a:bodyPr rot="0" vert="horz"/>
              <a:lstStyle/>
              <a:p>
                <a:pPr>
                  <a:defRPr/>
                </a:pPr>
                <a:r>
                  <a:rPr lang="ro-RO"/>
                  <a:t>%</a:t>
                </a:r>
              </a:p>
            </c:rich>
          </c:tx>
          <c:layout>
            <c:manualLayout>
              <c:xMode val="edge"/>
              <c:yMode val="edge"/>
              <c:x val="0.1050846027424152"/>
              <c:y val="0.1990120763990374"/>
            </c:manualLayout>
          </c:layout>
        </c:title>
        <c:numFmt formatCode="General" sourceLinked="1"/>
        <c:majorTickMark val="none"/>
        <c:tickLblPos val="nextTo"/>
        <c:crossAx val="91780224"/>
        <c:crosses val="autoZero"/>
        <c:crossBetween val="between"/>
        <c:majorUnit val="2.0000000000000036E-4"/>
      </c:valAx>
      <c:serAx>
        <c:axId val="181269824"/>
        <c:scaling>
          <c:orientation val="minMax"/>
        </c:scaling>
        <c:delete val="1"/>
        <c:axPos val="b"/>
        <c:tickLblPos val="none"/>
        <c:crossAx val="91781760"/>
        <c:crossesAt val="0"/>
      </c:serAx>
    </c:plotArea>
    <c:legend>
      <c:legendPos val="r"/>
    </c:legend>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Contribuția sectoarelor de activitate din industrie la emisiile de poluanți cu efect de acidifiere </a:t>
            </a:r>
          </a:p>
        </c:rich>
      </c:tx>
    </c:title>
    <c:view3D>
      <c:perspective val="30"/>
    </c:view3D>
    <c:plotArea>
      <c:layout/>
      <c:bar3DChart>
        <c:barDir val="col"/>
        <c:grouping val="standard"/>
        <c:ser>
          <c:idx val="1"/>
          <c:order val="0"/>
          <c:tx>
            <c:strRef>
              <c:f>Sheet1!$C$1</c:f>
              <c:strCache>
                <c:ptCount val="1"/>
                <c:pt idx="0">
                  <c:v>Nox</c:v>
                </c:pt>
              </c:strCache>
            </c:strRef>
          </c:tx>
          <c:cat>
            <c:strRef>
              <c:f>Sheet1!$A$2</c:f>
              <c:strCache>
                <c:ptCount val="1"/>
                <c:pt idx="0">
                  <c:v>Producția de fier și oțel</c:v>
                </c:pt>
              </c:strCache>
            </c:strRef>
          </c:cat>
          <c:val>
            <c:numRef>
              <c:f>Sheet1!$C$2</c:f>
              <c:numCache>
                <c:formatCode>General</c:formatCode>
                <c:ptCount val="1"/>
                <c:pt idx="0">
                  <c:v>2.0000000000000031E-4</c:v>
                </c:pt>
              </c:numCache>
            </c:numRef>
          </c:val>
        </c:ser>
        <c:ser>
          <c:idx val="2"/>
          <c:order val="1"/>
          <c:tx>
            <c:strRef>
              <c:f>Sheet1!$D$1</c:f>
              <c:strCache>
                <c:ptCount val="1"/>
                <c:pt idx="0">
                  <c:v>SO2</c:v>
                </c:pt>
              </c:strCache>
            </c:strRef>
          </c:tx>
          <c:cat>
            <c:strRef>
              <c:f>Sheet1!$A$2</c:f>
              <c:strCache>
                <c:ptCount val="1"/>
                <c:pt idx="0">
                  <c:v>Producția de fier și oțel</c:v>
                </c:pt>
              </c:strCache>
            </c:strRef>
          </c:cat>
          <c:val>
            <c:numRef>
              <c:f>Sheet1!$D$2</c:f>
              <c:numCache>
                <c:formatCode>General</c:formatCode>
                <c:ptCount val="1"/>
                <c:pt idx="0">
                  <c:v>8.0000000000000115E-5</c:v>
                </c:pt>
              </c:numCache>
            </c:numRef>
          </c:val>
        </c:ser>
        <c:ser>
          <c:idx val="3"/>
          <c:order val="2"/>
          <c:tx>
            <c:strRef>
              <c:f>Sheet1!$B$1</c:f>
              <c:strCache>
                <c:ptCount val="1"/>
                <c:pt idx="0">
                  <c:v>NH3</c:v>
                </c:pt>
              </c:strCache>
            </c:strRef>
          </c:tx>
          <c:cat>
            <c:strRef>
              <c:f>Sheet1!$A$2</c:f>
              <c:strCache>
                <c:ptCount val="1"/>
                <c:pt idx="0">
                  <c:v>Producția de fier și oțel</c:v>
                </c:pt>
              </c:strCache>
            </c:strRef>
          </c:cat>
          <c:val>
            <c:numRef>
              <c:f>Sheet1!$B$2</c:f>
              <c:numCache>
                <c:formatCode>General</c:formatCode>
                <c:ptCount val="1"/>
                <c:pt idx="0">
                  <c:v>0</c:v>
                </c:pt>
              </c:numCache>
            </c:numRef>
          </c:val>
        </c:ser>
        <c:shape val="cone"/>
        <c:axId val="85809024"/>
        <c:axId val="85810560"/>
        <c:axId val="91555584"/>
      </c:bar3DChart>
      <c:catAx>
        <c:axId val="85809024"/>
        <c:scaling>
          <c:orientation val="minMax"/>
        </c:scaling>
        <c:axPos val="b"/>
        <c:numFmt formatCode="General" sourceLinked="1"/>
        <c:majorTickMark val="none"/>
        <c:tickLblPos val="nextTo"/>
        <c:crossAx val="85810560"/>
        <c:crossesAt val="0"/>
        <c:auto val="1"/>
        <c:lblAlgn val="ctr"/>
        <c:lblOffset val="100"/>
      </c:catAx>
      <c:valAx>
        <c:axId val="85810560"/>
        <c:scaling>
          <c:orientation val="minMax"/>
        </c:scaling>
        <c:axPos val="l"/>
        <c:title>
          <c:tx>
            <c:rich>
              <a:bodyPr rot="0" vert="horz"/>
              <a:lstStyle/>
              <a:p>
                <a:pPr>
                  <a:defRPr/>
                </a:pPr>
                <a:r>
                  <a:rPr lang="ro-RO"/>
                  <a:t>%</a:t>
                </a:r>
              </a:p>
            </c:rich>
          </c:tx>
          <c:layout>
            <c:manualLayout>
              <c:xMode val="edge"/>
              <c:yMode val="edge"/>
              <c:x val="0.25960173669880049"/>
              <c:y val="0.26180062672221388"/>
            </c:manualLayout>
          </c:layout>
        </c:title>
        <c:numFmt formatCode="General" sourceLinked="1"/>
        <c:majorTickMark val="none"/>
        <c:tickLblPos val="nextTo"/>
        <c:crossAx val="85809024"/>
        <c:crosses val="autoZero"/>
        <c:crossBetween val="between"/>
      </c:valAx>
      <c:serAx>
        <c:axId val="91555584"/>
        <c:scaling>
          <c:orientation val="minMax"/>
        </c:scaling>
        <c:delete val="1"/>
        <c:axPos val="b"/>
        <c:tickLblPos val="none"/>
        <c:crossAx val="85810560"/>
        <c:crossesAt val="0"/>
      </c:serAx>
    </c:plotArea>
    <c:legend>
      <c:legendPos val="r"/>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Evoluția emisiilor de poluanți cu efect de acidifiere </a:t>
            </a:r>
          </a:p>
        </c:rich>
      </c:tx>
    </c:title>
    <c:plotArea>
      <c:layout>
        <c:manualLayout>
          <c:layoutTarget val="inner"/>
          <c:xMode val="edge"/>
          <c:yMode val="edge"/>
          <c:x val="0.17659626420279392"/>
          <c:y val="0.12149045975994574"/>
          <c:w val="0.66074678048421565"/>
          <c:h val="0.52355097466749234"/>
        </c:manualLayout>
      </c:layout>
      <c:barChart>
        <c:barDir val="col"/>
        <c:grouping val="clustered"/>
        <c:ser>
          <c:idx val="0"/>
          <c:order val="0"/>
          <c:tx>
            <c:strRef>
              <c:f>Sheet1!$B$1</c:f>
              <c:strCache>
                <c:ptCount val="1"/>
                <c:pt idx="0">
                  <c:v>Nox</c:v>
                </c:pt>
              </c:strCache>
            </c:strRef>
          </c:tx>
          <c:cat>
            <c:numRef>
              <c:f>Sheet1!$A$2:$A$7</c:f>
              <c:numCache>
                <c:formatCode>General</c:formatCode>
                <c:ptCount val="6"/>
                <c:pt idx="0">
                  <c:v>2012</c:v>
                </c:pt>
                <c:pt idx="1">
                  <c:v>2013</c:v>
                </c:pt>
                <c:pt idx="2">
                  <c:v>2014</c:v>
                </c:pt>
                <c:pt idx="3">
                  <c:v>2015</c:v>
                </c:pt>
                <c:pt idx="4">
                  <c:v>2016</c:v>
                </c:pt>
              </c:numCache>
            </c:numRef>
          </c:cat>
          <c:val>
            <c:numRef>
              <c:f>Sheet1!$B$2:$B$7</c:f>
              <c:numCache>
                <c:formatCode>General</c:formatCode>
                <c:ptCount val="6"/>
                <c:pt idx="2">
                  <c:v>1.1585000000000001</c:v>
                </c:pt>
                <c:pt idx="3">
                  <c:v>1.1190787137445199</c:v>
                </c:pt>
                <c:pt idx="4">
                  <c:v>1.1919999999999986</c:v>
                </c:pt>
              </c:numCache>
            </c:numRef>
          </c:val>
        </c:ser>
        <c:ser>
          <c:idx val="1"/>
          <c:order val="1"/>
          <c:tx>
            <c:strRef>
              <c:f>Sheet1!$C$1</c:f>
              <c:strCache>
                <c:ptCount val="1"/>
                <c:pt idx="0">
                  <c:v>SO2</c:v>
                </c:pt>
              </c:strCache>
            </c:strRef>
          </c:tx>
          <c:spPr>
            <a:solidFill>
              <a:schemeClr val="accent3"/>
            </a:solidFill>
          </c:spPr>
          <c:cat>
            <c:numRef>
              <c:f>Sheet1!$A$2:$A$7</c:f>
              <c:numCache>
                <c:formatCode>General</c:formatCode>
                <c:ptCount val="6"/>
                <c:pt idx="0">
                  <c:v>2012</c:v>
                </c:pt>
                <c:pt idx="1">
                  <c:v>2013</c:v>
                </c:pt>
                <c:pt idx="2">
                  <c:v>2014</c:v>
                </c:pt>
                <c:pt idx="3">
                  <c:v>2015</c:v>
                </c:pt>
                <c:pt idx="4">
                  <c:v>2016</c:v>
                </c:pt>
              </c:numCache>
            </c:numRef>
          </c:cat>
          <c:val>
            <c:numRef>
              <c:f>Sheet1!$C$2:$C$7</c:f>
              <c:numCache>
                <c:formatCode>General</c:formatCode>
                <c:ptCount val="6"/>
                <c:pt idx="2">
                  <c:v>2.7000000000000032E-3</c:v>
                </c:pt>
                <c:pt idx="3">
                  <c:v>6.4125099749727764E-3</c:v>
                </c:pt>
                <c:pt idx="4">
                  <c:v>5.0000000000000053E-3</c:v>
                </c:pt>
              </c:numCache>
            </c:numRef>
          </c:val>
        </c:ser>
        <c:ser>
          <c:idx val="2"/>
          <c:order val="2"/>
          <c:tx>
            <c:strRef>
              <c:f>Sheet1!$D$1</c:f>
              <c:strCache>
                <c:ptCount val="1"/>
                <c:pt idx="0">
                  <c:v>NH3</c:v>
                </c:pt>
              </c:strCache>
            </c:strRef>
          </c:tx>
          <c:spPr>
            <a:solidFill>
              <a:srgbClr val="FFFF00"/>
            </a:solidFill>
          </c:spPr>
          <c:cat>
            <c:numRef>
              <c:f>Sheet1!$A$2:$A$7</c:f>
              <c:numCache>
                <c:formatCode>General</c:formatCode>
                <c:ptCount val="6"/>
                <c:pt idx="0">
                  <c:v>2012</c:v>
                </c:pt>
                <c:pt idx="1">
                  <c:v>2013</c:v>
                </c:pt>
                <c:pt idx="2">
                  <c:v>2014</c:v>
                </c:pt>
                <c:pt idx="3">
                  <c:v>2015</c:v>
                </c:pt>
                <c:pt idx="4">
                  <c:v>2016</c:v>
                </c:pt>
              </c:numCache>
            </c:numRef>
          </c:cat>
          <c:val>
            <c:numRef>
              <c:f>Sheet1!$D$2:$D$7</c:f>
              <c:numCache>
                <c:formatCode>General</c:formatCode>
                <c:ptCount val="6"/>
                <c:pt idx="2">
                  <c:v>7.1099999999999985</c:v>
                </c:pt>
                <c:pt idx="3">
                  <c:v>0.43650293326216166</c:v>
                </c:pt>
                <c:pt idx="4">
                  <c:v>0.21800000000000017</c:v>
                </c:pt>
              </c:numCache>
            </c:numRef>
          </c:val>
        </c:ser>
        <c:ser>
          <c:idx val="3"/>
          <c:order val="3"/>
          <c:tx>
            <c:strRef>
              <c:f>Sheet1!$E$1</c:f>
              <c:strCache>
                <c:ptCount val="1"/>
                <c:pt idx="0">
                  <c:v>Echivalent acidifiere</c:v>
                </c:pt>
              </c:strCache>
            </c:strRef>
          </c:tx>
          <c:spPr>
            <a:solidFill>
              <a:schemeClr val="accent2"/>
            </a:solidFill>
          </c:spPr>
          <c:cat>
            <c:numRef>
              <c:f>Sheet1!$A$2:$A$7</c:f>
              <c:numCache>
                <c:formatCode>General</c:formatCode>
                <c:ptCount val="6"/>
                <c:pt idx="0">
                  <c:v>2012</c:v>
                </c:pt>
                <c:pt idx="1">
                  <c:v>2013</c:v>
                </c:pt>
                <c:pt idx="2">
                  <c:v>2014</c:v>
                </c:pt>
                <c:pt idx="3">
                  <c:v>2015</c:v>
                </c:pt>
                <c:pt idx="4">
                  <c:v>2016</c:v>
                </c:pt>
              </c:numCache>
            </c:numRef>
          </c:cat>
          <c:val>
            <c:numRef>
              <c:f>Sheet1!$E$2:$E$7</c:f>
              <c:numCache>
                <c:formatCode>General</c:formatCode>
                <c:ptCount val="6"/>
                <c:pt idx="2">
                  <c:v>0.44329195999999993</c:v>
                </c:pt>
                <c:pt idx="3">
                  <c:v>5.0151092126287787E-2</c:v>
                </c:pt>
                <c:pt idx="4">
                  <c:v>3.8841300000000058E-2</c:v>
                </c:pt>
              </c:numCache>
            </c:numRef>
          </c:val>
        </c:ser>
        <c:axId val="92097536"/>
        <c:axId val="92107520"/>
      </c:barChart>
      <c:catAx>
        <c:axId val="92097536"/>
        <c:scaling>
          <c:orientation val="minMax"/>
        </c:scaling>
        <c:axPos val="b"/>
        <c:numFmt formatCode="General" sourceLinked="1"/>
        <c:majorTickMark val="none"/>
        <c:tickLblPos val="nextTo"/>
        <c:crossAx val="92107520"/>
        <c:crossesAt val="0"/>
        <c:auto val="1"/>
        <c:lblAlgn val="ctr"/>
        <c:lblOffset val="100"/>
      </c:catAx>
      <c:valAx>
        <c:axId val="92107520"/>
        <c:scaling>
          <c:orientation val="minMax"/>
          <c:max val="8"/>
        </c:scaling>
        <c:axPos val="l"/>
        <c:title>
          <c:tx>
            <c:rich>
              <a:bodyPr rot="0" vert="horz"/>
              <a:lstStyle/>
              <a:p>
                <a:pPr>
                  <a:defRPr/>
                </a:pPr>
                <a:r>
                  <a:rPr lang="en-US"/>
                  <a:t>mii tone</a:t>
                </a:r>
                <a:endParaRPr lang="ro-RO"/>
              </a:p>
            </c:rich>
          </c:tx>
          <c:layout>
            <c:manualLayout>
              <c:xMode val="edge"/>
              <c:yMode val="edge"/>
              <c:x val="9.7607967228395501E-2"/>
              <c:y val="6.2354643342712533E-2"/>
            </c:manualLayout>
          </c:layout>
        </c:title>
        <c:numFmt formatCode="General" sourceLinked="1"/>
        <c:majorTickMark val="none"/>
        <c:tickLblPos val="nextTo"/>
        <c:crossAx val="92097536"/>
        <c:crosses val="autoZero"/>
        <c:crossBetween val="between"/>
      </c:valAx>
    </c:plotArea>
    <c:legend>
      <c:legendPos val="r"/>
      <c:layout>
        <c:manualLayout>
          <c:xMode val="edge"/>
          <c:yMode val="edge"/>
          <c:x val="0.85495850295860565"/>
          <c:y val="0.19922552707617772"/>
          <c:w val="0.14504149704139527"/>
          <c:h val="0.41885620380538524"/>
        </c:manualLayout>
      </c:layout>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Nox</c:v>
                </c:pt>
              </c:strCache>
            </c:strRef>
          </c:tx>
          <c:cat>
            <c:strRef>
              <c:f>Sheet1!$A$2:$A$4</c:f>
              <c:strCache>
                <c:ptCount val="3"/>
                <c:pt idx="0">
                  <c:v>Producția de fier și oțel</c:v>
                </c:pt>
                <c:pt idx="1">
                  <c:v>Industria alimentară</c:v>
                </c:pt>
                <c:pt idx="2">
                  <c:v>Asfaltarea drumurilor</c:v>
                </c:pt>
              </c:strCache>
            </c:strRef>
          </c:cat>
          <c:val>
            <c:numRef>
              <c:f>Sheet1!$B$2:$B$4</c:f>
              <c:numCache>
                <c:formatCode>General</c:formatCode>
                <c:ptCount val="3"/>
                <c:pt idx="0">
                  <c:v>0</c:v>
                </c:pt>
                <c:pt idx="1">
                  <c:v>0</c:v>
                </c:pt>
                <c:pt idx="2">
                  <c:v>0</c:v>
                </c:pt>
              </c:numCache>
            </c:numRef>
          </c:val>
        </c:ser>
        <c:ser>
          <c:idx val="1"/>
          <c:order val="1"/>
          <c:tx>
            <c:strRef>
              <c:f>Sheet1!$C$1</c:f>
              <c:strCache>
                <c:ptCount val="1"/>
                <c:pt idx="0">
                  <c:v>NMCOV</c:v>
                </c:pt>
              </c:strCache>
            </c:strRef>
          </c:tx>
          <c:cat>
            <c:strRef>
              <c:f>Sheet1!$A$2:$A$4</c:f>
              <c:strCache>
                <c:ptCount val="3"/>
                <c:pt idx="0">
                  <c:v>Producția de fier și oțel</c:v>
                </c:pt>
                <c:pt idx="1">
                  <c:v>Industria alimentară</c:v>
                </c:pt>
                <c:pt idx="2">
                  <c:v>Asfaltarea drumurilor</c:v>
                </c:pt>
              </c:strCache>
            </c:strRef>
          </c:cat>
          <c:val>
            <c:numRef>
              <c:f>Sheet1!$C$2:$C$4</c:f>
              <c:numCache>
                <c:formatCode>General</c:formatCode>
                <c:ptCount val="3"/>
                <c:pt idx="0">
                  <c:v>1.4999999999999999E-4</c:v>
                </c:pt>
                <c:pt idx="1">
                  <c:v>4.5000000000000014E-3</c:v>
                </c:pt>
                <c:pt idx="2">
                  <c:v>2.5000000000000027E-3</c:v>
                </c:pt>
              </c:numCache>
            </c:numRef>
          </c:val>
        </c:ser>
        <c:ser>
          <c:idx val="2"/>
          <c:order val="2"/>
          <c:tx>
            <c:strRef>
              <c:f>Sheet1!$D$1</c:f>
              <c:strCache>
                <c:ptCount val="1"/>
                <c:pt idx="0">
                  <c:v>CO</c:v>
                </c:pt>
              </c:strCache>
            </c:strRef>
          </c:tx>
          <c:cat>
            <c:strRef>
              <c:f>Sheet1!$A$2:$A$4</c:f>
              <c:strCache>
                <c:ptCount val="3"/>
                <c:pt idx="0">
                  <c:v>Producția de fier și oțel</c:v>
                </c:pt>
                <c:pt idx="1">
                  <c:v>Industria alimentară</c:v>
                </c:pt>
                <c:pt idx="2">
                  <c:v>Asfaltarea drumurilor</c:v>
                </c:pt>
              </c:strCache>
            </c:strRef>
          </c:cat>
          <c:val>
            <c:numRef>
              <c:f>Sheet1!$D$2:$D$4</c:f>
              <c:numCache>
                <c:formatCode>General</c:formatCode>
                <c:ptCount val="3"/>
                <c:pt idx="0">
                  <c:v>2.0999999999999999E-3</c:v>
                </c:pt>
                <c:pt idx="1">
                  <c:v>0</c:v>
                </c:pt>
                <c:pt idx="2">
                  <c:v>0</c:v>
                </c:pt>
              </c:numCache>
            </c:numRef>
          </c:val>
        </c:ser>
        <c:shape val="cone"/>
        <c:axId val="92162688"/>
        <c:axId val="92017024"/>
        <c:axId val="92105792"/>
      </c:bar3DChart>
      <c:catAx>
        <c:axId val="92162688"/>
        <c:scaling>
          <c:orientation val="minMax"/>
        </c:scaling>
        <c:axPos val="b"/>
        <c:numFmt formatCode="General" sourceLinked="1"/>
        <c:majorTickMark val="none"/>
        <c:tickLblPos val="nextTo"/>
        <c:crossAx val="92017024"/>
        <c:crossesAt val="0"/>
        <c:auto val="1"/>
        <c:lblAlgn val="ctr"/>
        <c:lblOffset val="100"/>
      </c:catAx>
      <c:valAx>
        <c:axId val="92017024"/>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2253012677212829"/>
              <c:y val="0.20270564583682704"/>
            </c:manualLayout>
          </c:layout>
        </c:title>
        <c:numFmt formatCode="General" sourceLinked="1"/>
        <c:majorTickMark val="none"/>
        <c:tickLblPos val="nextTo"/>
        <c:spPr>
          <a:noFill/>
        </c:spPr>
        <c:crossAx val="92162688"/>
        <c:crosses val="autoZero"/>
        <c:crossBetween val="between"/>
      </c:valAx>
      <c:serAx>
        <c:axId val="92105792"/>
        <c:scaling>
          <c:orientation val="minMax"/>
        </c:scaling>
        <c:delete val="1"/>
        <c:axPos val="b"/>
        <c:tickLblPos val="none"/>
        <c:crossAx val="92017024"/>
        <c:crossesAt val="0"/>
      </c:serAx>
    </c:plotArea>
    <c:legend>
      <c:legendPos val="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particule primare în suspensie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PM2,5</c:v>
                </c:pt>
              </c:strCache>
            </c:strRef>
          </c:tx>
          <c:cat>
            <c:strRef>
              <c:f>Sheet1!$A$2</c:f>
              <c:strCache>
                <c:ptCount val="1"/>
                <c:pt idx="0">
                  <c:v>Producția de fier și oțel</c:v>
                </c:pt>
              </c:strCache>
            </c:strRef>
          </c:cat>
          <c:val>
            <c:numRef>
              <c:f>Sheet1!$B$2</c:f>
              <c:numCache>
                <c:formatCode>General</c:formatCode>
                <c:ptCount val="1"/>
                <c:pt idx="0">
                  <c:v>2.6000000000000039E-5</c:v>
                </c:pt>
              </c:numCache>
            </c:numRef>
          </c:val>
        </c:ser>
        <c:ser>
          <c:idx val="1"/>
          <c:order val="1"/>
          <c:tx>
            <c:strRef>
              <c:f>Sheet1!$C$1</c:f>
              <c:strCache>
                <c:ptCount val="1"/>
                <c:pt idx="0">
                  <c:v>PM10</c:v>
                </c:pt>
              </c:strCache>
            </c:strRef>
          </c:tx>
          <c:cat>
            <c:strRef>
              <c:f>Sheet1!$A$2</c:f>
              <c:strCache>
                <c:ptCount val="1"/>
                <c:pt idx="0">
                  <c:v>Producția de fier și oțel</c:v>
                </c:pt>
              </c:strCache>
            </c:strRef>
          </c:cat>
          <c:val>
            <c:numRef>
              <c:f>Sheet1!$C$2</c:f>
              <c:numCache>
                <c:formatCode>General</c:formatCode>
                <c:ptCount val="1"/>
                <c:pt idx="0">
                  <c:v>3.0000000000000052E-5</c:v>
                </c:pt>
              </c:numCache>
            </c:numRef>
          </c:val>
        </c:ser>
        <c:shape val="cone"/>
        <c:axId val="93125248"/>
        <c:axId val="93176192"/>
        <c:axId val="93147136"/>
      </c:bar3DChart>
      <c:catAx>
        <c:axId val="93125248"/>
        <c:scaling>
          <c:orientation val="minMax"/>
        </c:scaling>
        <c:axPos val="b"/>
        <c:numFmt formatCode="General" sourceLinked="1"/>
        <c:majorTickMark val="none"/>
        <c:tickLblPos val="nextTo"/>
        <c:crossAx val="93176192"/>
        <c:crossesAt val="0"/>
        <c:auto val="1"/>
        <c:lblAlgn val="ctr"/>
        <c:lblOffset val="100"/>
      </c:catAx>
      <c:valAx>
        <c:axId val="93176192"/>
        <c:scaling>
          <c:orientation val="minMax"/>
        </c:scaling>
        <c:axPos val="l"/>
        <c:majorGridlines/>
        <c:minorGridlines>
          <c:spPr>
            <a:ln>
              <a:solidFill>
                <a:sysClr val="window" lastClr="FFFFFF"/>
              </a:solidFill>
            </a:ln>
          </c:spPr>
        </c:minorGridlines>
        <c:title>
          <c:tx>
            <c:rich>
              <a:bodyPr rot="0" vert="horz"/>
              <a:lstStyle/>
              <a:p>
                <a:pPr>
                  <a:defRPr/>
                </a:pPr>
                <a:r>
                  <a:rPr lang="ro-RO"/>
                  <a:t>%</a:t>
                </a:r>
              </a:p>
            </c:rich>
          </c:tx>
          <c:layout>
            <c:manualLayout>
              <c:xMode val="edge"/>
              <c:yMode val="edge"/>
              <c:x val="0.15742105134054504"/>
              <c:y val="0.28765473567881888"/>
            </c:manualLayout>
          </c:layout>
        </c:title>
        <c:numFmt formatCode="General" sourceLinked="1"/>
        <c:majorTickMark val="none"/>
        <c:tickLblPos val="nextTo"/>
        <c:spPr>
          <a:noFill/>
        </c:spPr>
        <c:crossAx val="93125248"/>
        <c:crosses val="autoZero"/>
        <c:crossBetween val="between"/>
      </c:valAx>
      <c:serAx>
        <c:axId val="93147136"/>
        <c:scaling>
          <c:orientation val="minMax"/>
        </c:scaling>
        <c:delete val="1"/>
        <c:axPos val="b"/>
        <c:tickLblPos val="none"/>
        <c:crossAx val="93176192"/>
        <c:crossesAt val="0"/>
      </c:serAx>
    </c:plotArea>
    <c:legend>
      <c:legendPos val="r"/>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PCDD/PCDF</c:v>
                </c:pt>
              </c:strCache>
            </c:strRef>
          </c:tx>
          <c:cat>
            <c:strRef>
              <c:f>Sheet1!$A$2</c:f>
              <c:strCache>
                <c:ptCount val="1"/>
                <c:pt idx="0">
                  <c:v>Producția de fier și oțel</c:v>
                </c:pt>
              </c:strCache>
            </c:strRef>
          </c:cat>
          <c:val>
            <c:numRef>
              <c:f>Sheet1!$B$2</c:f>
              <c:numCache>
                <c:formatCode>General</c:formatCode>
                <c:ptCount val="1"/>
                <c:pt idx="0">
                  <c:v>3.0000000000000116E-11</c:v>
                </c:pt>
              </c:numCache>
            </c:numRef>
          </c:val>
        </c:ser>
        <c:ser>
          <c:idx val="1"/>
          <c:order val="1"/>
          <c:tx>
            <c:strRef>
              <c:f>Sheet1!$C$1</c:f>
              <c:strCache>
                <c:ptCount val="1"/>
                <c:pt idx="0">
                  <c:v>PAH</c:v>
                </c:pt>
              </c:strCache>
            </c:strRef>
          </c:tx>
          <c:cat>
            <c:strRef>
              <c:f>Sheet1!$A$2</c:f>
              <c:strCache>
                <c:ptCount val="1"/>
                <c:pt idx="0">
                  <c:v>Producția de fier și oțel</c:v>
                </c:pt>
              </c:strCache>
            </c:strRef>
          </c:cat>
          <c:val>
            <c:numRef>
              <c:f>Sheet1!$C$2</c:f>
              <c:numCache>
                <c:formatCode>General</c:formatCode>
                <c:ptCount val="1"/>
                <c:pt idx="0">
                  <c:v>6.0000000000000135E-7</c:v>
                </c:pt>
              </c:numCache>
            </c:numRef>
          </c:val>
        </c:ser>
        <c:ser>
          <c:idx val="2"/>
          <c:order val="2"/>
          <c:tx>
            <c:strRef>
              <c:f>Sheet1!$D$1</c:f>
              <c:strCache>
                <c:ptCount val="1"/>
                <c:pt idx="0">
                  <c:v>HCB</c:v>
                </c:pt>
              </c:strCache>
            </c:strRef>
          </c:tx>
          <c:cat>
            <c:strRef>
              <c:f>Sheet1!$A$2</c:f>
              <c:strCache>
                <c:ptCount val="1"/>
                <c:pt idx="0">
                  <c:v>Producția de fier și oțel</c:v>
                </c:pt>
              </c:strCache>
            </c:strRef>
          </c:cat>
          <c:val>
            <c:numRef>
              <c:f>Sheet1!$D$2</c:f>
              <c:numCache>
                <c:formatCode>General</c:formatCode>
                <c:ptCount val="1"/>
                <c:pt idx="0">
                  <c:v>0</c:v>
                </c:pt>
              </c:numCache>
            </c:numRef>
          </c:val>
        </c:ser>
        <c:ser>
          <c:idx val="3"/>
          <c:order val="3"/>
          <c:tx>
            <c:strRef>
              <c:f>Sheet1!$E$1</c:f>
              <c:strCache>
                <c:ptCount val="1"/>
                <c:pt idx="0">
                  <c:v>PCBs</c:v>
                </c:pt>
              </c:strCache>
            </c:strRef>
          </c:tx>
          <c:cat>
            <c:strRef>
              <c:f>Sheet1!$A$2</c:f>
              <c:strCache>
                <c:ptCount val="1"/>
                <c:pt idx="0">
                  <c:v>Producția de fier și oțel</c:v>
                </c:pt>
              </c:strCache>
            </c:strRef>
          </c:cat>
          <c:val>
            <c:numRef>
              <c:f>Sheet1!$E$2</c:f>
              <c:numCache>
                <c:formatCode>General</c:formatCode>
                <c:ptCount val="1"/>
                <c:pt idx="0">
                  <c:v>3.0000000000000091E-9</c:v>
                </c:pt>
              </c:numCache>
            </c:numRef>
          </c:val>
        </c:ser>
        <c:shape val="cone"/>
        <c:axId val="93376896"/>
        <c:axId val="93378432"/>
        <c:axId val="91556032"/>
      </c:bar3DChart>
      <c:catAx>
        <c:axId val="93376896"/>
        <c:scaling>
          <c:orientation val="minMax"/>
        </c:scaling>
        <c:axPos val="b"/>
        <c:numFmt formatCode="General" sourceLinked="1"/>
        <c:majorTickMark val="none"/>
        <c:tickLblPos val="nextTo"/>
        <c:crossAx val="93378432"/>
        <c:crossesAt val="0"/>
        <c:auto val="1"/>
        <c:lblAlgn val="ctr"/>
        <c:lblOffset val="100"/>
      </c:catAx>
      <c:valAx>
        <c:axId val="93378432"/>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8981980523462624"/>
              <c:y val="0.26180062672221388"/>
            </c:manualLayout>
          </c:layout>
        </c:title>
        <c:numFmt formatCode="General" sourceLinked="1"/>
        <c:majorTickMark val="none"/>
        <c:tickLblPos val="nextTo"/>
        <c:spPr>
          <a:noFill/>
        </c:spPr>
        <c:crossAx val="93376896"/>
        <c:crosses val="autoZero"/>
        <c:crossBetween val="between"/>
        <c:majorUnit val="2.0000000000000057E-7"/>
      </c:valAx>
      <c:serAx>
        <c:axId val="91556032"/>
        <c:scaling>
          <c:orientation val="minMax"/>
        </c:scaling>
        <c:delete val="1"/>
        <c:axPos val="b"/>
        <c:tickLblPos val="none"/>
        <c:crossAx val="93378432"/>
        <c:crossesAt val="0"/>
      </c:serAx>
    </c:plotArea>
    <c:legend>
      <c:legendPos val="r"/>
    </c:legend>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sz="1200" baseline="0">
                <a:latin typeface="Arial" pitchFamily="34" charset="0"/>
              </a:defRPr>
            </a:pPr>
            <a:r>
              <a:rPr lang="ro-RO" sz="1200" baseline="0">
                <a:latin typeface="Arial" pitchFamily="34" charset="0"/>
                <a:cs typeface="Arial" pitchFamily="34" charset="0"/>
              </a:rPr>
              <a:t>Contribuția diverselor tipuri de vehicule la emisiile poluanților cu efect de acidifiere și eutrofizare </a:t>
            </a:r>
            <a:r>
              <a:rPr lang="ro-RO" sz="1200" baseline="0">
                <a:latin typeface="Arial" pitchFamily="34" charset="0"/>
              </a:rPr>
              <a:t> </a:t>
            </a:r>
          </a:p>
        </c:rich>
      </c:tx>
    </c:title>
    <c:view3D>
      <c:perspective val="30"/>
    </c:view3D>
    <c:plotArea>
      <c:layout>
        <c:manualLayout>
          <c:layoutTarget val="inner"/>
          <c:xMode val="edge"/>
          <c:yMode val="edge"/>
          <c:x val="0.14170190751472544"/>
          <c:y val="0.16919333221645191"/>
          <c:w val="0.74801592838870234"/>
          <c:h val="0.69869101468700212"/>
        </c:manualLayout>
      </c:layout>
      <c:bar3DChart>
        <c:barDir val="col"/>
        <c:grouping val="standard"/>
        <c:ser>
          <c:idx val="0"/>
          <c:order val="0"/>
          <c:tx>
            <c:strRef>
              <c:f>Sheet1!$B$1</c:f>
              <c:strCache>
                <c:ptCount val="1"/>
                <c:pt idx="0">
                  <c:v>Nox</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0.2</c:v>
                </c:pt>
                <c:pt idx="1">
                  <c:v>7.0000000000000021E-2</c:v>
                </c:pt>
                <c:pt idx="2">
                  <c:v>0.30100000000000032</c:v>
                </c:pt>
                <c:pt idx="3">
                  <c:v>1.0000000000000015E-4</c:v>
                </c:pt>
              </c:numCache>
            </c:numRef>
          </c:val>
        </c:ser>
        <c:ser>
          <c:idx val="1"/>
          <c:order val="1"/>
          <c:tx>
            <c:strRef>
              <c:f>Sheet1!$C$1</c:f>
              <c:strCache>
                <c:ptCount val="1"/>
                <c:pt idx="0">
                  <c:v>NH3</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5.4000000000000072E-3</c:v>
                </c:pt>
                <c:pt idx="1">
                  <c:v>3.6000000000000056E-4</c:v>
                </c:pt>
                <c:pt idx="2">
                  <c:v>2.8000000000000035E-4</c:v>
                </c:pt>
                <c:pt idx="3">
                  <c:v>6.0000000000000156E-7</c:v>
                </c:pt>
              </c:numCache>
            </c:numRef>
          </c:val>
        </c:ser>
        <c:shape val="cylinder"/>
        <c:axId val="93716864"/>
        <c:axId val="93718400"/>
        <c:axId val="93447936"/>
      </c:bar3DChart>
      <c:catAx>
        <c:axId val="93716864"/>
        <c:scaling>
          <c:orientation val="minMax"/>
        </c:scaling>
        <c:axPos val="b"/>
        <c:majorTickMark val="none"/>
        <c:tickLblPos val="nextTo"/>
        <c:crossAx val="93718400"/>
        <c:crosses val="autoZero"/>
        <c:auto val="1"/>
        <c:lblAlgn val="ctr"/>
        <c:lblOffset val="100"/>
      </c:catAx>
      <c:valAx>
        <c:axId val="93718400"/>
        <c:scaling>
          <c:orientation val="minMax"/>
          <c:max val="0.30000000000000032"/>
        </c:scaling>
        <c:axPos val="l"/>
        <c:majorGridlines/>
        <c:title>
          <c:tx>
            <c:rich>
              <a:bodyPr rot="0" vert="horz"/>
              <a:lstStyle/>
              <a:p>
                <a:pPr>
                  <a:defRPr/>
                </a:pPr>
                <a:r>
                  <a:rPr lang="ro-RO"/>
                  <a:t>%</a:t>
                </a:r>
              </a:p>
            </c:rich>
          </c:tx>
          <c:layout>
            <c:manualLayout>
              <c:xMode val="edge"/>
              <c:yMode val="edge"/>
              <c:x val="0.12271731856302755"/>
              <c:y val="0.21121740101636494"/>
            </c:manualLayout>
          </c:layout>
        </c:title>
        <c:numFmt formatCode="General" sourceLinked="1"/>
        <c:majorTickMark val="none"/>
        <c:tickLblPos val="nextTo"/>
        <c:crossAx val="93716864"/>
        <c:crosses val="autoZero"/>
        <c:crossBetween val="between"/>
      </c:valAx>
      <c:serAx>
        <c:axId val="93447936"/>
        <c:scaling>
          <c:orientation val="minMax"/>
        </c:scaling>
        <c:delete val="1"/>
        <c:axPos val="b"/>
        <c:tickLblPos val="none"/>
        <c:crossAx val="93718400"/>
        <c:crosses val="autoZero"/>
      </c:serAx>
    </c:plotArea>
    <c:legend>
      <c:legendPos val="r"/>
    </c:legend>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Contribuția tipurilor de vehicule la emisiile de poluanți atmosferici precursori ai ozonului</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0.2</c:v>
                </c:pt>
                <c:pt idx="1">
                  <c:v>7.0000000000000021E-2</c:v>
                </c:pt>
                <c:pt idx="2">
                  <c:v>0.30100000000000032</c:v>
                </c:pt>
                <c:pt idx="3">
                  <c:v>1.0000000000000022E-4</c:v>
                </c:pt>
              </c:numCache>
            </c:numRef>
          </c:val>
        </c:ser>
        <c:ser>
          <c:idx val="1"/>
          <c:order val="1"/>
          <c:tx>
            <c:strRef>
              <c:f>Sheet1!$C$1</c:f>
              <c:strCache>
                <c:ptCount val="1"/>
                <c:pt idx="0">
                  <c:v>CO</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0.78</c:v>
                </c:pt>
                <c:pt idx="1">
                  <c:v>0.13</c:v>
                </c:pt>
                <c:pt idx="2">
                  <c:v>8.0000000000000043E-2</c:v>
                </c:pt>
                <c:pt idx="3">
                  <c:v>5.0000000000000079E-3</c:v>
                </c:pt>
              </c:numCache>
            </c:numRef>
          </c:val>
        </c:ser>
        <c:ser>
          <c:idx val="2"/>
          <c:order val="2"/>
          <c:tx>
            <c:strRef>
              <c:f>Sheet1!$D$1</c:f>
              <c:strCache>
                <c:ptCount val="1"/>
                <c:pt idx="0">
                  <c:v>NMCOV</c:v>
                </c:pt>
              </c:strCache>
            </c:strRef>
          </c:tx>
          <c:cat>
            <c:strRef>
              <c:f>Sheet1!$A$2:$A$5</c:f>
              <c:strCache>
                <c:ptCount val="4"/>
                <c:pt idx="0">
                  <c:v>Transport pasageri</c:v>
                </c:pt>
                <c:pt idx="1">
                  <c:v>Vehicule usoare</c:v>
                </c:pt>
                <c:pt idx="2">
                  <c:v>Vehicule grele</c:v>
                </c:pt>
                <c:pt idx="3">
                  <c:v>Motorete si motociclete</c:v>
                </c:pt>
              </c:strCache>
            </c:strRef>
          </c:cat>
          <c:val>
            <c:numRef>
              <c:f>Sheet1!$D$2:$D$5</c:f>
              <c:numCache>
                <c:formatCode>General</c:formatCode>
                <c:ptCount val="4"/>
                <c:pt idx="0">
                  <c:v>0.14000000000000001</c:v>
                </c:pt>
                <c:pt idx="1">
                  <c:v>1.6000000000000021E-2</c:v>
                </c:pt>
                <c:pt idx="2">
                  <c:v>2.1999999999999999E-2</c:v>
                </c:pt>
                <c:pt idx="3">
                  <c:v>1.299999999999998E-3</c:v>
                </c:pt>
              </c:numCache>
            </c:numRef>
          </c:val>
        </c:ser>
        <c:shape val="cylinder"/>
        <c:axId val="93791360"/>
        <c:axId val="93792896"/>
        <c:axId val="93448832"/>
      </c:bar3DChart>
      <c:catAx>
        <c:axId val="93791360"/>
        <c:scaling>
          <c:orientation val="minMax"/>
        </c:scaling>
        <c:axPos val="b"/>
        <c:majorTickMark val="none"/>
        <c:tickLblPos val="nextTo"/>
        <c:crossAx val="93792896"/>
        <c:crosses val="autoZero"/>
        <c:auto val="1"/>
        <c:lblAlgn val="ctr"/>
        <c:lblOffset val="100"/>
      </c:catAx>
      <c:valAx>
        <c:axId val="93792896"/>
        <c:scaling>
          <c:orientation val="minMax"/>
          <c:max val="1"/>
          <c:min val="0"/>
        </c:scaling>
        <c:axPos val="l"/>
        <c:majorGridlines/>
        <c:title>
          <c:tx>
            <c:rich>
              <a:bodyPr rot="0" vert="horz"/>
              <a:lstStyle/>
              <a:p>
                <a:pPr>
                  <a:defRPr/>
                </a:pPr>
                <a:r>
                  <a:rPr lang="ro-RO"/>
                  <a:t>%</a:t>
                </a:r>
              </a:p>
            </c:rich>
          </c:tx>
          <c:layout>
            <c:manualLayout>
              <c:xMode val="edge"/>
              <c:yMode val="edge"/>
              <c:x val="9.3603489437238077E-2"/>
              <c:y val="0.22489557156419276"/>
            </c:manualLayout>
          </c:layout>
        </c:title>
        <c:numFmt formatCode="General" sourceLinked="1"/>
        <c:majorTickMark val="none"/>
        <c:tickLblPos val="nextTo"/>
        <c:crossAx val="93791360"/>
        <c:crosses val="autoZero"/>
        <c:crossBetween val="between"/>
        <c:majorUnit val="0.2"/>
        <c:minorUnit val="4.0000000000000022E-2"/>
      </c:valAx>
      <c:serAx>
        <c:axId val="93448832"/>
        <c:scaling>
          <c:orientation val="minMax"/>
        </c:scaling>
        <c:delete val="1"/>
        <c:axPos val="b"/>
        <c:tickLblPos val="none"/>
        <c:crossAx val="93792896"/>
        <c:crosses val="autoZero"/>
      </c:serAx>
    </c:plotArea>
    <c:legend>
      <c:legendPos val="r"/>
    </c:legend>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Contribuții ale tipurilor de vehicule de transport la emisiile de particule primare în suspensie</a:t>
            </a:r>
            <a:endParaRPr lang="ro-RO" baseline="0"/>
          </a:p>
        </c:rich>
      </c:tx>
    </c:title>
    <c:view3D>
      <c:perspective val="30"/>
    </c:view3D>
    <c:plotArea>
      <c:layout/>
      <c:bar3DChart>
        <c:barDir val="col"/>
        <c:grouping val="standard"/>
        <c:ser>
          <c:idx val="0"/>
          <c:order val="0"/>
          <c:tx>
            <c:strRef>
              <c:f>Sheet1!$B$1</c:f>
              <c:strCache>
                <c:ptCount val="1"/>
                <c:pt idx="0">
                  <c:v>PM2,5</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1.0000000000000005E-2</c:v>
                </c:pt>
                <c:pt idx="1">
                  <c:v>5.0000000000000079E-3</c:v>
                </c:pt>
                <c:pt idx="2">
                  <c:v>1.0000000000000005E-2</c:v>
                </c:pt>
                <c:pt idx="3">
                  <c:v>2.0000000000000046E-5</c:v>
                </c:pt>
              </c:numCache>
            </c:numRef>
          </c:val>
        </c:ser>
        <c:ser>
          <c:idx val="1"/>
          <c:order val="1"/>
          <c:tx>
            <c:strRef>
              <c:f>Sheet1!$C$1</c:f>
              <c:strCache>
                <c:ptCount val="1"/>
                <c:pt idx="0">
                  <c:v>PM10</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1.0999999999999998E-2</c:v>
                </c:pt>
                <c:pt idx="1">
                  <c:v>5.0000000000000079E-3</c:v>
                </c:pt>
                <c:pt idx="2">
                  <c:v>1.0999999999999998E-2</c:v>
                </c:pt>
                <c:pt idx="3">
                  <c:v>3.0000000000000075E-5</c:v>
                </c:pt>
              </c:numCache>
            </c:numRef>
          </c:val>
        </c:ser>
        <c:shape val="cylinder"/>
        <c:axId val="92091520"/>
        <c:axId val="92093056"/>
        <c:axId val="93844800"/>
      </c:bar3DChart>
      <c:catAx>
        <c:axId val="92091520"/>
        <c:scaling>
          <c:orientation val="minMax"/>
        </c:scaling>
        <c:axPos val="b"/>
        <c:majorTickMark val="none"/>
        <c:tickLblPos val="nextTo"/>
        <c:crossAx val="92093056"/>
        <c:crosses val="autoZero"/>
        <c:auto val="1"/>
        <c:lblAlgn val="ctr"/>
        <c:lblOffset val="100"/>
      </c:catAx>
      <c:valAx>
        <c:axId val="92093056"/>
        <c:scaling>
          <c:orientation val="minMax"/>
        </c:scaling>
        <c:axPos val="l"/>
        <c:majorGridlines/>
        <c:title>
          <c:tx>
            <c:rich>
              <a:bodyPr rot="0" vert="horz"/>
              <a:lstStyle/>
              <a:p>
                <a:pPr>
                  <a:defRPr/>
                </a:pPr>
                <a:r>
                  <a:rPr lang="ro-RO"/>
                  <a:t>%</a:t>
                </a:r>
              </a:p>
            </c:rich>
          </c:tx>
          <c:layout>
            <c:manualLayout>
              <c:xMode val="edge"/>
              <c:yMode val="edge"/>
              <c:x val="9.9268034533658026E-2"/>
              <c:y val="0.1923920813089853"/>
            </c:manualLayout>
          </c:layout>
        </c:title>
        <c:numFmt formatCode="General" sourceLinked="1"/>
        <c:majorTickMark val="none"/>
        <c:tickLblPos val="nextTo"/>
        <c:crossAx val="92091520"/>
        <c:crosses val="autoZero"/>
        <c:crossBetween val="between"/>
      </c:valAx>
      <c:serAx>
        <c:axId val="93844800"/>
        <c:scaling>
          <c:orientation val="minMax"/>
        </c:scaling>
        <c:delete val="1"/>
        <c:axPos val="b"/>
        <c:tickLblPos val="none"/>
        <c:crossAx val="92093056"/>
        <c:crosses val="autoZero"/>
      </c:serAx>
    </c:plotArea>
    <c:legend>
      <c:legendPos val="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48"/>
      <c:hPercent val="46"/>
      <c:rotY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3387065525344985"/>
          <c:y val="2.1897810218978648E-2"/>
          <c:w val="0.61211012394510778"/>
          <c:h val="0.74155730533683251"/>
        </c:manualLayout>
      </c:layout>
      <c:bar3DChart>
        <c:barDir val="col"/>
        <c:grouping val="clustered"/>
        <c:ser>
          <c:idx val="3"/>
          <c:order val="0"/>
          <c:tx>
            <c:strRef>
              <c:f>Sheet1!$A$9</c:f>
              <c:strCache>
                <c:ptCount val="1"/>
                <c:pt idx="0">
                  <c:v>Medii anuale nef. 2016</c:v>
                </c:pt>
              </c:strCache>
            </c:strRef>
          </c:tx>
          <c:cat>
            <c:strRef>
              <c:f>Sheet1!$B$1:$F$1</c:f>
              <c:strCache>
                <c:ptCount val="5"/>
                <c:pt idx="0">
                  <c:v>BR1</c:v>
                </c:pt>
                <c:pt idx="1">
                  <c:v>BR2</c:v>
                </c:pt>
                <c:pt idx="2">
                  <c:v>BR3</c:v>
                </c:pt>
                <c:pt idx="3">
                  <c:v>BR4</c:v>
                </c:pt>
                <c:pt idx="4">
                  <c:v>BR5</c:v>
                </c:pt>
              </c:strCache>
            </c:strRef>
          </c:cat>
          <c:val>
            <c:numRef>
              <c:f>Sheet1!$B$9:$F$9</c:f>
              <c:numCache>
                <c:formatCode>General</c:formatCode>
                <c:ptCount val="5"/>
                <c:pt idx="0">
                  <c:v>24.610000000000031</c:v>
                </c:pt>
                <c:pt idx="1">
                  <c:v>21.91</c:v>
                </c:pt>
                <c:pt idx="2">
                  <c:v>30.85</c:v>
                </c:pt>
                <c:pt idx="3">
                  <c:v>22.459999999999987</c:v>
                </c:pt>
                <c:pt idx="4">
                  <c:v>33.4</c:v>
                </c:pt>
              </c:numCache>
            </c:numRef>
          </c:val>
        </c:ser>
        <c:ser>
          <c:idx val="15"/>
          <c:order val="1"/>
          <c:tx>
            <c:strRef>
              <c:f>Sheet1!$A$17</c:f>
              <c:strCache>
                <c:ptCount val="1"/>
              </c:strCache>
            </c:strRef>
          </c:tx>
          <c:cat>
            <c:strRef>
              <c:f>Sheet1!$B$1:$F$1</c:f>
              <c:strCache>
                <c:ptCount val="5"/>
                <c:pt idx="0">
                  <c:v>BR1</c:v>
                </c:pt>
                <c:pt idx="1">
                  <c:v>BR2</c:v>
                </c:pt>
                <c:pt idx="2">
                  <c:v>BR3</c:v>
                </c:pt>
                <c:pt idx="3">
                  <c:v>BR4</c:v>
                </c:pt>
                <c:pt idx="4">
                  <c:v>BR5</c:v>
                </c:pt>
              </c:strCache>
            </c:strRef>
          </c:cat>
          <c:val>
            <c:numRef>
              <c:f>Sheet1!$B$17:$F$17</c:f>
              <c:numCache>
                <c:formatCode>General</c:formatCode>
                <c:ptCount val="5"/>
              </c:numCache>
            </c:numRef>
          </c:val>
        </c:ser>
        <c:gapWidth val="270"/>
        <c:gapDepth val="0"/>
        <c:shape val="box"/>
        <c:axId val="170843136"/>
        <c:axId val="171677184"/>
        <c:axId val="0"/>
      </c:bar3DChart>
      <c:catAx>
        <c:axId val="17084313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71677184"/>
        <c:crosses val="autoZero"/>
        <c:auto val="1"/>
        <c:lblAlgn val="ctr"/>
        <c:lblOffset val="100"/>
        <c:tickLblSkip val="1"/>
        <c:tickMarkSkip val="1"/>
      </c:catAx>
      <c:valAx>
        <c:axId val="171677184"/>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t>micrograme/mc</a:t>
                </a:r>
              </a:p>
            </c:rich>
          </c:tx>
          <c:layout>
            <c:manualLayout>
              <c:xMode val="edge"/>
              <c:yMode val="edge"/>
              <c:x val="4.5210965845901938E-2"/>
              <c:y val="0.15068031496062992"/>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70843136"/>
        <c:crosses val="autoZero"/>
        <c:crossBetween val="between"/>
      </c:valAx>
      <c:spPr>
        <a:noFill/>
        <a:ln w="25399">
          <a:noFill/>
        </a:ln>
      </c:spPr>
    </c:plotArea>
    <c:legend>
      <c:legendPos val="r"/>
      <c:legendEntry>
        <c:idx val="1"/>
        <c:delete val="1"/>
      </c:legendEntry>
      <c:layout>
        <c:manualLayout>
          <c:xMode val="edge"/>
          <c:yMode val="edge"/>
          <c:x val="0.78202968920625759"/>
          <c:y val="0.22236815398075238"/>
          <c:w val="0.20151583109073543"/>
          <c:h val="0.22256272965879265"/>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Contribuția tipurilor de vehicule de transport la emisiile de metale grele</a:t>
            </a:r>
            <a:endParaRPr lang="ro-RO" baseline="0"/>
          </a:p>
        </c:rich>
      </c:tx>
    </c:title>
    <c:view3D>
      <c:perspective val="30"/>
    </c:view3D>
    <c:plotArea>
      <c:layout/>
      <c:bar3DChart>
        <c:barDir val="col"/>
        <c:grouping val="standard"/>
        <c:ser>
          <c:idx val="0"/>
          <c:order val="0"/>
          <c:tx>
            <c:strRef>
              <c:f>Sheet1!$B$1</c:f>
              <c:strCache>
                <c:ptCount val="1"/>
                <c:pt idx="0">
                  <c:v>Cd</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2.000000000000028E-7</c:v>
                </c:pt>
                <c:pt idx="1">
                  <c:v>4.0000000000000577E-8</c:v>
                </c:pt>
                <c:pt idx="2">
                  <c:v>1.0000000000000141E-7</c:v>
                </c:pt>
                <c:pt idx="3">
                  <c:v>1.4000000000000203E-8</c:v>
                </c:pt>
              </c:numCache>
            </c:numRef>
          </c:val>
        </c:ser>
        <c:ser>
          <c:idx val="1"/>
          <c:order val="1"/>
          <c:tx>
            <c:strRef>
              <c:f>Sheet1!$C$1</c:f>
              <c:strCache>
                <c:ptCount val="1"/>
                <c:pt idx="0">
                  <c:v>Pb</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6.5000000000000733E-6</c:v>
                </c:pt>
                <c:pt idx="1">
                  <c:v>2.0000000000000236E-6</c:v>
                </c:pt>
                <c:pt idx="2">
                  <c:v>9.1000000000000857E-6</c:v>
                </c:pt>
                <c:pt idx="3">
                  <c:v>1.7000000000000176E-6</c:v>
                </c:pt>
              </c:numCache>
            </c:numRef>
          </c:val>
        </c:ser>
        <c:shape val="cylinder"/>
        <c:axId val="94155904"/>
        <c:axId val="94157440"/>
        <c:axId val="93845696"/>
      </c:bar3DChart>
      <c:catAx>
        <c:axId val="94155904"/>
        <c:scaling>
          <c:orientation val="minMax"/>
        </c:scaling>
        <c:axPos val="b"/>
        <c:majorTickMark val="none"/>
        <c:tickLblPos val="nextTo"/>
        <c:crossAx val="94157440"/>
        <c:crosses val="autoZero"/>
        <c:auto val="1"/>
        <c:lblAlgn val="ctr"/>
        <c:lblOffset val="100"/>
      </c:catAx>
      <c:valAx>
        <c:axId val="94157440"/>
        <c:scaling>
          <c:orientation val="minMax"/>
          <c:max val="2.0000000000000218E-5"/>
          <c:min val="0"/>
        </c:scaling>
        <c:axPos val="l"/>
        <c:majorGridlines/>
        <c:title>
          <c:tx>
            <c:rich>
              <a:bodyPr rot="0" vert="horz"/>
              <a:lstStyle/>
              <a:p>
                <a:pPr>
                  <a:defRPr/>
                </a:pPr>
                <a:r>
                  <a:rPr lang="ro-RO"/>
                  <a:t>%</a:t>
                </a:r>
              </a:p>
            </c:rich>
          </c:tx>
          <c:layout>
            <c:manualLayout>
              <c:xMode val="edge"/>
              <c:yMode val="edge"/>
              <c:x val="9.0023114199332704E-2"/>
              <c:y val="0.19061400569609654"/>
            </c:manualLayout>
          </c:layout>
        </c:title>
        <c:numFmt formatCode="General" sourceLinked="1"/>
        <c:majorTickMark val="none"/>
        <c:tickLblPos val="nextTo"/>
        <c:crossAx val="94155904"/>
        <c:crosses val="autoZero"/>
        <c:crossBetween val="between"/>
      </c:valAx>
      <c:serAx>
        <c:axId val="93845696"/>
        <c:scaling>
          <c:orientation val="minMax"/>
        </c:scaling>
        <c:delete val="1"/>
        <c:axPos val="b"/>
        <c:tickLblPos val="none"/>
        <c:crossAx val="94157440"/>
        <c:crosses val="autoZero"/>
      </c:serAx>
    </c:plotArea>
    <c:legend>
      <c:legendPos val="r"/>
    </c:legend>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Contribuții ale sectoarelor de activitate din agricultură la emisiile de poluanți cu efect de acidifiere </a:t>
            </a:r>
          </a:p>
        </c:rich>
      </c:tx>
    </c:title>
    <c:view3D>
      <c:perspective val="30"/>
    </c:view3D>
    <c:plotArea>
      <c:layout/>
      <c:bar3DChart>
        <c:barDir val="col"/>
        <c:grouping val="standard"/>
        <c:ser>
          <c:idx val="0"/>
          <c:order val="0"/>
          <c:tx>
            <c:strRef>
              <c:f>Sheet1!$B$1</c:f>
              <c:strCache>
                <c:ptCount val="1"/>
                <c:pt idx="0">
                  <c:v>Nox</c:v>
                </c:pt>
              </c:strCache>
            </c:strRef>
          </c:tx>
          <c:cat>
            <c:strRef>
              <c:f>Sheet1!$A$2:$A$3</c:f>
              <c:strCache>
                <c:ptCount val="2"/>
                <c:pt idx="0">
                  <c:v>Porcine</c:v>
                </c:pt>
                <c:pt idx="1">
                  <c:v>Găini ouatoare</c:v>
                </c:pt>
              </c:strCache>
            </c:strRef>
          </c:cat>
          <c:val>
            <c:numRef>
              <c:f>Sheet1!$B$2:$B$3</c:f>
              <c:numCache>
                <c:formatCode>General</c:formatCode>
                <c:ptCount val="2"/>
                <c:pt idx="0">
                  <c:v>0</c:v>
                </c:pt>
                <c:pt idx="1">
                  <c:v>0</c:v>
                </c:pt>
              </c:numCache>
            </c:numRef>
          </c:val>
        </c:ser>
        <c:ser>
          <c:idx val="1"/>
          <c:order val="1"/>
          <c:tx>
            <c:strRef>
              <c:f>Sheet1!$C$1</c:f>
              <c:strCache>
                <c:ptCount val="1"/>
                <c:pt idx="0">
                  <c:v>NH3</c:v>
                </c:pt>
              </c:strCache>
            </c:strRef>
          </c:tx>
          <c:cat>
            <c:strRef>
              <c:f>Sheet1!$A$2:$A$3</c:f>
              <c:strCache>
                <c:ptCount val="2"/>
                <c:pt idx="0">
                  <c:v>Porcine</c:v>
                </c:pt>
                <c:pt idx="1">
                  <c:v>Găini ouatoare</c:v>
                </c:pt>
              </c:strCache>
            </c:strRef>
          </c:cat>
          <c:val>
            <c:numRef>
              <c:f>Sheet1!$C$2:$C$3</c:f>
              <c:numCache>
                <c:formatCode>General</c:formatCode>
                <c:ptCount val="2"/>
                <c:pt idx="0">
                  <c:v>7.9000000000000145E-5</c:v>
                </c:pt>
                <c:pt idx="1">
                  <c:v>2.5999999999999999E-2</c:v>
                </c:pt>
              </c:numCache>
            </c:numRef>
          </c:val>
        </c:ser>
        <c:gapDepth val="20"/>
        <c:shape val="cone"/>
        <c:axId val="94217344"/>
        <c:axId val="94218880"/>
        <c:axId val="94188416"/>
      </c:bar3DChart>
      <c:catAx>
        <c:axId val="94217344"/>
        <c:scaling>
          <c:orientation val="minMax"/>
        </c:scaling>
        <c:axPos val="b"/>
        <c:numFmt formatCode="General" sourceLinked="1"/>
        <c:majorTickMark val="none"/>
        <c:tickLblPos val="nextTo"/>
        <c:crossAx val="94218880"/>
        <c:crossesAt val="0"/>
        <c:auto val="1"/>
        <c:lblAlgn val="ctr"/>
        <c:lblOffset val="100"/>
      </c:catAx>
      <c:valAx>
        <c:axId val="94218880"/>
        <c:scaling>
          <c:orientation val="minMax"/>
        </c:scaling>
        <c:axPos val="l"/>
        <c:title>
          <c:tx>
            <c:rich>
              <a:bodyPr rot="0" vert="horz"/>
              <a:lstStyle/>
              <a:p>
                <a:pPr>
                  <a:defRPr/>
                </a:pPr>
                <a:r>
                  <a:rPr lang="ro-RO"/>
                  <a:t>%</a:t>
                </a:r>
              </a:p>
            </c:rich>
          </c:tx>
          <c:layout>
            <c:manualLayout>
              <c:xMode val="edge"/>
              <c:yMode val="edge"/>
              <c:x val="9.2116228834227584E-2"/>
              <c:y val="0.18768783742578873"/>
            </c:manualLayout>
          </c:layout>
        </c:title>
        <c:numFmt formatCode="General" sourceLinked="1"/>
        <c:majorTickMark val="none"/>
        <c:tickLblPos val="nextTo"/>
        <c:crossAx val="94217344"/>
        <c:crosses val="autoZero"/>
        <c:crossBetween val="between"/>
      </c:valAx>
      <c:serAx>
        <c:axId val="94188416"/>
        <c:scaling>
          <c:orientation val="minMax"/>
        </c:scaling>
        <c:delete val="1"/>
        <c:axPos val="b"/>
        <c:tickLblPos val="none"/>
        <c:crossAx val="94218880"/>
        <c:crossesAt val="0"/>
      </c:serAx>
    </c:plotArea>
    <c:legend>
      <c:legendPos val="r"/>
    </c:legend>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2.3560599999999949</c:v>
                </c:pt>
                <c:pt idx="1">
                  <c:v>1.2912899999999998</c:v>
                </c:pt>
                <c:pt idx="2">
                  <c:v>1.58</c:v>
                </c:pt>
                <c:pt idx="3">
                  <c:v>1.1000000000000001</c:v>
                </c:pt>
                <c:pt idx="4">
                  <c:v>1.1919999999999986</c:v>
                </c:pt>
              </c:numCache>
            </c:numRef>
          </c:val>
        </c:ser>
        <c:ser>
          <c:idx val="1"/>
          <c:order val="1"/>
          <c:tx>
            <c:strRef>
              <c:f>Sheet1!$C$1</c:f>
              <c:strCache>
                <c:ptCount val="1"/>
                <c:pt idx="0">
                  <c:v>SO2</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0.13172</c:v>
                </c:pt>
                <c:pt idx="1">
                  <c:v>4.0000000000000053E-3</c:v>
                </c:pt>
                <c:pt idx="2">
                  <c:v>2.5999999999999999E-3</c:v>
                </c:pt>
                <c:pt idx="3">
                  <c:v>0.2</c:v>
                </c:pt>
                <c:pt idx="4">
                  <c:v>5.0000000000000053E-3</c:v>
                </c:pt>
              </c:numCache>
            </c:numRef>
          </c:val>
        </c:ser>
        <c:ser>
          <c:idx val="2"/>
          <c:order val="2"/>
          <c:tx>
            <c:strRef>
              <c:f>Sheet1!$D$1</c:f>
              <c:strCache>
                <c:ptCount val="1"/>
                <c:pt idx="0">
                  <c:v>NH3</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8.2520000000000007</c:v>
                </c:pt>
                <c:pt idx="1">
                  <c:v>6.02224</c:v>
                </c:pt>
                <c:pt idx="2">
                  <c:v>7.1099999999999985</c:v>
                </c:pt>
                <c:pt idx="3">
                  <c:v>0.4</c:v>
                </c:pt>
                <c:pt idx="4">
                  <c:v>0.21800000000000017</c:v>
                </c:pt>
              </c:numCache>
            </c:numRef>
          </c:val>
        </c:ser>
        <c:shape val="cone"/>
        <c:axId val="104945536"/>
        <c:axId val="104947072"/>
        <c:axId val="94189760"/>
      </c:bar3DChart>
      <c:catAx>
        <c:axId val="104945536"/>
        <c:scaling>
          <c:orientation val="minMax"/>
        </c:scaling>
        <c:axPos val="b"/>
        <c:numFmt formatCode="General" sourceLinked="1"/>
        <c:majorTickMark val="none"/>
        <c:tickLblPos val="nextTo"/>
        <c:crossAx val="104947072"/>
        <c:crossesAt val="0"/>
        <c:auto val="1"/>
        <c:lblAlgn val="ctr"/>
        <c:lblOffset val="100"/>
      </c:catAx>
      <c:valAx>
        <c:axId val="104947072"/>
        <c:scaling>
          <c:orientation val="minMax"/>
        </c:scaling>
        <c:axPos val="l"/>
        <c:title>
          <c:tx>
            <c:rich>
              <a:bodyPr rot="0" vert="horz"/>
              <a:lstStyle/>
              <a:p>
                <a:pPr>
                  <a:defRPr/>
                </a:pPr>
                <a:r>
                  <a:rPr lang="ro-RO"/>
                  <a:t>Gg</a:t>
                </a:r>
              </a:p>
            </c:rich>
          </c:tx>
          <c:layout>
            <c:manualLayout>
              <c:xMode val="edge"/>
              <c:yMode val="edge"/>
              <c:x val="9.0131331714376844E-2"/>
              <c:y val="0.20270552053569491"/>
            </c:manualLayout>
          </c:layout>
        </c:title>
        <c:numFmt formatCode="General" sourceLinked="1"/>
        <c:majorTickMark val="none"/>
        <c:tickLblPos val="nextTo"/>
        <c:crossAx val="104945536"/>
        <c:crosses val="autoZero"/>
        <c:crossBetween val="between"/>
        <c:majorUnit val="2"/>
        <c:minorUnit val="0.2"/>
      </c:valAx>
      <c:serAx>
        <c:axId val="94189760"/>
        <c:scaling>
          <c:orientation val="minMax"/>
        </c:scaling>
        <c:delete val="1"/>
        <c:axPos val="b"/>
        <c:tickLblPos val="none"/>
        <c:crossAx val="104947072"/>
        <c:crossesAt val="0"/>
      </c:serAx>
    </c:plotArea>
    <c:legend>
      <c:legendPos val="r"/>
    </c:legend>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energie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0.17200000000000001</c:v>
                </c:pt>
                <c:pt idx="1">
                  <c:v>2.8000000000000001E-2</c:v>
                </c:pt>
                <c:pt idx="2">
                  <c:v>0</c:v>
                </c:pt>
                <c:pt idx="3">
                  <c:v>0</c:v>
                </c:pt>
                <c:pt idx="4">
                  <c:v>0</c:v>
                </c:pt>
              </c:numCache>
            </c:numRef>
          </c:val>
        </c:ser>
        <c:ser>
          <c:idx val="1"/>
          <c:order val="1"/>
          <c:tx>
            <c:strRef>
              <c:f>Sheet1!$C$1</c:f>
              <c:strCache>
                <c:ptCount val="1"/>
                <c:pt idx="0">
                  <c:v>SO2</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0.126</c:v>
                </c:pt>
                <c:pt idx="1">
                  <c:v>9.0000000000000128E-4</c:v>
                </c:pt>
                <c:pt idx="2">
                  <c:v>0</c:v>
                </c:pt>
                <c:pt idx="3">
                  <c:v>0</c:v>
                </c:pt>
                <c:pt idx="4">
                  <c:v>0</c:v>
                </c:pt>
              </c:numCache>
            </c:numRef>
          </c:val>
        </c:ser>
        <c:ser>
          <c:idx val="2"/>
          <c:order val="2"/>
          <c:tx>
            <c:strRef>
              <c:f>Sheet1!$D$1</c:f>
              <c:strCache>
                <c:ptCount val="1"/>
                <c:pt idx="0">
                  <c:v>NH3</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2.0000000000000037E-6</c:v>
                </c:pt>
                <c:pt idx="1">
                  <c:v>0</c:v>
                </c:pt>
                <c:pt idx="2">
                  <c:v>0</c:v>
                </c:pt>
                <c:pt idx="3">
                  <c:v>0</c:v>
                </c:pt>
                <c:pt idx="4">
                  <c:v>0</c:v>
                </c:pt>
              </c:numCache>
            </c:numRef>
          </c:val>
        </c:ser>
        <c:shape val="cone"/>
        <c:axId val="125758080"/>
        <c:axId val="125825408"/>
        <c:axId val="125645696"/>
      </c:bar3DChart>
      <c:catAx>
        <c:axId val="125758080"/>
        <c:scaling>
          <c:orientation val="minMax"/>
        </c:scaling>
        <c:axPos val="b"/>
        <c:numFmt formatCode="General" sourceLinked="1"/>
        <c:majorTickMark val="none"/>
        <c:tickLblPos val="nextTo"/>
        <c:crossAx val="125825408"/>
        <c:crossesAt val="0"/>
        <c:auto val="1"/>
        <c:lblAlgn val="ctr"/>
        <c:lblOffset val="100"/>
      </c:catAx>
      <c:valAx>
        <c:axId val="125825408"/>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8.5146908038364347E-2"/>
              <c:y val="0.1990120763990374"/>
            </c:manualLayout>
          </c:layout>
        </c:title>
        <c:numFmt formatCode="General" sourceLinked="1"/>
        <c:majorTickMark val="none"/>
        <c:tickLblPos val="nextTo"/>
        <c:crossAx val="125758080"/>
        <c:crosses val="autoZero"/>
        <c:crossBetween val="between"/>
        <c:majorUnit val="0.2"/>
      </c:valAx>
      <c:serAx>
        <c:axId val="125645696"/>
        <c:scaling>
          <c:orientation val="minMax"/>
        </c:scaling>
        <c:delete val="1"/>
        <c:axPos val="b"/>
        <c:tickLblPos val="none"/>
        <c:crossAx val="125825408"/>
        <c:crossesAt val="0"/>
      </c:serAx>
    </c:plotArea>
    <c:legend>
      <c:legendPos val="r"/>
    </c:legend>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industrie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1.3500000000000015E-2</c:v>
                </c:pt>
                <c:pt idx="1">
                  <c:v>1.4600000000000005E-2</c:v>
                </c:pt>
                <c:pt idx="2">
                  <c:v>5.9000000000000094E-3</c:v>
                </c:pt>
                <c:pt idx="3">
                  <c:v>8.0000000000000123E-3</c:v>
                </c:pt>
                <c:pt idx="4">
                  <c:v>1.0000000000000005E-2</c:v>
                </c:pt>
              </c:numCache>
            </c:numRef>
          </c:val>
        </c:ser>
        <c:ser>
          <c:idx val="1"/>
          <c:order val="1"/>
          <c:tx>
            <c:strRef>
              <c:f>Sheet1!$C$1</c:f>
              <c:strCache>
                <c:ptCount val="1"/>
                <c:pt idx="0">
                  <c:v>SO2</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6.6000000000000065E-4</c:v>
                </c:pt>
                <c:pt idx="1">
                  <c:v>2.1350000000000002E-3</c:v>
                </c:pt>
                <c:pt idx="2">
                  <c:v>9.0000000000000128E-4</c:v>
                </c:pt>
                <c:pt idx="3">
                  <c:v>1.0000000000000013E-4</c:v>
                </c:pt>
                <c:pt idx="4">
                  <c:v>3.0000000000000052E-5</c:v>
                </c:pt>
              </c:numCache>
            </c:numRef>
          </c:val>
        </c:ser>
        <c:ser>
          <c:idx val="2"/>
          <c:order val="2"/>
          <c:tx>
            <c:strRef>
              <c:f>Sheet1!$D$1</c:f>
              <c:strCache>
                <c:ptCount val="1"/>
                <c:pt idx="0">
                  <c:v>NH3</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5.5300000000000065E-4</c:v>
                </c:pt>
                <c:pt idx="1">
                  <c:v>6.5000000000000084E-4</c:v>
                </c:pt>
                <c:pt idx="2">
                  <c:v>3.2000000000000057E-4</c:v>
                </c:pt>
                <c:pt idx="3">
                  <c:v>1.0000000000000018E-5</c:v>
                </c:pt>
                <c:pt idx="4">
                  <c:v>1.0000000000000018E-5</c:v>
                </c:pt>
              </c:numCache>
            </c:numRef>
          </c:val>
        </c:ser>
        <c:shape val="cone"/>
        <c:axId val="92908928"/>
        <c:axId val="93082752"/>
        <c:axId val="125647488"/>
      </c:bar3DChart>
      <c:catAx>
        <c:axId val="92908928"/>
        <c:scaling>
          <c:orientation val="minMax"/>
        </c:scaling>
        <c:axPos val="b"/>
        <c:numFmt formatCode="General" sourceLinked="1"/>
        <c:majorTickMark val="none"/>
        <c:tickLblPos val="nextTo"/>
        <c:crossAx val="93082752"/>
        <c:crossesAt val="0"/>
        <c:auto val="1"/>
        <c:lblAlgn val="ctr"/>
        <c:lblOffset val="100"/>
      </c:catAx>
      <c:valAx>
        <c:axId val="93082752"/>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0.12253012677212829"/>
              <c:y val="0.20270564583682682"/>
            </c:manualLayout>
          </c:layout>
        </c:title>
        <c:numFmt formatCode="General" sourceLinked="1"/>
        <c:majorTickMark val="none"/>
        <c:tickLblPos val="nextTo"/>
        <c:crossAx val="92908928"/>
        <c:crosses val="autoZero"/>
        <c:crossBetween val="between"/>
        <c:majorUnit val="2.0000000000000011E-2"/>
      </c:valAx>
      <c:serAx>
        <c:axId val="125647488"/>
        <c:scaling>
          <c:orientation val="minMax"/>
        </c:scaling>
        <c:delete val="1"/>
        <c:axPos val="b"/>
        <c:tickLblPos val="none"/>
        <c:crossAx val="93082752"/>
        <c:crossesAt val="0"/>
      </c:serAx>
    </c:plotArea>
    <c:legend>
      <c:legendPos val="r"/>
    </c:legend>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transport</a:t>
            </a:r>
          </a:p>
        </c:rich>
      </c:tx>
    </c:title>
    <c:view3D>
      <c:perspective val="30"/>
    </c:view3D>
    <c:plotArea>
      <c:layout>
        <c:manualLayout>
          <c:layoutTarget val="inner"/>
          <c:xMode val="edge"/>
          <c:yMode val="edge"/>
          <c:x val="0.12674259813464275"/>
          <c:y val="0.15634231247410188"/>
          <c:w val="0.74597689126498423"/>
          <c:h val="0.74172206105815763"/>
        </c:manualLayout>
      </c:layout>
      <c:bar3DChart>
        <c:barDir val="col"/>
        <c:grouping val="standard"/>
        <c:ser>
          <c:idx val="0"/>
          <c:order val="0"/>
          <c:tx>
            <c:strRef>
              <c:f>Sheet1!$B$1</c:f>
              <c:strCache>
                <c:ptCount val="1"/>
                <c:pt idx="0">
                  <c:v>NH3</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1.8499999999999999E-2</c:v>
                </c:pt>
                <c:pt idx="1">
                  <c:v>9.0000000000000028E-3</c:v>
                </c:pt>
                <c:pt idx="2">
                  <c:v>9.3000000000000235E-3</c:v>
                </c:pt>
                <c:pt idx="3">
                  <c:v>8.7000000000000046E-3</c:v>
                </c:pt>
                <c:pt idx="4">
                  <c:v>1.0000000000000005E-2</c:v>
                </c:pt>
              </c:numCache>
            </c:numRef>
          </c:val>
        </c:ser>
        <c:ser>
          <c:idx val="1"/>
          <c:order val="1"/>
          <c:tx>
            <c:strRef>
              <c:f>Sheet1!$C$1</c:f>
              <c:strCache>
                <c:ptCount val="1"/>
                <c:pt idx="0">
                  <c:v>Nox</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1.9100000000000001</c:v>
                </c:pt>
                <c:pt idx="1">
                  <c:v>1.1240000000000001</c:v>
                </c:pt>
                <c:pt idx="2">
                  <c:v>0.97800000000000065</c:v>
                </c:pt>
                <c:pt idx="3">
                  <c:v>0.996</c:v>
                </c:pt>
                <c:pt idx="4">
                  <c:v>0.96300000000000063</c:v>
                </c:pt>
              </c:numCache>
            </c:numRef>
          </c:val>
        </c:ser>
        <c:shape val="cone"/>
        <c:axId val="134466944"/>
        <c:axId val="134472832"/>
        <c:axId val="125647936"/>
      </c:bar3DChart>
      <c:catAx>
        <c:axId val="134466944"/>
        <c:scaling>
          <c:orientation val="minMax"/>
        </c:scaling>
        <c:axPos val="b"/>
        <c:numFmt formatCode="General" sourceLinked="1"/>
        <c:majorTickMark val="none"/>
        <c:tickLblPos val="nextTo"/>
        <c:crossAx val="134472832"/>
        <c:crossesAt val="0"/>
        <c:auto val="1"/>
        <c:lblAlgn val="ctr"/>
        <c:lblOffset val="100"/>
      </c:catAx>
      <c:valAx>
        <c:axId val="134472832"/>
        <c:scaling>
          <c:orientation val="minMax"/>
        </c:scaling>
        <c:axPos val="l"/>
        <c:majorGridlines/>
        <c:title>
          <c:tx>
            <c:rich>
              <a:bodyPr rot="0" vert="horz"/>
              <a:lstStyle/>
              <a:p>
                <a:pPr>
                  <a:defRPr/>
                </a:pPr>
                <a:r>
                  <a:rPr lang="ro-RO"/>
                  <a:t>Gg</a:t>
                </a:r>
              </a:p>
            </c:rich>
          </c:tx>
          <c:layout>
            <c:manualLayout>
              <c:xMode val="edge"/>
              <c:yMode val="edge"/>
              <c:x val="0.12253012677212829"/>
              <c:y val="0.20270564583682693"/>
            </c:manualLayout>
          </c:layout>
        </c:title>
        <c:numFmt formatCode="General" sourceLinked="1"/>
        <c:majorTickMark val="none"/>
        <c:tickLblPos val="nextTo"/>
        <c:crossAx val="134466944"/>
        <c:crosses val="autoZero"/>
        <c:crossBetween val="between"/>
        <c:majorUnit val="1"/>
      </c:valAx>
      <c:serAx>
        <c:axId val="125647936"/>
        <c:scaling>
          <c:orientation val="minMax"/>
        </c:scaling>
        <c:delete val="1"/>
        <c:axPos val="b"/>
        <c:tickLblPos val="none"/>
        <c:crossAx val="134472832"/>
        <c:crossesAt val="0"/>
      </c:serAx>
    </c:plotArea>
    <c:legend>
      <c:legendPos val="r"/>
    </c:legend>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agricultură</a:t>
            </a:r>
          </a:p>
          <a:p>
            <a:pPr>
              <a:defRPr sz="1200" baseline="0">
                <a:latin typeface="Arial" pitchFamily="34" charset="0"/>
              </a:defRPr>
            </a:pP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NH3</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8.2249999999999996</c:v>
                </c:pt>
                <c:pt idx="1">
                  <c:v>6.01</c:v>
                </c:pt>
                <c:pt idx="2">
                  <c:v>7.09</c:v>
                </c:pt>
                <c:pt idx="3">
                  <c:v>0.30000000000000032</c:v>
                </c:pt>
                <c:pt idx="4">
                  <c:v>0</c:v>
                </c:pt>
              </c:numCache>
            </c:numRef>
          </c:val>
        </c:ser>
        <c:ser>
          <c:idx val="1"/>
          <c:order val="1"/>
          <c:tx>
            <c:strRef>
              <c:f>Sheet1!$C$1</c:f>
              <c:strCache>
                <c:ptCount val="1"/>
                <c:pt idx="0">
                  <c:v>N2O</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0.6460000000000008</c:v>
                </c:pt>
                <c:pt idx="1">
                  <c:v>0.44900000000000001</c:v>
                </c:pt>
                <c:pt idx="2">
                  <c:v>0.44900000000000001</c:v>
                </c:pt>
                <c:pt idx="3">
                  <c:v>2.0000000000000011E-2</c:v>
                </c:pt>
                <c:pt idx="4">
                  <c:v>0.2</c:v>
                </c:pt>
              </c:numCache>
            </c:numRef>
          </c:val>
        </c:ser>
        <c:shape val="cone"/>
        <c:axId val="134700416"/>
        <c:axId val="134714496"/>
        <c:axId val="93056512"/>
      </c:bar3DChart>
      <c:catAx>
        <c:axId val="134700416"/>
        <c:scaling>
          <c:orientation val="minMax"/>
        </c:scaling>
        <c:axPos val="b"/>
        <c:numFmt formatCode="General" sourceLinked="1"/>
        <c:majorTickMark val="none"/>
        <c:tickLblPos val="nextTo"/>
        <c:crossAx val="134714496"/>
        <c:crossesAt val="0"/>
        <c:auto val="1"/>
        <c:lblAlgn val="ctr"/>
        <c:lblOffset val="100"/>
      </c:catAx>
      <c:valAx>
        <c:axId val="134714496"/>
        <c:scaling>
          <c:orientation val="minMax"/>
          <c:max val="9"/>
          <c:min val="1"/>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0131331714376844E-2"/>
              <c:y val="0.26549407085887433"/>
            </c:manualLayout>
          </c:layout>
        </c:title>
        <c:numFmt formatCode="General" sourceLinked="1"/>
        <c:majorTickMark val="none"/>
        <c:tickLblPos val="nextTo"/>
        <c:crossAx val="134700416"/>
        <c:crosses val="autoZero"/>
        <c:crossBetween val="between"/>
      </c:valAx>
      <c:serAx>
        <c:axId val="93056512"/>
        <c:scaling>
          <c:orientation val="minMax"/>
        </c:scaling>
        <c:delete val="1"/>
        <c:axPos val="b"/>
        <c:tickLblPos val="none"/>
        <c:crossAx val="134714496"/>
        <c:crossesAt val="0"/>
      </c:serAx>
    </c:plotArea>
    <c:legend>
      <c:legendPos val="r"/>
    </c:legend>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precursori ai ozonului</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2.3560599999999949</c:v>
                </c:pt>
                <c:pt idx="1">
                  <c:v>1.2912899999999998</c:v>
                </c:pt>
                <c:pt idx="2">
                  <c:v>1.58</c:v>
                </c:pt>
                <c:pt idx="3">
                  <c:v>1.1000000000000001</c:v>
                </c:pt>
                <c:pt idx="4">
                  <c:v>1.292</c:v>
                </c:pt>
              </c:numCache>
            </c:numRef>
          </c:val>
        </c:ser>
        <c:ser>
          <c:idx val="1"/>
          <c:order val="1"/>
          <c:tx>
            <c:strRef>
              <c:f>Sheet1!$C$1</c:f>
              <c:strCache>
                <c:ptCount val="1"/>
                <c:pt idx="0">
                  <c:v>NMCOV</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3.9630000000000001</c:v>
                </c:pt>
                <c:pt idx="1">
                  <c:v>2.14</c:v>
                </c:pt>
                <c:pt idx="2">
                  <c:v>1.82</c:v>
                </c:pt>
                <c:pt idx="3">
                  <c:v>2.2000000000000002</c:v>
                </c:pt>
                <c:pt idx="4">
                  <c:v>2.1070000000000002</c:v>
                </c:pt>
              </c:numCache>
            </c:numRef>
          </c:val>
        </c:ser>
        <c:ser>
          <c:idx val="2"/>
          <c:order val="2"/>
          <c:tx>
            <c:strRef>
              <c:f>Sheet1!$D$1</c:f>
              <c:strCache>
                <c:ptCount val="1"/>
                <c:pt idx="0">
                  <c:v>CO</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5.3639999999999946</c:v>
                </c:pt>
                <c:pt idx="1">
                  <c:v>2.6829999999999998</c:v>
                </c:pt>
                <c:pt idx="2">
                  <c:v>2.73</c:v>
                </c:pt>
                <c:pt idx="3">
                  <c:v>4.0999999999999996</c:v>
                </c:pt>
                <c:pt idx="4">
                  <c:v>1.885</c:v>
                </c:pt>
              </c:numCache>
            </c:numRef>
          </c:val>
        </c:ser>
        <c:shape val="cone"/>
        <c:axId val="94421376"/>
        <c:axId val="94422912"/>
        <c:axId val="134693312"/>
      </c:bar3DChart>
      <c:catAx>
        <c:axId val="94421376"/>
        <c:scaling>
          <c:orientation val="minMax"/>
        </c:scaling>
        <c:axPos val="b"/>
        <c:numFmt formatCode="General" sourceLinked="1"/>
        <c:majorTickMark val="none"/>
        <c:tickLblPos val="nextTo"/>
        <c:crossAx val="94422912"/>
        <c:crossesAt val="0"/>
        <c:auto val="1"/>
        <c:lblAlgn val="ctr"/>
        <c:lblOffset val="100"/>
      </c:catAx>
      <c:valAx>
        <c:axId val="94422912"/>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8.0162484362351891E-2"/>
              <c:y val="0.15838419089580827"/>
            </c:manualLayout>
          </c:layout>
        </c:title>
        <c:numFmt formatCode="General" sourceLinked="1"/>
        <c:majorTickMark val="none"/>
        <c:tickLblPos val="nextTo"/>
        <c:spPr>
          <a:noFill/>
        </c:spPr>
        <c:crossAx val="94421376"/>
        <c:crosses val="autoZero"/>
        <c:crossBetween val="between"/>
      </c:valAx>
      <c:serAx>
        <c:axId val="134693312"/>
        <c:scaling>
          <c:orientation val="minMax"/>
        </c:scaling>
        <c:delete val="1"/>
        <c:axPos val="b"/>
        <c:tickLblPos val="none"/>
        <c:crossAx val="94422912"/>
        <c:crossesAt val="0"/>
      </c:serAx>
    </c:plotArea>
    <c:legend>
      <c:legendPos val="r"/>
    </c:legend>
    <c:plotVisOnly val="1"/>
    <c:dispBlanksAs val="gap"/>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energie</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0.17200000000000001</c:v>
                </c:pt>
                <c:pt idx="1">
                  <c:v>2.8000000000000001E-2</c:v>
                </c:pt>
                <c:pt idx="2">
                  <c:v>0</c:v>
                </c:pt>
                <c:pt idx="3">
                  <c:v>0</c:v>
                </c:pt>
                <c:pt idx="4">
                  <c:v>0</c:v>
                </c:pt>
              </c:numCache>
            </c:numRef>
          </c:val>
        </c:ser>
        <c:ser>
          <c:idx val="1"/>
          <c:order val="1"/>
          <c:tx>
            <c:strRef>
              <c:f>Sheet1!$C$1</c:f>
              <c:strCache>
                <c:ptCount val="1"/>
                <c:pt idx="0">
                  <c:v>NMCOV</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2.2000000000000032E-3</c:v>
                </c:pt>
                <c:pt idx="1">
                  <c:v>4.7000000000000064E-4</c:v>
                </c:pt>
                <c:pt idx="2">
                  <c:v>0</c:v>
                </c:pt>
                <c:pt idx="3">
                  <c:v>0</c:v>
                </c:pt>
                <c:pt idx="4">
                  <c:v>0</c:v>
                </c:pt>
              </c:numCache>
            </c:numRef>
          </c:val>
        </c:ser>
        <c:ser>
          <c:idx val="2"/>
          <c:order val="2"/>
          <c:tx>
            <c:strRef>
              <c:f>Sheet1!$D$1</c:f>
              <c:strCache>
                <c:ptCount val="1"/>
                <c:pt idx="0">
                  <c:v>CO</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5.1999999999999998E-2</c:v>
                </c:pt>
                <c:pt idx="1">
                  <c:v>1.2E-2</c:v>
                </c:pt>
                <c:pt idx="2">
                  <c:v>0</c:v>
                </c:pt>
                <c:pt idx="3">
                  <c:v>0</c:v>
                </c:pt>
                <c:pt idx="4">
                  <c:v>0</c:v>
                </c:pt>
              </c:numCache>
            </c:numRef>
          </c:val>
        </c:ser>
        <c:shape val="cone"/>
        <c:axId val="134857856"/>
        <c:axId val="134859392"/>
        <c:axId val="134696448"/>
      </c:bar3DChart>
      <c:catAx>
        <c:axId val="134857856"/>
        <c:scaling>
          <c:orientation val="minMax"/>
        </c:scaling>
        <c:axPos val="b"/>
        <c:numFmt formatCode="General" sourceLinked="1"/>
        <c:majorTickMark val="none"/>
        <c:tickLblPos val="nextTo"/>
        <c:crossAx val="134859392"/>
        <c:crossesAt val="0"/>
        <c:auto val="1"/>
        <c:lblAlgn val="ctr"/>
        <c:lblOffset val="100"/>
      </c:catAx>
      <c:valAx>
        <c:axId val="134859392"/>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0131331714376844E-2"/>
              <c:y val="0.20270552053569491"/>
            </c:manualLayout>
          </c:layout>
        </c:title>
        <c:numFmt formatCode="General" sourceLinked="1"/>
        <c:majorTickMark val="none"/>
        <c:tickLblPos val="nextTo"/>
        <c:spPr>
          <a:noFill/>
        </c:spPr>
        <c:crossAx val="134857856"/>
        <c:crosses val="autoZero"/>
        <c:crossBetween val="between"/>
      </c:valAx>
      <c:serAx>
        <c:axId val="134696448"/>
        <c:scaling>
          <c:orientation val="minMax"/>
        </c:scaling>
        <c:delete val="1"/>
        <c:axPos val="b"/>
        <c:tickLblPos val="none"/>
        <c:crossAx val="134859392"/>
        <c:crossesAt val="0"/>
      </c:serAx>
    </c:plotArea>
    <c:legend>
      <c:legendPos val="r"/>
    </c:legend>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industrie</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1.2999999999999998E-2</c:v>
                </c:pt>
                <c:pt idx="1">
                  <c:v>1.4E-2</c:v>
                </c:pt>
                <c:pt idx="2">
                  <c:v>6.0000000000000062E-3</c:v>
                </c:pt>
                <c:pt idx="3">
                  <c:v>8.0000000000000123E-3</c:v>
                </c:pt>
                <c:pt idx="4">
                  <c:v>1.0000000000000005E-2</c:v>
                </c:pt>
              </c:numCache>
            </c:numRef>
          </c:val>
        </c:ser>
        <c:ser>
          <c:idx val="1"/>
          <c:order val="1"/>
          <c:tx>
            <c:strRef>
              <c:f>Sheet1!$C$1</c:f>
              <c:strCache>
                <c:ptCount val="1"/>
                <c:pt idx="0">
                  <c:v>NMCOV</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0.28000000000000008</c:v>
                </c:pt>
                <c:pt idx="1">
                  <c:v>0.14400000000000004</c:v>
                </c:pt>
                <c:pt idx="2">
                  <c:v>9.0000000000000024E-2</c:v>
                </c:pt>
                <c:pt idx="3">
                  <c:v>4.0000000000000053E-3</c:v>
                </c:pt>
                <c:pt idx="4">
                  <c:v>2.5000000000000038E-4</c:v>
                </c:pt>
              </c:numCache>
            </c:numRef>
          </c:val>
        </c:ser>
        <c:ser>
          <c:idx val="2"/>
          <c:order val="2"/>
          <c:tx>
            <c:strRef>
              <c:f>Sheet1!$D$1</c:f>
              <c:strCache>
                <c:ptCount val="1"/>
                <c:pt idx="0">
                  <c:v>CO</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1.0000000000000005E-2</c:v>
                </c:pt>
                <c:pt idx="1">
                  <c:v>2.8000000000000001E-2</c:v>
                </c:pt>
                <c:pt idx="2">
                  <c:v>4.0000000000000053E-3</c:v>
                </c:pt>
                <c:pt idx="3">
                  <c:v>7.0000000000000062E-3</c:v>
                </c:pt>
                <c:pt idx="4">
                  <c:v>5.0000000000000053E-3</c:v>
                </c:pt>
              </c:numCache>
            </c:numRef>
          </c:val>
        </c:ser>
        <c:shape val="cone"/>
        <c:axId val="134895488"/>
        <c:axId val="134897024"/>
        <c:axId val="134902656"/>
      </c:bar3DChart>
      <c:catAx>
        <c:axId val="134895488"/>
        <c:scaling>
          <c:orientation val="minMax"/>
        </c:scaling>
        <c:axPos val="b"/>
        <c:numFmt formatCode="General" sourceLinked="1"/>
        <c:majorTickMark val="none"/>
        <c:tickLblPos val="nextTo"/>
        <c:crossAx val="134897024"/>
        <c:crossesAt val="0"/>
        <c:auto val="1"/>
        <c:lblAlgn val="ctr"/>
        <c:lblOffset val="100"/>
      </c:catAx>
      <c:valAx>
        <c:axId val="134897024"/>
        <c:scaling>
          <c:orientation val="minMax"/>
          <c:max val="0.30000000000000032"/>
          <c:min val="0"/>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7607967228395501E-2"/>
              <c:y val="0.20270552053569491"/>
            </c:manualLayout>
          </c:layout>
        </c:title>
        <c:numFmt formatCode="General" sourceLinked="1"/>
        <c:majorTickMark val="none"/>
        <c:tickLblPos val="nextTo"/>
        <c:spPr>
          <a:noFill/>
        </c:spPr>
        <c:crossAx val="134895488"/>
        <c:crosses val="autoZero"/>
        <c:crossBetween val="between"/>
        <c:majorUnit val="0.1"/>
      </c:valAx>
      <c:serAx>
        <c:axId val="134902656"/>
        <c:scaling>
          <c:orientation val="minMax"/>
        </c:scaling>
        <c:delete val="1"/>
        <c:axPos val="b"/>
        <c:tickLblPos val="none"/>
        <c:crossAx val="134897024"/>
        <c:crossesAt val="0"/>
      </c:ser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0"/>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1433"/>
          <c:h val="0.6593406593406671"/>
        </c:manualLayout>
      </c:layout>
      <c:bar3DChart>
        <c:barDir val="col"/>
        <c:grouping val="clustered"/>
        <c:ser>
          <c:idx val="7"/>
          <c:order val="0"/>
          <c:tx>
            <c:strRef>
              <c:f>Sheet1!$A$9</c:f>
              <c:strCache>
                <c:ptCount val="1"/>
                <c:pt idx="0">
                  <c:v>Medii anuale 2016</c:v>
                </c:pt>
              </c:strCache>
            </c:strRef>
          </c:tx>
          <c:cat>
            <c:strRef>
              <c:f>Sheet1!$B$1:$F$1</c:f>
              <c:strCache>
                <c:ptCount val="5"/>
                <c:pt idx="0">
                  <c:v>BR1</c:v>
                </c:pt>
                <c:pt idx="1">
                  <c:v>BR2</c:v>
                </c:pt>
                <c:pt idx="2">
                  <c:v>BR3</c:v>
                </c:pt>
                <c:pt idx="3">
                  <c:v>BR4</c:v>
                </c:pt>
                <c:pt idx="4">
                  <c:v>BR5</c:v>
                </c:pt>
              </c:strCache>
            </c:strRef>
          </c:cat>
          <c:val>
            <c:numRef>
              <c:f>Sheet1!$B$9:$F$9</c:f>
              <c:numCache>
                <c:formatCode>General</c:formatCode>
                <c:ptCount val="5"/>
                <c:pt idx="0">
                  <c:v>0.19</c:v>
                </c:pt>
                <c:pt idx="1">
                  <c:v>0.11</c:v>
                </c:pt>
                <c:pt idx="2">
                  <c:v>0.12000000000000002</c:v>
                </c:pt>
                <c:pt idx="3">
                  <c:v>0.11</c:v>
                </c:pt>
                <c:pt idx="4">
                  <c:v>7.0000000000000021E-2</c:v>
                </c:pt>
              </c:numCache>
            </c:numRef>
          </c:val>
        </c:ser>
        <c:gapWidth val="260"/>
        <c:gapDepth val="0"/>
        <c:shape val="box"/>
        <c:axId val="174190592"/>
        <c:axId val="174192896"/>
        <c:axId val="0"/>
      </c:bar3DChart>
      <c:catAx>
        <c:axId val="17419059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74192896"/>
        <c:crosses val="autoZero"/>
        <c:auto val="1"/>
        <c:lblAlgn val="ctr"/>
        <c:lblOffset val="100"/>
        <c:tickLblSkip val="1"/>
        <c:tickMarkSkip val="1"/>
      </c:catAx>
      <c:valAx>
        <c:axId val="174192896"/>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t>miigrame/mc</a:t>
                </a:r>
              </a:p>
            </c:rich>
          </c:tx>
          <c:layout>
            <c:manualLayout>
              <c:xMode val="edge"/>
              <c:yMode val="edge"/>
              <c:x val="4.0992385457521846E-2"/>
              <c:y val="0.12232884951881016"/>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74190592"/>
        <c:crosses val="autoZero"/>
        <c:crossBetween val="between"/>
      </c:valAx>
      <c:spPr>
        <a:noFill/>
        <a:ln w="25400">
          <a:noFill/>
        </a:ln>
      </c:spPr>
    </c:plotArea>
    <c:legend>
      <c:legendPos val="r"/>
      <c:layout>
        <c:manualLayout>
          <c:xMode val="edge"/>
          <c:yMode val="edge"/>
          <c:x val="0.760581619312798"/>
          <c:y val="0.29739009186351861"/>
          <c:w val="0.19241699350318894"/>
          <c:h val="0.13237532808398869"/>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transport</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1.9100000000000001</c:v>
                </c:pt>
                <c:pt idx="1">
                  <c:v>1.1240000000000001</c:v>
                </c:pt>
                <c:pt idx="2">
                  <c:v>0.97800000000000065</c:v>
                </c:pt>
                <c:pt idx="3">
                  <c:v>0.996</c:v>
                </c:pt>
                <c:pt idx="4">
                  <c:v>0.96300000000000063</c:v>
                </c:pt>
              </c:numCache>
            </c:numRef>
          </c:val>
        </c:ser>
        <c:ser>
          <c:idx val="1"/>
          <c:order val="1"/>
          <c:tx>
            <c:strRef>
              <c:f>Sheet1!$C$1</c:f>
              <c:strCache>
                <c:ptCount val="1"/>
                <c:pt idx="0">
                  <c:v>NMCOV</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0.76000000000000112</c:v>
                </c:pt>
                <c:pt idx="1">
                  <c:v>0.3130000000000005</c:v>
                </c:pt>
                <c:pt idx="2">
                  <c:v>3.0400000000000038E-2</c:v>
                </c:pt>
                <c:pt idx="3">
                  <c:v>0.29200000000000031</c:v>
                </c:pt>
                <c:pt idx="4">
                  <c:v>0.30800000000000038</c:v>
                </c:pt>
              </c:numCache>
            </c:numRef>
          </c:val>
        </c:ser>
        <c:ser>
          <c:idx val="2"/>
          <c:order val="2"/>
          <c:tx>
            <c:strRef>
              <c:f>Sheet1!$D$1</c:f>
              <c:strCache>
                <c:ptCount val="1"/>
                <c:pt idx="0">
                  <c:v>CO</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5.1760000000000002</c:v>
                </c:pt>
                <c:pt idx="1">
                  <c:v>2.5070000000000001</c:v>
                </c:pt>
                <c:pt idx="2">
                  <c:v>2.4699999999999998</c:v>
                </c:pt>
                <c:pt idx="3">
                  <c:v>2.3349999999999977</c:v>
                </c:pt>
                <c:pt idx="4">
                  <c:v>1.744</c:v>
                </c:pt>
              </c:numCache>
            </c:numRef>
          </c:val>
        </c:ser>
        <c:shape val="cone"/>
        <c:axId val="134924928"/>
        <c:axId val="135102848"/>
        <c:axId val="134904896"/>
      </c:bar3DChart>
      <c:catAx>
        <c:axId val="134924928"/>
        <c:scaling>
          <c:orientation val="minMax"/>
        </c:scaling>
        <c:axPos val="b"/>
        <c:numFmt formatCode="General" sourceLinked="1"/>
        <c:majorTickMark val="none"/>
        <c:tickLblPos val="nextTo"/>
        <c:crossAx val="135102848"/>
        <c:crossesAt val="0"/>
        <c:auto val="1"/>
        <c:lblAlgn val="ctr"/>
        <c:lblOffset val="100"/>
      </c:catAx>
      <c:valAx>
        <c:axId val="135102848"/>
        <c:scaling>
          <c:orientation val="minMax"/>
          <c:min val="0"/>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2623543552383267E-2"/>
              <c:y val="0.20270552053569491"/>
            </c:manualLayout>
          </c:layout>
        </c:title>
        <c:numFmt formatCode="General" sourceLinked="1"/>
        <c:majorTickMark val="none"/>
        <c:tickLblPos val="nextTo"/>
        <c:spPr>
          <a:noFill/>
        </c:spPr>
        <c:crossAx val="134924928"/>
        <c:crosses val="autoZero"/>
        <c:crossBetween val="between"/>
        <c:majorUnit val="2"/>
      </c:valAx>
      <c:serAx>
        <c:axId val="134904896"/>
        <c:scaling>
          <c:orientation val="minMax"/>
        </c:scaling>
        <c:delete val="1"/>
        <c:axPos val="b"/>
        <c:tickLblPos val="none"/>
        <c:crossAx val="135102848"/>
        <c:crossesAt val="0"/>
      </c:serAx>
    </c:plotArea>
    <c:legend>
      <c:legendPos val="r"/>
    </c:legend>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sz="1200" baseline="0">
                <a:latin typeface="Arial" pitchFamily="34" charset="0"/>
              </a:defRPr>
            </a:pPr>
            <a:r>
              <a:rPr lang="ro-RO" sz="1200" baseline="0">
                <a:latin typeface="Arial" pitchFamily="34" charset="0"/>
              </a:rPr>
              <a:t>Tendința emisiilor de particule primare în suspensie</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8.3000000000000046E-2</c:v>
                </c:pt>
                <c:pt idx="1">
                  <c:v>4.7000000000000014E-2</c:v>
                </c:pt>
                <c:pt idx="2">
                  <c:v>6.1000000000000013E-2</c:v>
                </c:pt>
                <c:pt idx="3">
                  <c:v>0.54923588304478965</c:v>
                </c:pt>
                <c:pt idx="4">
                  <c:v>0.29800000000000032</c:v>
                </c:pt>
              </c:numCache>
            </c:numRef>
          </c:val>
        </c:ser>
        <c:ser>
          <c:idx val="1"/>
          <c:order val="1"/>
          <c:tx>
            <c:strRef>
              <c:f>Sheet1!$C$1</c:f>
              <c:strCache>
                <c:ptCount val="1"/>
                <c:pt idx="0">
                  <c:v>PM10</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7.8000000000000014E-2</c:v>
                </c:pt>
                <c:pt idx="1">
                  <c:v>5.1000000000000004E-2</c:v>
                </c:pt>
                <c:pt idx="2">
                  <c:v>6.5000000000000002E-2</c:v>
                </c:pt>
                <c:pt idx="3">
                  <c:v>1.1000000000000001</c:v>
                </c:pt>
                <c:pt idx="4">
                  <c:v>3.1</c:v>
                </c:pt>
              </c:numCache>
            </c:numRef>
          </c:val>
        </c:ser>
        <c:shape val="cone"/>
        <c:axId val="135125632"/>
        <c:axId val="135143808"/>
        <c:axId val="135129280"/>
      </c:bar3DChart>
      <c:catAx>
        <c:axId val="135125632"/>
        <c:scaling>
          <c:orientation val="minMax"/>
        </c:scaling>
        <c:axPos val="b"/>
        <c:numFmt formatCode="General" sourceLinked="1"/>
        <c:majorTickMark val="none"/>
        <c:tickLblPos val="nextTo"/>
        <c:crossAx val="135143808"/>
        <c:crossesAt val="0"/>
        <c:auto val="1"/>
        <c:lblAlgn val="ctr"/>
        <c:lblOffset val="100"/>
      </c:catAx>
      <c:valAx>
        <c:axId val="135143808"/>
        <c:scaling>
          <c:orientation val="minMax"/>
          <c:max val="0.2"/>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0.10508460274241536"/>
              <c:y val="0.20639896467235241"/>
            </c:manualLayout>
          </c:layout>
        </c:title>
        <c:numFmt formatCode="General" sourceLinked="1"/>
        <c:majorTickMark val="none"/>
        <c:tickLblPos val="nextTo"/>
        <c:crossAx val="135125632"/>
        <c:crosses val="autoZero"/>
        <c:crossBetween val="between"/>
        <c:majorUnit val="0.05"/>
        <c:minorUnit val="4.0000000000000114E-3"/>
      </c:valAx>
      <c:serAx>
        <c:axId val="135129280"/>
        <c:scaling>
          <c:orientation val="minMax"/>
        </c:scaling>
        <c:delete val="1"/>
        <c:axPos val="b"/>
        <c:tickLblPos val="none"/>
        <c:crossAx val="135143808"/>
        <c:crossesAt val="0"/>
      </c:serAx>
    </c:plotArea>
    <c:legend>
      <c:legendPos val="r"/>
    </c:legend>
    <c:plotVisOnly val="1"/>
    <c:dispBlanksAs val="gap"/>
  </c:chart>
  <c:spPr>
    <a:noFill/>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sz="1200" baseline="0">
                <a:latin typeface="Arial" pitchFamily="34" charset="0"/>
              </a:defRPr>
            </a:pPr>
            <a:r>
              <a:rPr lang="ro-RO" sz="1200" baseline="0">
                <a:latin typeface="Arial" pitchFamily="34" charset="0"/>
              </a:rPr>
              <a:t>Tendința emisiilor de particule primare în suspensie din sectorul de activitate energie</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7.7000000000000141E-3</c:v>
                </c:pt>
                <c:pt idx="1">
                  <c:v>2.8000000000000046E-4</c:v>
                </c:pt>
                <c:pt idx="2">
                  <c:v>0</c:v>
                </c:pt>
                <c:pt idx="3">
                  <c:v>0</c:v>
                </c:pt>
                <c:pt idx="4">
                  <c:v>0</c:v>
                </c:pt>
              </c:numCache>
            </c:numRef>
          </c:val>
        </c:ser>
        <c:ser>
          <c:idx val="1"/>
          <c:order val="1"/>
          <c:tx>
            <c:strRef>
              <c:f>Sheet1!$C$1</c:f>
              <c:strCache>
                <c:ptCount val="1"/>
                <c:pt idx="0">
                  <c:v>PM10</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5.9000000000000137E-3</c:v>
                </c:pt>
                <c:pt idx="1">
                  <c:v>2.8000000000000046E-4</c:v>
                </c:pt>
                <c:pt idx="2">
                  <c:v>0</c:v>
                </c:pt>
                <c:pt idx="3">
                  <c:v>0</c:v>
                </c:pt>
                <c:pt idx="4">
                  <c:v>0</c:v>
                </c:pt>
              </c:numCache>
            </c:numRef>
          </c:val>
        </c:ser>
        <c:shape val="cone"/>
        <c:axId val="134404736"/>
        <c:axId val="134824320"/>
        <c:axId val="134903104"/>
      </c:bar3DChart>
      <c:catAx>
        <c:axId val="134404736"/>
        <c:scaling>
          <c:orientation val="minMax"/>
        </c:scaling>
        <c:axPos val="b"/>
        <c:numFmt formatCode="General" sourceLinked="1"/>
        <c:majorTickMark val="none"/>
        <c:tickLblPos val="nextTo"/>
        <c:crossAx val="134824320"/>
        <c:crossesAt val="0"/>
        <c:auto val="1"/>
        <c:lblAlgn val="ctr"/>
        <c:lblOffset val="100"/>
      </c:catAx>
      <c:valAx>
        <c:axId val="134824320"/>
        <c:scaling>
          <c:orientation val="minMax"/>
          <c:max val="2.0000000000000011E-2"/>
        </c:scaling>
        <c:axPos val="l"/>
        <c:majorGridlines>
          <c:spPr>
            <a:ln>
              <a:solidFill>
                <a:schemeClr val="bg1"/>
              </a:solidFill>
            </a:ln>
          </c:spPr>
        </c:majorGridlines>
        <c:minorGridlines/>
        <c:title>
          <c:tx>
            <c:rich>
              <a:bodyPr rot="0" vert="horz"/>
              <a:lstStyle/>
              <a:p>
                <a:pPr>
                  <a:defRPr/>
                </a:pPr>
                <a:r>
                  <a:rPr lang="ro-RO"/>
                  <a:t>Gg</a:t>
                </a:r>
              </a:p>
            </c:rich>
          </c:tx>
          <c:layout>
            <c:manualLayout>
              <c:xMode val="edge"/>
              <c:yMode val="edge"/>
              <c:x val="0.15991326317855317"/>
              <c:y val="0.24702685017558401"/>
            </c:manualLayout>
          </c:layout>
        </c:title>
        <c:numFmt formatCode="General" sourceLinked="1"/>
        <c:majorTickMark val="none"/>
        <c:tickLblPos val="nextTo"/>
        <c:crossAx val="134404736"/>
        <c:crosses val="autoZero"/>
        <c:crossBetween val="between"/>
        <c:majorUnit val="5.0000000000000114E-3"/>
        <c:minorUnit val="4.0000000000000114E-3"/>
      </c:valAx>
      <c:serAx>
        <c:axId val="134903104"/>
        <c:scaling>
          <c:orientation val="minMax"/>
        </c:scaling>
        <c:delete val="1"/>
        <c:axPos val="b"/>
        <c:tickLblPos val="none"/>
        <c:crossAx val="134824320"/>
        <c:crossesAt val="0"/>
      </c:serAx>
    </c:plotArea>
    <c:legend>
      <c:legendPos val="r"/>
    </c:legend>
    <c:plotVisOnly val="1"/>
    <c:dispBlanksAs val="gap"/>
  </c:chart>
  <c:spPr>
    <a:noFill/>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a:pPr>
            <a:r>
              <a:rPr lang="ro-RO" sz="1200" baseline="0">
                <a:latin typeface="Arial" pitchFamily="34" charset="0"/>
                <a:cs typeface="Arial" pitchFamily="34" charset="0"/>
              </a:rPr>
              <a:t>Tendința emisiilor de particule primare în suspensie din sectorul de activitate transport</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7.5000000000000011E-2</c:v>
                </c:pt>
                <c:pt idx="1">
                  <c:v>3.2700000000000014E-2</c:v>
                </c:pt>
                <c:pt idx="2">
                  <c:v>4.7000000000000014E-2</c:v>
                </c:pt>
                <c:pt idx="3">
                  <c:v>4.5999999999999999E-2</c:v>
                </c:pt>
                <c:pt idx="4">
                  <c:v>4.3000000000000003E-2</c:v>
                </c:pt>
              </c:numCache>
            </c:numRef>
          </c:val>
        </c:ser>
        <c:ser>
          <c:idx val="1"/>
          <c:order val="1"/>
          <c:tx>
            <c:strRef>
              <c:f>Sheet1!$C$1</c:f>
              <c:strCache>
                <c:ptCount val="1"/>
                <c:pt idx="0">
                  <c:v>PM10</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6.2000000000000034E-2</c:v>
                </c:pt>
                <c:pt idx="1">
                  <c:v>4.3000000000000003E-2</c:v>
                </c:pt>
                <c:pt idx="2">
                  <c:v>5.3999999999999999E-2</c:v>
                </c:pt>
                <c:pt idx="3">
                  <c:v>5.3000000000000012E-2</c:v>
                </c:pt>
                <c:pt idx="4">
                  <c:v>0.05</c:v>
                </c:pt>
              </c:numCache>
            </c:numRef>
          </c:val>
        </c:ser>
        <c:shape val="cone"/>
        <c:axId val="135154304"/>
        <c:axId val="135242112"/>
        <c:axId val="135157504"/>
      </c:bar3DChart>
      <c:catAx>
        <c:axId val="135154304"/>
        <c:scaling>
          <c:orientation val="minMax"/>
        </c:scaling>
        <c:axPos val="b"/>
        <c:numFmt formatCode="General" sourceLinked="1"/>
        <c:majorTickMark val="none"/>
        <c:tickLblPos val="nextTo"/>
        <c:crossAx val="135242112"/>
        <c:crossesAt val="0"/>
        <c:auto val="1"/>
        <c:lblAlgn val="ctr"/>
        <c:lblOffset val="100"/>
      </c:catAx>
      <c:valAx>
        <c:axId val="135242112"/>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0.11256123825643423"/>
              <c:y val="0.23594651776561171"/>
            </c:manualLayout>
          </c:layout>
        </c:title>
        <c:numFmt formatCode="General" sourceLinked="1"/>
        <c:majorTickMark val="none"/>
        <c:tickLblPos val="nextTo"/>
        <c:crossAx val="135154304"/>
        <c:crosses val="autoZero"/>
        <c:crossBetween val="between"/>
        <c:minorUnit val="4.0000000000000114E-3"/>
      </c:valAx>
      <c:serAx>
        <c:axId val="135157504"/>
        <c:scaling>
          <c:orientation val="minMax"/>
        </c:scaling>
        <c:delete val="1"/>
        <c:axPos val="b"/>
        <c:tickLblPos val="none"/>
        <c:crossAx val="135242112"/>
        <c:crossesAt val="0"/>
      </c:serAx>
    </c:plotArea>
    <c:legend>
      <c:legendPos val="r"/>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sz="1200" baseline="0">
                <a:latin typeface="Arial" pitchFamily="34" charset="0"/>
              </a:defRPr>
            </a:pPr>
            <a:r>
              <a:rPr lang="ro-RO" sz="1200" baseline="0">
                <a:latin typeface="Arial" pitchFamily="34" charset="0"/>
              </a:rPr>
              <a:t>Tendința emisiilor de metale grele</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4.3000000000000003E-2</c:v>
                </c:pt>
                <c:pt idx="1">
                  <c:v>2.5000000000000001E-2</c:v>
                </c:pt>
                <c:pt idx="2">
                  <c:v>3.0000000000000002E-2</c:v>
                </c:pt>
                <c:pt idx="3">
                  <c:v>7.9793889561888431E-2</c:v>
                </c:pt>
                <c:pt idx="4">
                  <c:v>3.0000000000000002E-2</c:v>
                </c:pt>
              </c:numCache>
            </c:numRef>
          </c:val>
        </c:ser>
        <c:ser>
          <c:idx val="1"/>
          <c:order val="1"/>
          <c:tx>
            <c:strRef>
              <c:f>Sheet1!$C$1</c:f>
              <c:strCache>
                <c:ptCount val="1"/>
                <c:pt idx="0">
                  <c:v>Cd</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1.4E-2</c:v>
                </c:pt>
                <c:pt idx="1">
                  <c:v>4.5000000000000064E-4</c:v>
                </c:pt>
                <c:pt idx="2">
                  <c:v>5.0000000000000053E-3</c:v>
                </c:pt>
                <c:pt idx="3">
                  <c:v>6.9966374312031114E-3</c:v>
                </c:pt>
                <c:pt idx="4">
                  <c:v>2.0000000000000026E-3</c:v>
                </c:pt>
              </c:numCache>
            </c:numRef>
          </c:val>
        </c:ser>
        <c:ser>
          <c:idx val="2"/>
          <c:order val="2"/>
          <c:tx>
            <c:strRef>
              <c:f>Sheet1!$D$1</c:f>
              <c:strCache>
                <c:ptCount val="1"/>
                <c:pt idx="0">
                  <c:v>Hg</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5.6000000000000001E-2</c:v>
                </c:pt>
                <c:pt idx="1">
                  <c:v>1.6000000000000021E-2</c:v>
                </c:pt>
                <c:pt idx="2">
                  <c:v>1.4999999999999998E-2</c:v>
                </c:pt>
                <c:pt idx="3">
                  <c:v>3.3525319140136297E-3</c:v>
                </c:pt>
                <c:pt idx="4">
                  <c:v>3.7000000000000054E-4</c:v>
                </c:pt>
              </c:numCache>
            </c:numRef>
          </c:val>
        </c:ser>
        <c:shape val="cone"/>
        <c:axId val="135278592"/>
        <c:axId val="135280128"/>
        <c:axId val="135158400"/>
      </c:bar3DChart>
      <c:catAx>
        <c:axId val="135278592"/>
        <c:scaling>
          <c:orientation val="minMax"/>
        </c:scaling>
        <c:axPos val="b"/>
        <c:numFmt formatCode="General" sourceLinked="1"/>
        <c:majorTickMark val="none"/>
        <c:tickLblPos val="nextTo"/>
        <c:crossAx val="135280128"/>
        <c:crossesAt val="0"/>
        <c:auto val="1"/>
        <c:lblAlgn val="ctr"/>
        <c:lblOffset val="100"/>
      </c:catAx>
      <c:valAx>
        <c:axId val="135280128"/>
        <c:scaling>
          <c:orientation val="minMax"/>
          <c:min val="0"/>
        </c:scaling>
        <c:axPos val="l"/>
        <c:majorGridlines/>
        <c:minorGridlines>
          <c:spPr>
            <a:ln>
              <a:solidFill>
                <a:schemeClr val="bg1"/>
              </a:solidFill>
            </a:ln>
          </c:spPr>
        </c:minorGridlines>
        <c:title>
          <c:tx>
            <c:rich>
              <a:bodyPr rot="0" vert="horz"/>
              <a:lstStyle/>
              <a:p>
                <a:pPr>
                  <a:defRPr/>
                </a:pPr>
                <a:r>
                  <a:rPr lang="ro-RO"/>
                  <a:t>Mg</a:t>
                </a:r>
              </a:p>
            </c:rich>
          </c:tx>
          <c:layout>
            <c:manualLayout>
              <c:xMode val="edge"/>
              <c:yMode val="edge"/>
              <c:x val="0.12253008560845782"/>
              <c:y val="0.14730385848583341"/>
            </c:manualLayout>
          </c:layout>
        </c:title>
        <c:numFmt formatCode="General" sourceLinked="1"/>
        <c:majorTickMark val="none"/>
        <c:tickLblPos val="nextTo"/>
        <c:crossAx val="135278592"/>
        <c:crosses val="autoZero"/>
        <c:crossBetween val="between"/>
      </c:valAx>
      <c:serAx>
        <c:axId val="135158400"/>
        <c:scaling>
          <c:orientation val="minMax"/>
        </c:scaling>
        <c:delete val="1"/>
        <c:axPos val="b"/>
        <c:tickLblPos val="none"/>
        <c:crossAx val="135280128"/>
        <c:crossesAt val="0"/>
      </c:serAx>
    </c:plotArea>
    <c:legend>
      <c:legendPos val="r"/>
    </c:legend>
    <c:plotVisOnly val="1"/>
    <c:dispBlanksAs val="gap"/>
  </c:chart>
  <c:spPr>
    <a:noFill/>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sz="1200" baseline="0">
                <a:latin typeface="Arial" pitchFamily="34" charset="0"/>
              </a:defRPr>
            </a:pPr>
            <a:r>
              <a:rPr lang="ro-RO" sz="1200" baseline="0">
                <a:latin typeface="Arial" pitchFamily="34" charset="0"/>
              </a:rPr>
              <a:t>Tendința emisiilor de metale grele din sectorul de activitate industrie </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2.5000000000000027E-3</c:v>
                </c:pt>
                <c:pt idx="1">
                  <c:v>1.5000000000000013E-3</c:v>
                </c:pt>
                <c:pt idx="2">
                  <c:v>2.0000000000000029E-5</c:v>
                </c:pt>
                <c:pt idx="3">
                  <c:v>4.2122899712741064E-3</c:v>
                </c:pt>
                <c:pt idx="4">
                  <c:v>8.0000000000000183E-6</c:v>
                </c:pt>
              </c:numCache>
            </c:numRef>
          </c:val>
        </c:ser>
        <c:ser>
          <c:idx val="1"/>
          <c:order val="1"/>
          <c:tx>
            <c:strRef>
              <c:f>Sheet1!$C$1</c:f>
              <c:strCache>
                <c:ptCount val="1"/>
                <c:pt idx="0">
                  <c:v>Cd</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2.5000000000000027E-3</c:v>
                </c:pt>
                <c:pt idx="1">
                  <c:v>2.0000000000000031E-4</c:v>
                </c:pt>
                <c:pt idx="2">
                  <c:v>8.5000000000000147E-4</c:v>
                </c:pt>
                <c:pt idx="3">
                  <c:v>3.2712940562901747E-4</c:v>
                </c:pt>
                <c:pt idx="4">
                  <c:v>3.700000000000009E-6</c:v>
                </c:pt>
              </c:numCache>
            </c:numRef>
          </c:val>
        </c:ser>
        <c:ser>
          <c:idx val="2"/>
          <c:order val="2"/>
          <c:tx>
            <c:strRef>
              <c:f>Sheet1!$D$1</c:f>
              <c:strCache>
                <c:ptCount val="1"/>
                <c:pt idx="0">
                  <c:v>Hg</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7.0000000000000116E-5</c:v>
                </c:pt>
                <c:pt idx="1">
                  <c:v>4.0000000000000034E-4</c:v>
                </c:pt>
                <c:pt idx="2">
                  <c:v>5.000000000000009E-5</c:v>
                </c:pt>
                <c:pt idx="3">
                  <c:v>9.6959744606729063E-5</c:v>
                </c:pt>
                <c:pt idx="4">
                  <c:v>2.0000000000000029E-5</c:v>
                </c:pt>
              </c:numCache>
            </c:numRef>
          </c:val>
        </c:ser>
        <c:shape val="cone"/>
        <c:axId val="134841088"/>
        <c:axId val="134842624"/>
        <c:axId val="135309056"/>
      </c:bar3DChart>
      <c:catAx>
        <c:axId val="134841088"/>
        <c:scaling>
          <c:orientation val="minMax"/>
        </c:scaling>
        <c:axPos val="b"/>
        <c:numFmt formatCode="General" sourceLinked="1"/>
        <c:majorTickMark val="none"/>
        <c:tickLblPos val="nextTo"/>
        <c:crossAx val="134842624"/>
        <c:crossesAt val="0"/>
        <c:auto val="1"/>
        <c:lblAlgn val="ctr"/>
        <c:lblOffset val="100"/>
      </c:catAx>
      <c:valAx>
        <c:axId val="134842624"/>
        <c:scaling>
          <c:orientation val="minMax"/>
          <c:min val="0"/>
        </c:scaling>
        <c:axPos val="l"/>
        <c:majorGridlines/>
        <c:minorGridlines>
          <c:spPr>
            <a:ln>
              <a:solidFill>
                <a:schemeClr val="bg1"/>
              </a:solidFill>
            </a:ln>
          </c:spPr>
        </c:minorGridlines>
        <c:title>
          <c:tx>
            <c:rich>
              <a:bodyPr rot="0" vert="horz"/>
              <a:lstStyle/>
              <a:p>
                <a:pPr>
                  <a:defRPr/>
                </a:pPr>
                <a:r>
                  <a:rPr lang="ro-RO"/>
                  <a:t>Mg</a:t>
                </a:r>
              </a:p>
            </c:rich>
          </c:tx>
          <c:layout>
            <c:manualLayout>
              <c:xMode val="edge"/>
              <c:yMode val="edge"/>
              <c:x val="0.12253008560845782"/>
              <c:y val="0.19162518812572271"/>
            </c:manualLayout>
          </c:layout>
        </c:title>
        <c:numFmt formatCode="General" sourceLinked="1"/>
        <c:majorTickMark val="none"/>
        <c:tickLblPos val="nextTo"/>
        <c:crossAx val="134841088"/>
        <c:crosses val="autoZero"/>
        <c:crossBetween val="between"/>
        <c:majorUnit val="2.0000000000000052E-3"/>
      </c:valAx>
      <c:serAx>
        <c:axId val="135309056"/>
        <c:scaling>
          <c:orientation val="minMax"/>
        </c:scaling>
        <c:delete val="1"/>
        <c:axPos val="b"/>
        <c:tickLblPos val="none"/>
        <c:crossAx val="134842624"/>
        <c:crossesAt val="0"/>
      </c:serAx>
    </c:plotArea>
    <c:legend>
      <c:legendPos val="r"/>
    </c:legend>
    <c:plotVisOnly val="1"/>
    <c:dispBlanksAs val="gap"/>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sz="1200" baseline="0">
                <a:latin typeface="Arial" pitchFamily="34" charset="0"/>
              </a:defRPr>
            </a:pPr>
            <a:r>
              <a:rPr lang="ro-RO" sz="1200" baseline="0">
                <a:latin typeface="Arial" pitchFamily="34" charset="0"/>
              </a:rPr>
              <a:t>Tendința emisiilor de metale grele din sectorul de activitate transport</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3.7999999999999999E-2</c:v>
                </c:pt>
                <c:pt idx="1">
                  <c:v>2.3E-2</c:v>
                </c:pt>
                <c:pt idx="2">
                  <c:v>3.3000000000000002E-2</c:v>
                </c:pt>
                <c:pt idx="3">
                  <c:v>3.1000000000000045E-2</c:v>
                </c:pt>
                <c:pt idx="4">
                  <c:v>2.5000000000000001E-2</c:v>
                </c:pt>
              </c:numCache>
            </c:numRef>
          </c:val>
        </c:ser>
        <c:ser>
          <c:idx val="1"/>
          <c:order val="1"/>
          <c:tx>
            <c:strRef>
              <c:f>Sheet1!$C$1</c:f>
              <c:strCache>
                <c:ptCount val="1"/>
                <c:pt idx="0">
                  <c:v>Cd</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9.8000000000000257E-3</c:v>
                </c:pt>
                <c:pt idx="1">
                  <c:v>5.5000000000000112E-4</c:v>
                </c:pt>
                <c:pt idx="2">
                  <c:v>1.6000000000000021E-2</c:v>
                </c:pt>
                <c:pt idx="3">
                  <c:v>5.5000000000000112E-4</c:v>
                </c:pt>
                <c:pt idx="4">
                  <c:v>6.0000000000000114E-4</c:v>
                </c:pt>
              </c:numCache>
            </c:numRef>
          </c:val>
        </c:ser>
        <c:ser>
          <c:idx val="2"/>
          <c:order val="2"/>
          <c:tx>
            <c:strRef>
              <c:f>Sheet1!$D$1</c:f>
              <c:strCache>
                <c:ptCount val="1"/>
                <c:pt idx="0">
                  <c:v>Hg</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0</c:v>
                </c:pt>
                <c:pt idx="1">
                  <c:v>0</c:v>
                </c:pt>
                <c:pt idx="2">
                  <c:v>0</c:v>
                </c:pt>
                <c:pt idx="3">
                  <c:v>0</c:v>
                </c:pt>
                <c:pt idx="4">
                  <c:v>0</c:v>
                </c:pt>
              </c:numCache>
            </c:numRef>
          </c:val>
        </c:ser>
        <c:shape val="cone"/>
        <c:axId val="135190016"/>
        <c:axId val="135191552"/>
        <c:axId val="135310400"/>
      </c:bar3DChart>
      <c:catAx>
        <c:axId val="135190016"/>
        <c:scaling>
          <c:orientation val="minMax"/>
        </c:scaling>
        <c:axPos val="b"/>
        <c:numFmt formatCode="General" sourceLinked="1"/>
        <c:majorTickMark val="none"/>
        <c:tickLblPos val="nextTo"/>
        <c:crossAx val="135191552"/>
        <c:crossesAt val="0"/>
        <c:auto val="1"/>
        <c:lblAlgn val="ctr"/>
        <c:lblOffset val="100"/>
      </c:catAx>
      <c:valAx>
        <c:axId val="135191552"/>
        <c:scaling>
          <c:orientation val="minMax"/>
          <c:min val="0"/>
        </c:scaling>
        <c:axPos val="l"/>
        <c:majorGridlines/>
        <c:minorGridlines>
          <c:spPr>
            <a:ln>
              <a:solidFill>
                <a:schemeClr val="bg1"/>
              </a:solidFill>
            </a:ln>
          </c:spPr>
        </c:minorGridlines>
        <c:title>
          <c:tx>
            <c:rich>
              <a:bodyPr rot="0" vert="horz"/>
              <a:lstStyle/>
              <a:p>
                <a:pPr>
                  <a:defRPr/>
                </a:pPr>
                <a:r>
                  <a:rPr lang="ro-RO"/>
                  <a:t>Mg</a:t>
                </a:r>
              </a:p>
            </c:rich>
          </c:tx>
          <c:layout>
            <c:manualLayout>
              <c:xMode val="edge"/>
              <c:yMode val="edge"/>
              <c:x val="0.10010017906640283"/>
              <c:y val="0.19531863226237994"/>
            </c:manualLayout>
          </c:layout>
        </c:title>
        <c:numFmt formatCode="General" sourceLinked="1"/>
        <c:majorTickMark val="none"/>
        <c:tickLblPos val="nextTo"/>
        <c:crossAx val="135190016"/>
        <c:crosses val="autoZero"/>
        <c:crossBetween val="between"/>
      </c:valAx>
      <c:serAx>
        <c:axId val="135310400"/>
        <c:scaling>
          <c:orientation val="minMax"/>
        </c:scaling>
        <c:delete val="1"/>
        <c:axPos val="b"/>
        <c:tickLblPos val="none"/>
        <c:crossAx val="135191552"/>
        <c:crossesAt val="0"/>
      </c:serAx>
    </c:plotArea>
    <c:legend>
      <c:legendPos val="r"/>
    </c:legend>
    <c:plotVisOnly val="1"/>
    <c:dispBlanksAs val="gap"/>
  </c:chart>
  <c:spPr>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o-RO"/>
  <c:style val="13"/>
  <c:chart>
    <c:title>
      <c:tx>
        <c:rich>
          <a:bodyPr/>
          <a:lstStyle/>
          <a:p>
            <a:pPr>
              <a:defRPr sz="1200" baseline="0">
                <a:latin typeface="Arial" pitchFamily="34" charset="0"/>
              </a:defRPr>
            </a:pPr>
            <a:r>
              <a:rPr lang="ro-RO" sz="1200" baseline="0">
                <a:latin typeface="Arial" pitchFamily="34" charset="0"/>
              </a:rPr>
              <a:t>Tendința emisiilor de compuși organici persistenți</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678</c:v>
                </c:pt>
                <c:pt idx="1">
                  <c:v>412</c:v>
                </c:pt>
                <c:pt idx="2">
                  <c:v>344</c:v>
                </c:pt>
                <c:pt idx="3">
                  <c:v>1.56</c:v>
                </c:pt>
                <c:pt idx="4">
                  <c:v>1.2</c:v>
                </c:pt>
              </c:numCache>
            </c:numRef>
          </c:val>
        </c:ser>
        <c:ser>
          <c:idx val="1"/>
          <c:order val="1"/>
          <c:tx>
            <c:strRef>
              <c:f>Sheet1!$C$1</c:f>
              <c:strCache>
                <c:ptCount val="1"/>
                <c:pt idx="0">
                  <c:v>HCB</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3.6000000000000038E-3</c:v>
                </c:pt>
                <c:pt idx="1">
                  <c:v>2.0000000000000031E-4</c:v>
                </c:pt>
                <c:pt idx="2">
                  <c:v>2.0000000000000031E-4</c:v>
                </c:pt>
                <c:pt idx="3">
                  <c:v>2.3999999999999998E-3</c:v>
                </c:pt>
                <c:pt idx="4">
                  <c:v>1.700000000000002E-4</c:v>
                </c:pt>
              </c:numCache>
            </c:numRef>
          </c:val>
        </c:ser>
        <c:shape val="cone"/>
        <c:axId val="135468544"/>
        <c:axId val="135470080"/>
        <c:axId val="135381888"/>
      </c:bar3DChart>
      <c:catAx>
        <c:axId val="135468544"/>
        <c:scaling>
          <c:orientation val="minMax"/>
        </c:scaling>
        <c:axPos val="b"/>
        <c:numFmt formatCode="General" sourceLinked="1"/>
        <c:majorTickMark val="none"/>
        <c:tickLblPos val="nextTo"/>
        <c:crossAx val="135470080"/>
        <c:crossesAt val="0"/>
        <c:auto val="1"/>
        <c:lblAlgn val="ctr"/>
        <c:lblOffset val="100"/>
      </c:catAx>
      <c:valAx>
        <c:axId val="135470080"/>
        <c:scaling>
          <c:orientation val="minMax"/>
          <c:max val="700"/>
          <c:min val="0"/>
        </c:scaling>
        <c:axPos val="l"/>
        <c:majorGridlines/>
        <c:minorGridlines>
          <c:spPr>
            <a:ln>
              <a:solidFill>
                <a:schemeClr val="bg1"/>
              </a:solidFill>
            </a:ln>
          </c:spPr>
        </c:minorGridlines>
        <c:title>
          <c:tx>
            <c:rich>
              <a:bodyPr rot="0" vert="horz"/>
              <a:lstStyle/>
              <a:p>
                <a:pPr>
                  <a:defRPr/>
                </a:pPr>
                <a:r>
                  <a:rPr lang="ro-RO"/>
                  <a:t>kg</a:t>
                </a:r>
              </a:p>
            </c:rich>
          </c:tx>
          <c:layout>
            <c:manualLayout>
              <c:xMode val="edge"/>
              <c:yMode val="edge"/>
              <c:x val="0.10010017906640283"/>
              <c:y val="0.20270552053569491"/>
            </c:manualLayout>
          </c:layout>
        </c:title>
        <c:numFmt formatCode="General" sourceLinked="1"/>
        <c:majorTickMark val="none"/>
        <c:tickLblPos val="nextTo"/>
        <c:crossAx val="135468544"/>
        <c:crosses val="autoZero"/>
        <c:crossBetween val="between"/>
        <c:majorUnit val="200"/>
      </c:valAx>
      <c:serAx>
        <c:axId val="135381888"/>
        <c:scaling>
          <c:orientation val="minMax"/>
        </c:scaling>
        <c:delete val="1"/>
        <c:axPos val="b"/>
        <c:tickLblPos val="none"/>
        <c:crossAx val="135470080"/>
        <c:crossesAt val="0"/>
      </c:serAx>
    </c:plotArea>
    <c:legend>
      <c:legendPos val="r"/>
    </c:legend>
    <c:plotVisOnly val="1"/>
    <c:dispBlanksAs val="gap"/>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a:defRPr sz="1200" baseline="0">
                <a:latin typeface="Arial" pitchFamily="34" charset="0"/>
              </a:defRPr>
            </a:pPr>
            <a:r>
              <a:rPr lang="ro-RO" sz="1200" baseline="0">
                <a:latin typeface="Arial" pitchFamily="34" charset="0"/>
              </a:rPr>
              <a:t>Tendința emisiilor de compuși organici persistenți din sectorul de activitate energie</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0</c:v>
                </c:pt>
                <c:pt idx="1">
                  <c:v>0</c:v>
                </c:pt>
                <c:pt idx="2">
                  <c:v>0</c:v>
                </c:pt>
                <c:pt idx="3">
                  <c:v>0</c:v>
                </c:pt>
                <c:pt idx="4">
                  <c:v>0</c:v>
                </c:pt>
              </c:numCache>
            </c:numRef>
          </c:val>
        </c:ser>
        <c:ser>
          <c:idx val="1"/>
          <c:order val="1"/>
          <c:tx>
            <c:strRef>
              <c:f>Sheet1!$C$1</c:f>
              <c:strCache>
                <c:ptCount val="1"/>
                <c:pt idx="0">
                  <c:v>HCB</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c:v>
                </c:pt>
                <c:pt idx="1">
                  <c:v>0</c:v>
                </c:pt>
                <c:pt idx="2">
                  <c:v>0</c:v>
                </c:pt>
                <c:pt idx="3">
                  <c:v>0</c:v>
                </c:pt>
                <c:pt idx="4">
                  <c:v>0</c:v>
                </c:pt>
              </c:numCache>
            </c:numRef>
          </c:val>
        </c:ser>
        <c:shape val="cone"/>
        <c:axId val="135484928"/>
        <c:axId val="135486464"/>
        <c:axId val="135383680"/>
      </c:bar3DChart>
      <c:catAx>
        <c:axId val="135484928"/>
        <c:scaling>
          <c:orientation val="minMax"/>
        </c:scaling>
        <c:axPos val="b"/>
        <c:numFmt formatCode="General" sourceLinked="1"/>
        <c:majorTickMark val="none"/>
        <c:tickLblPos val="nextTo"/>
        <c:crossAx val="135486464"/>
        <c:crossesAt val="0"/>
        <c:auto val="1"/>
        <c:lblAlgn val="ctr"/>
        <c:lblOffset val="100"/>
      </c:catAx>
      <c:valAx>
        <c:axId val="135486464"/>
        <c:scaling>
          <c:orientation val="minMax"/>
          <c:max val="1"/>
        </c:scaling>
        <c:axPos val="l"/>
        <c:majorGridlines/>
        <c:minorGridlines>
          <c:spPr>
            <a:ln>
              <a:solidFill>
                <a:sysClr val="window" lastClr="FFFFFF"/>
              </a:solidFill>
            </a:ln>
          </c:spPr>
        </c:minorGridlines>
        <c:title>
          <c:tx>
            <c:rich>
              <a:bodyPr rot="0" vert="horz"/>
              <a:lstStyle/>
              <a:p>
                <a:pPr>
                  <a:defRPr/>
                </a:pPr>
                <a:r>
                  <a:rPr lang="ro-RO"/>
                  <a:t>kg</a:t>
                </a:r>
              </a:p>
            </c:rich>
          </c:tx>
          <c:layout>
            <c:manualLayout>
              <c:xMode val="edge"/>
              <c:yMode val="edge"/>
              <c:x val="0.12003787377045159"/>
              <c:y val="0.23594651776561171"/>
            </c:manualLayout>
          </c:layout>
        </c:title>
        <c:numFmt formatCode="General" sourceLinked="1"/>
        <c:majorTickMark val="none"/>
        <c:tickLblPos val="nextTo"/>
        <c:crossAx val="135484928"/>
        <c:crosses val="autoZero"/>
        <c:crossBetween val="between"/>
      </c:valAx>
      <c:serAx>
        <c:axId val="135383680"/>
        <c:scaling>
          <c:orientation val="minMax"/>
        </c:scaling>
        <c:delete val="1"/>
        <c:axPos val="b"/>
        <c:tickLblPos val="none"/>
        <c:crossAx val="135486464"/>
        <c:crossesAt val="0"/>
      </c:serAx>
    </c:plotArea>
    <c:legend>
      <c:legendPos val="r"/>
    </c:legend>
    <c:plotVisOnly val="1"/>
    <c:dispBlanksAs val="gap"/>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a:defRPr sz="1200" baseline="0">
                <a:latin typeface="Arial" pitchFamily="34" charset="0"/>
              </a:defRPr>
            </a:pPr>
            <a:r>
              <a:rPr lang="ro-RO" sz="1200" baseline="0">
                <a:latin typeface="Arial" pitchFamily="34" charset="0"/>
              </a:rPr>
              <a:t>Tendința emisiilor de compuși organici persistenți din sectorul de activitate</a:t>
            </a:r>
            <a:r>
              <a:rPr lang="en-US" sz="1200" baseline="0">
                <a:latin typeface="Arial" pitchFamily="34" charset="0"/>
              </a:rPr>
              <a:t> industrie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0</c:v>
                </c:pt>
                <c:pt idx="1">
                  <c:v>0</c:v>
                </c:pt>
                <c:pt idx="2">
                  <c:v>0</c:v>
                </c:pt>
                <c:pt idx="3">
                  <c:v>0</c:v>
                </c:pt>
                <c:pt idx="4">
                  <c:v>0</c:v>
                </c:pt>
              </c:numCache>
            </c:numRef>
          </c:val>
        </c:ser>
        <c:ser>
          <c:idx val="1"/>
          <c:order val="1"/>
          <c:tx>
            <c:strRef>
              <c:f>Sheet1!$C$1</c:f>
              <c:strCache>
                <c:ptCount val="1"/>
                <c:pt idx="0">
                  <c:v>HCB</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0</c:v>
                </c:pt>
                <c:pt idx="1">
                  <c:v>0</c:v>
                </c:pt>
                <c:pt idx="2">
                  <c:v>0</c:v>
                </c:pt>
                <c:pt idx="3">
                  <c:v>0</c:v>
                </c:pt>
                <c:pt idx="4">
                  <c:v>1.4000000000000021E-6</c:v>
                </c:pt>
              </c:numCache>
            </c:numRef>
          </c:val>
        </c:ser>
        <c:shape val="cone"/>
        <c:axId val="135570944"/>
        <c:axId val="135572480"/>
        <c:axId val="135537088"/>
      </c:bar3DChart>
      <c:catAx>
        <c:axId val="135570944"/>
        <c:scaling>
          <c:orientation val="minMax"/>
        </c:scaling>
        <c:axPos val="b"/>
        <c:numFmt formatCode="General" sourceLinked="1"/>
        <c:majorTickMark val="none"/>
        <c:tickLblPos val="nextTo"/>
        <c:crossAx val="135572480"/>
        <c:crossesAt val="0"/>
        <c:auto val="1"/>
        <c:lblAlgn val="ctr"/>
        <c:lblOffset val="100"/>
      </c:catAx>
      <c:valAx>
        <c:axId val="135572480"/>
        <c:scaling>
          <c:orientation val="minMax"/>
        </c:scaling>
        <c:axPos val="l"/>
        <c:majorGridlines/>
        <c:minorGridlines>
          <c:spPr>
            <a:ln>
              <a:solidFill>
                <a:sysClr val="window" lastClr="FFFFFF"/>
              </a:solidFill>
            </a:ln>
          </c:spPr>
        </c:minorGridlines>
        <c:title>
          <c:tx>
            <c:rich>
              <a:bodyPr rot="0" vert="horz"/>
              <a:lstStyle/>
              <a:p>
                <a:pPr>
                  <a:defRPr/>
                </a:pPr>
                <a:r>
                  <a:rPr lang="ro-RO"/>
                  <a:t>kg</a:t>
                </a:r>
              </a:p>
            </c:rich>
          </c:tx>
          <c:layout>
            <c:manualLayout>
              <c:xMode val="edge"/>
              <c:yMode val="edge"/>
              <c:x val="0.12003787377045159"/>
              <c:y val="0.23594651776561171"/>
            </c:manualLayout>
          </c:layout>
        </c:title>
        <c:numFmt formatCode="General" sourceLinked="1"/>
        <c:majorTickMark val="none"/>
        <c:tickLblPos val="nextTo"/>
        <c:crossAx val="135570944"/>
        <c:crosses val="autoZero"/>
        <c:crossBetween val="between"/>
      </c:valAx>
      <c:serAx>
        <c:axId val="135537088"/>
        <c:scaling>
          <c:orientation val="minMax"/>
        </c:scaling>
        <c:delete val="1"/>
        <c:axPos val="b"/>
        <c:tickLblPos val="none"/>
        <c:crossAx val="135572480"/>
        <c:crossesAt val="0"/>
      </c:ser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6358"/>
          <c:h val="0.72282608695652173"/>
        </c:manualLayout>
      </c:layout>
      <c:bar3DChart>
        <c:barDir val="col"/>
        <c:grouping val="clustered"/>
        <c:ser>
          <c:idx val="7"/>
          <c:order val="0"/>
          <c:tx>
            <c:strRef>
              <c:f>Sheet1!$A$9</c:f>
              <c:strCache>
                <c:ptCount val="1"/>
                <c:pt idx="0">
                  <c:v>Medii anuale 2016</c:v>
                </c:pt>
              </c:strCache>
            </c:strRef>
          </c:tx>
          <c:cat>
            <c:strRef>
              <c:f>Sheet1!$B$1:$E$1</c:f>
              <c:strCache>
                <c:ptCount val="4"/>
                <c:pt idx="0">
                  <c:v>BR1</c:v>
                </c:pt>
                <c:pt idx="1">
                  <c:v>BR2</c:v>
                </c:pt>
                <c:pt idx="2">
                  <c:v>BR3</c:v>
                </c:pt>
                <c:pt idx="3">
                  <c:v>BR5</c:v>
                </c:pt>
              </c:strCache>
            </c:strRef>
          </c:cat>
          <c:val>
            <c:numRef>
              <c:f>Sheet1!$B$9:$E$9</c:f>
              <c:numCache>
                <c:formatCode>General</c:formatCode>
                <c:ptCount val="4"/>
                <c:pt idx="0">
                  <c:v>1.9300000000000019</c:v>
                </c:pt>
                <c:pt idx="1">
                  <c:v>1.2</c:v>
                </c:pt>
                <c:pt idx="3">
                  <c:v>1.37</c:v>
                </c:pt>
              </c:numCache>
            </c:numRef>
          </c:val>
        </c:ser>
        <c:gapWidth val="340"/>
        <c:gapDepth val="0"/>
        <c:shape val="box"/>
        <c:axId val="177142400"/>
        <c:axId val="177213824"/>
        <c:axId val="0"/>
      </c:bar3DChart>
      <c:catAx>
        <c:axId val="177142400"/>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77213824"/>
        <c:crosses val="autoZero"/>
        <c:auto val="1"/>
        <c:lblAlgn val="ctr"/>
        <c:lblOffset val="100"/>
        <c:tickLblSkip val="1"/>
        <c:tickMarkSkip val="1"/>
      </c:catAx>
      <c:valAx>
        <c:axId val="177213824"/>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4.7892720306514626E-2"/>
              <c:y val="0.13586956521739141"/>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77142400"/>
        <c:crosses val="autoZero"/>
        <c:crossBetween val="between"/>
      </c:valAx>
      <c:spPr>
        <a:noFill/>
        <a:ln w="25399">
          <a:noFill/>
        </a:ln>
      </c:spPr>
    </c:plotArea>
    <c:legend>
      <c:legendPos val="r"/>
      <c:layout>
        <c:manualLayout>
          <c:xMode val="edge"/>
          <c:yMode val="edge"/>
          <c:x val="0.75862068965519036"/>
          <c:y val="0.30513245122710181"/>
          <c:w val="0.21167406705740729"/>
          <c:h val="0.19258922531590766"/>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col"/>
        <c:grouping val="clustered"/>
        <c:ser>
          <c:idx val="0"/>
          <c:order val="0"/>
          <c:spPr>
            <a:solidFill>
              <a:schemeClr val="accent1"/>
            </a:solidFill>
            <a:ln>
              <a:noFill/>
            </a:ln>
            <a:effectLst/>
          </c:spPr>
          <c:dLbls>
            <c:dLbl>
              <c:idx val="0"/>
              <c:layout>
                <c:manualLayout>
                  <c:x val="0"/>
                  <c:y val="1.044386422976516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3DA5-4F05-92D3-794845AF7F9C}"/>
                </c:ext>
              </c:extLst>
            </c:dLbl>
            <c:spPr>
              <a:noFill/>
              <a:ln>
                <a:noFill/>
              </a:ln>
              <a:effectLst/>
            </c:spPr>
            <c:txPr>
              <a:bodyPr rot="0" spcFirstLastPara="1" vertOverflow="ellipsis" vert="horz" wrap="square" lIns="38100" tIns="19050" rIns="38100" bIns="19050" anchor="ctr" anchorCtr="1">
                <a:spAutoFit/>
              </a:bodyPr>
              <a:lstStyle/>
              <a:p>
                <a:pPr>
                  <a:defRPr lang="en-US" sz="890" b="0" i="1" u="none" strike="noStrike" kern="1200" baseline="0">
                    <a:solidFill>
                      <a:schemeClr val="tx1">
                        <a:lumMod val="75000"/>
                        <a:lumOff val="25000"/>
                      </a:schemeClr>
                    </a:solidFill>
                    <a:latin typeface="+mn-lt"/>
                    <a:ea typeface="+mn-ea"/>
                    <a:cs typeface="+mn-cs"/>
                  </a:defRPr>
                </a:pPr>
                <a:endParaRPr lang="ro-RO"/>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Sheet4!$C$51:$C$56</c:f>
              <c:numCache>
                <c:formatCode>General</c:formatCode>
                <c:ptCount val="6"/>
                <c:pt idx="0">
                  <c:v>2011</c:v>
                </c:pt>
                <c:pt idx="1">
                  <c:v>2012</c:v>
                </c:pt>
                <c:pt idx="2">
                  <c:v>2013</c:v>
                </c:pt>
                <c:pt idx="3">
                  <c:v>2014</c:v>
                </c:pt>
                <c:pt idx="4">
                  <c:v>2015</c:v>
                </c:pt>
                <c:pt idx="5">
                  <c:v>2016</c:v>
                </c:pt>
              </c:numCache>
            </c:numRef>
          </c:cat>
          <c:val>
            <c:numRef>
              <c:f>Sheet4!$D$51:$D$56</c:f>
              <c:numCache>
                <c:formatCode>0</c:formatCode>
                <c:ptCount val="6"/>
                <c:pt idx="0">
                  <c:v>30301.838640000002</c:v>
                </c:pt>
                <c:pt idx="1">
                  <c:v>24612</c:v>
                </c:pt>
                <c:pt idx="2">
                  <c:v>35571</c:v>
                </c:pt>
                <c:pt idx="3">
                  <c:v>42083.710610402493</c:v>
                </c:pt>
                <c:pt idx="4">
                  <c:v>35151.034752000007</c:v>
                </c:pt>
                <c:pt idx="5">
                  <c:v>40268.286864000002</c:v>
                </c:pt>
              </c:numCache>
            </c:numRef>
          </c:val>
          <c:extLst xmlns:c16r2="http://schemas.microsoft.com/office/drawing/2015/06/chart">
            <c:ext xmlns:c16="http://schemas.microsoft.com/office/drawing/2014/chart" uri="{C3380CC4-5D6E-409C-BE32-E72D297353CC}">
              <c16:uniqueId val="{00000000-3DA5-4F05-92D3-794845AF7F9C}"/>
            </c:ext>
          </c:extLst>
        </c:ser>
        <c:dLbls>
          <c:showVal val="1"/>
        </c:dLbls>
        <c:gapWidth val="219"/>
        <c:overlap val="-27"/>
        <c:axId val="135602944"/>
        <c:axId val="135604480"/>
        <c:extLst xmlns:c16r2="http://schemas.microsoft.com/office/drawing/2015/06/chart">
          <c:ext xmlns:c15="http://schemas.microsoft.com/office/drawing/2012/chart" uri="{02D57815-91ED-43cb-92C2-25804820EDAC}">
            <c15:filteredBarSeries>
              <c15:ser>
                <c:idx val="1"/>
                <c:order val="1"/>
                <c:tx>
                  <c:v>media</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Sheet4!$E$51</c15:sqref>
                        </c15:formulaRef>
                      </c:ext>
                    </c:extLst>
                    <c:numCache>
                      <c:formatCode>0</c:formatCode>
                      <c:ptCount val="1"/>
                      <c:pt idx="0">
                        <c:v>33543.916800480496</c:v>
                      </c:pt>
                    </c:numCache>
                  </c:numRef>
                </c:val>
                <c:extLst>
                  <c:ext xmlns:c16="http://schemas.microsoft.com/office/drawing/2014/chart" uri="{C3380CC4-5D6E-409C-BE32-E72D297353CC}">
                    <c16:uniqueId val="{0000000D-3DA5-4F05-92D3-794845AF7F9C}"/>
                  </c:ext>
                </c:extLst>
              </c15:ser>
            </c15:filteredBarSeries>
            <c15:filteredBarSeries>
              <c15:ser>
                <c:idx val="2"/>
                <c:order val="2"/>
                <c:tx>
                  <c:v>media</c:v>
                </c:tx>
                <c:spPr>
                  <a:solidFill>
                    <a:schemeClr val="accent3"/>
                  </a:solidFill>
                  <a:ln>
                    <a:noFill/>
                  </a:ln>
                  <a:effectLst/>
                </c:spPr>
                <c:invertIfNegative val="0"/>
                <c:dLbls>
                  <c:delete val="1"/>
                </c:dLbls>
                <c:val>
                  <c:numRef>
                    <c:extLst xmlns:c15="http://schemas.microsoft.com/office/drawing/2012/chart">
                      <c:ext xmlns:c15="http://schemas.microsoft.com/office/drawing/2012/chart" uri="{02D57815-91ED-43cb-92C2-25804820EDAC}">
                        <c15:formulaRef>
                          <c15:sqref>Sheet4!$C$57:$D$57</c15:sqref>
                        </c15:formulaRef>
                      </c:ext>
                    </c:extLst>
                    <c:numCache>
                      <c:formatCode>0</c:formatCode>
                      <c:ptCount val="2"/>
                    </c:numCache>
                  </c:numRef>
                </c:val>
                <c:extLst xmlns:c15="http://schemas.microsoft.com/office/drawing/2012/chart">
                  <c:ext xmlns:c16="http://schemas.microsoft.com/office/drawing/2014/chart" uri="{C3380CC4-5D6E-409C-BE32-E72D297353CC}">
                    <c16:uniqueId val="{0000000F-3DA5-4F05-92D3-794845AF7F9C}"/>
                  </c:ext>
                </c:extLst>
              </c15:ser>
            </c15:filteredBarSeries>
          </c:ext>
        </c:extLst>
      </c:barChart>
      <c:lineChart>
        <c:grouping val="standard"/>
        <c:ser>
          <c:idx val="3"/>
          <c:order val="1"/>
          <c:tx>
            <c:v>media</c:v>
          </c:tx>
          <c:spPr>
            <a:ln w="28575" cap="rnd">
              <a:solidFill>
                <a:srgbClr val="FF0000"/>
              </a:solidFill>
              <a:round/>
            </a:ln>
            <a:effectLst/>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3DA5-4F05-92D3-794845AF7F9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3DA5-4F05-92D3-794845AF7F9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3DA5-4F05-92D3-794845AF7F9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3DA5-4F05-92D3-794845AF7F9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3DA5-4F05-92D3-794845AF7F9C}"/>
                </c:ext>
              </c:extLst>
            </c:dLbl>
            <c:dLbl>
              <c:idx val="5"/>
              <c:layout>
                <c:manualLayout>
                  <c:x val="-0.68492419383452363"/>
                  <c:y val="-3.7138410317733649E-2"/>
                </c:manualLayout>
              </c:layout>
              <c:tx>
                <c:rich>
                  <a:bodyPr rot="0" spcFirstLastPara="1" vertOverflow="ellipsis" vert="horz" wrap="square" lIns="38100" tIns="19050" rIns="38100" bIns="19050" anchor="ctr" anchorCtr="1">
                    <a:spAutoFit/>
                  </a:bodyPr>
                  <a:lstStyle/>
                  <a:p>
                    <a:pPr>
                      <a:defRPr lang="en-US" sz="900" b="0" i="1" u="none" strike="noStrike" kern="1200" baseline="0">
                        <a:solidFill>
                          <a:srgbClr val="FF0000"/>
                        </a:solidFill>
                        <a:latin typeface="+mn-lt"/>
                        <a:ea typeface="+mn-ea"/>
                        <a:cs typeface="+mn-cs"/>
                      </a:defRPr>
                    </a:pPr>
                    <a:r>
                      <a:rPr lang="en-US" i="1">
                        <a:solidFill>
                          <a:srgbClr val="FF0000"/>
                        </a:solidFill>
                      </a:rPr>
                      <a:t>media 2011-2015</a:t>
                    </a:r>
                  </a:p>
                </c:rich>
              </c:tx>
              <c:spPr>
                <a:noFill/>
                <a:ln>
                  <a:noFill/>
                </a:ln>
                <a:effectLst/>
              </c:sp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3DA5-4F05-92D3-794845AF7F9C}"/>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FF0000"/>
                    </a:solidFill>
                    <a:latin typeface="+mn-lt"/>
                    <a:ea typeface="+mn-ea"/>
                    <a:cs typeface="+mn-cs"/>
                  </a:defRPr>
                </a:pPr>
                <a:endParaRPr lang="ro-RO"/>
              </a:p>
            </c:txPr>
            <c:showVal val="1"/>
            <c:extLst xmlns:c16r2="http://schemas.microsoft.com/office/drawing/2015/06/chart">
              <c:ext xmlns:c15="http://schemas.microsoft.com/office/drawing/2012/chart" uri="{CE6537A1-D6FC-4f65-9D91-7224C49458BB}">
                <c15:showLeaderLines val="0"/>
              </c:ext>
            </c:extLst>
          </c:dLbls>
          <c:val>
            <c:numRef>
              <c:f>Sheet4!$E$51:$E$56</c:f>
              <c:numCache>
                <c:formatCode>0</c:formatCode>
                <c:ptCount val="6"/>
                <c:pt idx="0">
                  <c:v>33543.916800480612</c:v>
                </c:pt>
                <c:pt idx="1">
                  <c:v>33543.916800480612</c:v>
                </c:pt>
                <c:pt idx="2">
                  <c:v>33543.916800480612</c:v>
                </c:pt>
                <c:pt idx="3">
                  <c:v>33543.916800480612</c:v>
                </c:pt>
                <c:pt idx="4">
                  <c:v>33543.916800480612</c:v>
                </c:pt>
                <c:pt idx="5">
                  <c:v>33543.916800480612</c:v>
                </c:pt>
              </c:numCache>
            </c:numRef>
          </c:val>
          <c:extLst xmlns:c16r2="http://schemas.microsoft.com/office/drawing/2015/06/chart">
            <c:ext xmlns:c16="http://schemas.microsoft.com/office/drawing/2014/chart" uri="{C3380CC4-5D6E-409C-BE32-E72D297353CC}">
              <c16:uniqueId val="{00000018-3DA5-4F05-92D3-794845AF7F9C}"/>
            </c:ext>
          </c:extLst>
        </c:ser>
        <c:marker val="1"/>
        <c:axId val="135602944"/>
        <c:axId val="135604480"/>
      </c:lineChart>
      <c:catAx>
        <c:axId val="135602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ro-RO"/>
          </a:p>
        </c:txPr>
        <c:crossAx val="135604480"/>
        <c:crosses val="autoZero"/>
        <c:auto val="1"/>
        <c:lblAlgn val="ctr"/>
        <c:lblOffset val="100"/>
      </c:catAx>
      <c:valAx>
        <c:axId val="13560448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ro-RO"/>
          </a:p>
        </c:txPr>
        <c:crossAx val="135602944"/>
        <c:crosses val="autoZero"/>
        <c:crossBetween val="between"/>
      </c:valAx>
      <c:spPr>
        <a:solidFill>
          <a:schemeClr val="accent5">
            <a:lumMod val="40000"/>
            <a:lumOff val="60000"/>
          </a:schemeClr>
        </a:solid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a:latin typeface="Arial" pitchFamily="34" charset="0"/>
                <a:cs typeface="Arial" pitchFamily="34" charset="0"/>
              </a:rPr>
              <a:t>Figura nr.</a:t>
            </a:r>
            <a:r>
              <a:rPr lang="ro-RO" sz="1200" b="1" i="0" u="none" strike="noStrike" baseline="0">
                <a:latin typeface="Arial" pitchFamily="34" charset="0"/>
                <a:cs typeface="Arial" pitchFamily="34" charset="0"/>
              </a:rPr>
              <a:t> II.1.1.2 -1</a:t>
            </a:r>
            <a:r>
              <a:rPr lang="ro-RO" sz="1200" i="0">
                <a:latin typeface="Arial" pitchFamily="34" charset="0"/>
                <a:cs typeface="Arial" pitchFamily="34" charset="0"/>
              </a:rPr>
              <a:t> </a:t>
            </a:r>
            <a:r>
              <a:rPr lang="ro-RO" sz="1200" b="0">
                <a:latin typeface="Arial" pitchFamily="34" charset="0"/>
                <a:cs typeface="Arial" pitchFamily="34" charset="0"/>
              </a:rPr>
              <a:t>- Evoluţia indicelui de exploatare a apei (WEI)  la nivelul județului Brăila, în perioada anilor  2011 - 2015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Indice WEI %</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0.00%</c:formatCode>
                <c:ptCount val="5"/>
                <c:pt idx="0">
                  <c:v>1.9000000000000139E-3</c:v>
                </c:pt>
                <c:pt idx="1">
                  <c:v>3.0000000000000092E-3</c:v>
                </c:pt>
                <c:pt idx="2">
                  <c:v>3.900000000000018E-3</c:v>
                </c:pt>
                <c:pt idx="3">
                  <c:v>2.9000000000000002E-3</c:v>
                </c:pt>
                <c:pt idx="4">
                  <c:v>2.5000000000000092E-3</c:v>
                </c:pt>
              </c:numCache>
            </c:numRef>
          </c:val>
        </c:ser>
        <c:ser>
          <c:idx val="1"/>
          <c:order val="1"/>
          <c:tx>
            <c:strRef>
              <c:f>Sheet1!$C$1</c:f>
              <c:strCache>
                <c:ptCount val="1"/>
                <c:pt idx="0">
                  <c:v>Column1</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numCache>
            </c:numRef>
          </c:val>
        </c:ser>
        <c:ser>
          <c:idx val="2"/>
          <c:order val="2"/>
          <c:tx>
            <c:strRef>
              <c:f>Sheet1!$D$1</c:f>
              <c:strCache>
                <c:ptCount val="1"/>
                <c:pt idx="0">
                  <c:v>Column2</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numCache>
            </c:numRef>
          </c:val>
        </c:ser>
        <c:axId val="135217920"/>
        <c:axId val="135219456"/>
      </c:barChart>
      <c:catAx>
        <c:axId val="135217920"/>
        <c:scaling>
          <c:orientation val="minMax"/>
        </c:scaling>
        <c:axPos val="b"/>
        <c:numFmt formatCode="General" sourceLinked="1"/>
        <c:tickLblPos val="nextTo"/>
        <c:crossAx val="135219456"/>
        <c:crosses val="autoZero"/>
        <c:auto val="1"/>
        <c:lblAlgn val="ctr"/>
        <c:lblOffset val="100"/>
      </c:catAx>
      <c:valAx>
        <c:axId val="135219456"/>
        <c:scaling>
          <c:orientation val="minMax"/>
        </c:scaling>
        <c:axPos val="l"/>
        <c:minorGridlines/>
        <c:numFmt formatCode="0.00%" sourceLinked="1"/>
        <c:tickLblPos val="nextTo"/>
        <c:crossAx val="135217920"/>
        <c:crosses val="autoZero"/>
        <c:crossBetween val="between"/>
      </c:valAx>
    </c:plotArea>
    <c:legend>
      <c:legendPos val="r"/>
      <c:legendEntry>
        <c:idx val="1"/>
        <c:delete val="1"/>
      </c:legendEntry>
      <c:legendEntry>
        <c:idx val="2"/>
        <c:delete val="1"/>
      </c:legendEntry>
    </c:legend>
    <c:plotVisOnly val="1"/>
  </c:chart>
  <c:spPr>
    <a:solidFill>
      <a:schemeClr val="accent5">
        <a:lumMod val="20000"/>
        <a:lumOff val="80000"/>
      </a:schemeClr>
    </a:solidFill>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100" b="1">
                <a:latin typeface="Arial" pitchFamily="34" charset="0"/>
                <a:cs typeface="Arial" pitchFamily="34" charset="0"/>
              </a:rPr>
              <a:t>Figura nr. II.1.1.2</a:t>
            </a:r>
            <a:r>
              <a:rPr lang="ro-RO" sz="1100" b="1" i="1">
                <a:latin typeface="Arial" pitchFamily="34" charset="0"/>
                <a:cs typeface="Arial" pitchFamily="34" charset="0"/>
              </a:rPr>
              <a:t> </a:t>
            </a:r>
            <a:r>
              <a:rPr lang="ro-RO" sz="1100" b="1">
                <a:latin typeface="Arial" pitchFamily="34" charset="0"/>
                <a:cs typeface="Arial" pitchFamily="34" charset="0"/>
              </a:rPr>
              <a:t>– 2</a:t>
            </a:r>
            <a:endParaRPr lang="ro-RO" sz="11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vi-VN" sz="1200" b="0">
                <a:latin typeface="Arial" pitchFamily="34" charset="0"/>
                <a:cs typeface="Arial" pitchFamily="34" charset="0"/>
              </a:rPr>
              <a:t>Cerinţele şi prelevările de apă la nivelul județului Brăila, în anul 201</a:t>
            </a:r>
            <a:r>
              <a:rPr lang="ro-RO" sz="1200" b="0">
                <a:latin typeface="Arial" pitchFamily="34" charset="0"/>
                <a:cs typeface="Arial" pitchFamily="34" charset="0"/>
              </a:rPr>
              <a:t>5</a:t>
            </a:r>
            <a:r>
              <a:rPr lang="vi-VN" sz="1200" b="0">
                <a:latin typeface="Arial" pitchFamily="34" charset="0"/>
                <a:cs typeface="Arial" pitchFamily="34" charset="0"/>
              </a:rPr>
              <a:t> ( mii m3   )</a:t>
            </a:r>
          </a:p>
        </c:rich>
      </c:tx>
    </c:title>
    <c:view3D>
      <c:rotX val="30"/>
      <c:perspective val="30"/>
    </c:view3D>
    <c:plotArea>
      <c:layout/>
      <c:pie3DChart>
        <c:varyColors val="1"/>
        <c:ser>
          <c:idx val="0"/>
          <c:order val="0"/>
          <c:tx>
            <c:strRef>
              <c:f>Sheet1!$B$1</c:f>
              <c:strCache>
                <c:ptCount val="1"/>
                <c:pt idx="0">
                  <c:v>Cerinţele şi prelevările de apă la nivelul județului Brăila, în anul 2014 ( mii m3   )</c:v>
                </c:pt>
              </c:strCache>
            </c:strRef>
          </c:tx>
          <c:explosion val="25"/>
          <c:cat>
            <c:strRef>
              <c:f>Sheet1!$A$2:$A$5</c:f>
              <c:strCache>
                <c:ptCount val="2"/>
                <c:pt idx="0">
                  <c:v>Total Prelevat</c:v>
                </c:pt>
                <c:pt idx="1">
                  <c:v>Total cerință</c:v>
                </c:pt>
              </c:strCache>
            </c:strRef>
          </c:cat>
          <c:val>
            <c:numRef>
              <c:f>Sheet1!$B$2:$B$5</c:f>
              <c:numCache>
                <c:formatCode>General</c:formatCode>
                <c:ptCount val="4"/>
                <c:pt idx="0">
                  <c:v>143859.29999999999</c:v>
                </c:pt>
                <c:pt idx="1">
                  <c:v>176304.18</c:v>
                </c:pt>
              </c:numCache>
            </c:numRef>
          </c:val>
        </c:ser>
      </c:pie3DChart>
    </c:plotArea>
    <c:legend>
      <c:legendPos val="r"/>
      <c:legendEntry>
        <c:idx val="2"/>
        <c:delete val="1"/>
      </c:legendEntry>
      <c:legendEntry>
        <c:idx val="3"/>
        <c:delete val="1"/>
      </c:legendEntry>
    </c:legend>
    <c:plotVisOnly val="1"/>
  </c:chart>
  <c:spPr>
    <a:solidFill>
      <a:schemeClr val="accent5">
        <a:lumMod val="20000"/>
        <a:lumOff val="80000"/>
      </a:schemeClr>
    </a:solidFill>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o-RO"/>
  <c:style val="47"/>
  <c:chart>
    <c:autoTitleDeleted val="1"/>
    <c:plotArea>
      <c:layout>
        <c:manualLayout>
          <c:layoutTarget val="inner"/>
          <c:xMode val="edge"/>
          <c:yMode val="edge"/>
          <c:x val="0.21926244556214047"/>
          <c:y val="5.0519044134685172E-2"/>
          <c:w val="0.74596204565623458"/>
          <c:h val="0.79673682281057157"/>
        </c:manualLayout>
      </c:layout>
      <c:lineChart>
        <c:grouping val="standard"/>
        <c:ser>
          <c:idx val="1"/>
          <c:order val="0"/>
          <c:cat>
            <c:numRef>
              <c:f>total!$K$59:$M$59</c:f>
              <c:numCache>
                <c:formatCode>0</c:formatCode>
                <c:ptCount val="3"/>
                <c:pt idx="0" formatCode="General">
                  <c:v>2015</c:v>
                </c:pt>
                <c:pt idx="1">
                  <c:v>2020</c:v>
                </c:pt>
                <c:pt idx="2" formatCode="General">
                  <c:v>2030</c:v>
                </c:pt>
              </c:numCache>
            </c:numRef>
          </c:cat>
          <c:val>
            <c:numRef>
              <c:f>total!$K$60:$M$60</c:f>
              <c:numCache>
                <c:formatCode>#,##0</c:formatCode>
                <c:ptCount val="3"/>
                <c:pt idx="0">
                  <c:v>10053</c:v>
                </c:pt>
                <c:pt idx="1">
                  <c:v>10304</c:v>
                </c:pt>
                <c:pt idx="2">
                  <c:v>12282</c:v>
                </c:pt>
              </c:numCache>
            </c:numRef>
          </c:val>
        </c:ser>
        <c:marker val="1"/>
        <c:axId val="135699072"/>
        <c:axId val="135717632"/>
      </c:lineChart>
      <c:catAx>
        <c:axId val="135699072"/>
        <c:scaling>
          <c:orientation val="minMax"/>
        </c:scaling>
        <c:axPos val="b"/>
        <c:title>
          <c:tx>
            <c:rich>
              <a:bodyPr/>
              <a:lstStyle/>
              <a:p>
                <a:pPr>
                  <a:defRPr lang="en-US"/>
                </a:pPr>
                <a:r>
                  <a:rPr lang="en-US"/>
                  <a:t>Orizontul de prognoza</a:t>
                </a:r>
                <a:endParaRPr lang="ro-RO"/>
              </a:p>
            </c:rich>
          </c:tx>
        </c:title>
        <c:numFmt formatCode="General" sourceLinked="1"/>
        <c:majorTickMark val="none"/>
        <c:tickLblPos val="nextTo"/>
        <c:txPr>
          <a:bodyPr/>
          <a:lstStyle/>
          <a:p>
            <a:pPr>
              <a:defRPr lang="en-US"/>
            </a:pPr>
            <a:endParaRPr lang="ro-RO"/>
          </a:p>
        </c:txPr>
        <c:crossAx val="135717632"/>
        <c:crosses val="autoZero"/>
        <c:auto val="1"/>
        <c:lblAlgn val="ctr"/>
        <c:lblOffset val="100"/>
      </c:catAx>
      <c:valAx>
        <c:axId val="135717632"/>
        <c:scaling>
          <c:orientation val="minMax"/>
          <c:min val="6000"/>
        </c:scaling>
        <c:axPos val="l"/>
        <c:majorGridlines/>
        <c:title>
          <c:tx>
            <c:rich>
              <a:bodyPr/>
              <a:lstStyle/>
              <a:p>
                <a:pPr>
                  <a:defRPr lang="en-US"/>
                </a:pPr>
                <a:r>
                  <a:rPr lang="en-US"/>
                  <a:t>Cerinta de apa totala (mil.mc)</a:t>
                </a:r>
                <a:endParaRPr lang="ro-RO"/>
              </a:p>
            </c:rich>
          </c:tx>
          <c:layout>
            <c:manualLayout>
              <c:xMode val="edge"/>
              <c:yMode val="edge"/>
              <c:x val="2.2222222222222292E-2"/>
              <c:y val="0.30882370273664778"/>
            </c:manualLayout>
          </c:layout>
        </c:title>
        <c:numFmt formatCode="#,##0" sourceLinked="1"/>
        <c:tickLblPos val="nextTo"/>
        <c:txPr>
          <a:bodyPr/>
          <a:lstStyle/>
          <a:p>
            <a:pPr>
              <a:defRPr lang="en-US"/>
            </a:pPr>
            <a:endParaRPr lang="ro-RO"/>
          </a:p>
        </c:txPr>
        <c:crossAx val="135699072"/>
        <c:crosses val="autoZero"/>
        <c:crossBetween val="between"/>
        <c:minorUnit val="2000"/>
      </c:valAx>
      <c:spPr>
        <a:solidFill>
          <a:srgbClr val="FFFFCC"/>
        </a:solidFill>
      </c:spPr>
    </c:plotArea>
    <c:plotVisOnly val="1"/>
    <c:dispBlanksAs val="gap"/>
  </c:chart>
  <c:spPr>
    <a:solidFill>
      <a:schemeClr val="accent1">
        <a:lumMod val="50000"/>
      </a:schemeClr>
    </a:solidFill>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bar"/>
        <c:grouping val="stacked"/>
        <c:ser>
          <c:idx val="0"/>
          <c:order val="0"/>
          <c:tx>
            <c:strRef>
              <c:f>Sheet1!$A$4</c:f>
              <c:strCache>
                <c:ptCount val="1"/>
                <c:pt idx="0">
                  <c:v>Stare ecologică bună/potential ecologic bun (km)</c:v>
                </c:pt>
              </c:strCache>
            </c:strRef>
          </c:tx>
          <c:spPr>
            <a:solidFill>
              <a:srgbClr val="92D050"/>
            </a:solidFill>
            <a:ln>
              <a:noFill/>
            </a:ln>
            <a:effectLst/>
          </c:spPr>
          <c:cat>
            <c:strRef>
              <c:f>Sheet1!$B$2:$L$3</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Sheet1!$B$4:$L$4</c:f>
              <c:numCache>
                <c:formatCode>0.0</c:formatCode>
                <c:ptCount val="11"/>
                <c:pt idx="0">
                  <c:v>2709</c:v>
                </c:pt>
                <c:pt idx="1">
                  <c:v>1298.1699999999998</c:v>
                </c:pt>
                <c:pt idx="2">
                  <c:v>3379.24</c:v>
                </c:pt>
                <c:pt idx="3">
                  <c:v>1982.95</c:v>
                </c:pt>
                <c:pt idx="4">
                  <c:v>2718.59</c:v>
                </c:pt>
                <c:pt idx="5">
                  <c:v>2391.5</c:v>
                </c:pt>
                <c:pt idx="6">
                  <c:v>1070.98</c:v>
                </c:pt>
                <c:pt idx="7">
                  <c:v>1140.2</c:v>
                </c:pt>
                <c:pt idx="8">
                  <c:v>1045.8899999999999</c:v>
                </c:pt>
                <c:pt idx="9">
                  <c:v>4491.72</c:v>
                </c:pt>
                <c:pt idx="10">
                  <c:v>807.5</c:v>
                </c:pt>
              </c:numCache>
            </c:numRef>
          </c:val>
        </c:ser>
        <c:ser>
          <c:idx val="1"/>
          <c:order val="1"/>
          <c:tx>
            <c:strRef>
              <c:f>Sheet1!$A$5</c:f>
              <c:strCache>
                <c:ptCount val="1"/>
                <c:pt idx="0">
                  <c:v>Stare ecologică inferioară stării bune (km)</c:v>
                </c:pt>
              </c:strCache>
            </c:strRef>
          </c:tx>
          <c:spPr>
            <a:solidFill>
              <a:schemeClr val="bg1">
                <a:lumMod val="75000"/>
              </a:schemeClr>
            </a:solidFill>
            <a:ln>
              <a:noFill/>
            </a:ln>
            <a:effectLst/>
          </c:spPr>
          <c:cat>
            <c:strRef>
              <c:f>Sheet1!$B$2:$L$3</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Sheet1!$B$5:$L$5</c:f>
              <c:numCache>
                <c:formatCode>0.0</c:formatCode>
                <c:ptCount val="11"/>
                <c:pt idx="0">
                  <c:v>1858.12</c:v>
                </c:pt>
                <c:pt idx="1">
                  <c:v>773.41</c:v>
                </c:pt>
                <c:pt idx="2">
                  <c:v>1409.54</c:v>
                </c:pt>
                <c:pt idx="3">
                  <c:v>875.31999999999948</c:v>
                </c:pt>
                <c:pt idx="4">
                  <c:v>842.1</c:v>
                </c:pt>
                <c:pt idx="5">
                  <c:v>1238</c:v>
                </c:pt>
                <c:pt idx="6">
                  <c:v>2631.2799999999997</c:v>
                </c:pt>
                <c:pt idx="7">
                  <c:v>1166.5999999999999</c:v>
                </c:pt>
                <c:pt idx="8">
                  <c:v>2445.48</c:v>
                </c:pt>
                <c:pt idx="9">
                  <c:v>1155.0899999999999</c:v>
                </c:pt>
                <c:pt idx="10">
                  <c:v>181</c:v>
                </c:pt>
              </c:numCache>
            </c:numRef>
          </c:val>
        </c:ser>
        <c:overlap val="100"/>
        <c:axId val="135746304"/>
        <c:axId val="135748224"/>
      </c:barChart>
      <c:catAx>
        <c:axId val="135746304"/>
        <c:scaling>
          <c:orientation val="minMax"/>
        </c:scaling>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Bazine/spatii hidrografice</a:t>
                </a:r>
                <a:endParaRPr lang="ro-RO">
                  <a:solidFill>
                    <a:schemeClr val="tx1"/>
                  </a:solidFill>
                </a:endParaRPr>
              </a:p>
            </c:rich>
          </c:tx>
          <c:layout>
            <c:manualLayout>
              <c:xMode val="edge"/>
              <c:yMode val="edge"/>
              <c:x val="0.15461573442473894"/>
              <c:y val="0.23116674207247762"/>
            </c:manualLayout>
          </c:layout>
          <c:spPr>
            <a:noFill/>
            <a:ln>
              <a:solidFill>
                <a:schemeClr val="tx1"/>
              </a:solid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crossAx val="135748224"/>
        <c:crosses val="autoZero"/>
        <c:auto val="1"/>
        <c:lblAlgn val="ctr"/>
        <c:lblOffset val="100"/>
      </c:catAx>
      <c:valAx>
        <c:axId val="135748224"/>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ro-RO"/>
          </a:p>
        </c:txPr>
        <c:crossAx val="135746304"/>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ro-RO"/>
          </a:p>
        </c:txPr>
      </c:dTable>
      <c:spPr>
        <a:noFill/>
        <a:ln>
          <a:noFill/>
        </a:ln>
        <a:effectLst/>
      </c:spPr>
    </c:plotArea>
    <c:plotVisOnly val="1"/>
    <c:dispBlanksAs val="gap"/>
  </c:chart>
  <c:spPr>
    <a:solidFill>
      <a:schemeClr val="accent3">
        <a:lumMod val="40000"/>
        <a:lumOff val="60000"/>
      </a:schemeClr>
    </a:solidFill>
    <a:ln w="9525" cap="flat" cmpd="sng" algn="ctr">
      <a:solidFill>
        <a:schemeClr val="tx1"/>
      </a:solidFill>
      <a:round/>
    </a:ln>
    <a:effectLst/>
  </c:spPr>
  <c:txPr>
    <a:bodyPr/>
    <a:lstStyle/>
    <a:p>
      <a:pPr>
        <a:defRPr/>
      </a:pPr>
      <a:endParaRPr lang="ro-RO"/>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bar"/>
        <c:grouping val="percentStacked"/>
        <c:ser>
          <c:idx val="0"/>
          <c:order val="0"/>
          <c:tx>
            <c:strRef>
              <c:f>Sheet1!$A$8</c:f>
              <c:strCache>
                <c:ptCount val="1"/>
                <c:pt idx="0">
                  <c:v>Stare ecologică bună/potential ecologic bun (%)</c:v>
                </c:pt>
              </c:strCache>
            </c:strRef>
          </c:tx>
          <c:spPr>
            <a:solidFill>
              <a:srgbClr val="92D050"/>
            </a:solidFill>
            <a:ln>
              <a:noFill/>
            </a:ln>
            <a:effectLst/>
          </c:spPr>
          <c:cat>
            <c:strRef>
              <c:f>Sheet1!$B$7:$L$7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Sheet1!$B$8:$L$8</c:f>
              <c:numCache>
                <c:formatCode>0.00</c:formatCode>
                <c:ptCount val="11"/>
                <c:pt idx="0">
                  <c:v>59.315279651071094</c:v>
                </c:pt>
                <c:pt idx="1">
                  <c:v>62.665694783691436</c:v>
                </c:pt>
                <c:pt idx="2">
                  <c:v>70.565780846060207</c:v>
                </c:pt>
                <c:pt idx="3">
                  <c:v>69.37588121485976</c:v>
                </c:pt>
                <c:pt idx="4">
                  <c:v>76.350089448955117</c:v>
                </c:pt>
                <c:pt idx="5">
                  <c:v>65.890618542498558</c:v>
                </c:pt>
                <c:pt idx="6">
                  <c:v>28.927736031504843</c:v>
                </c:pt>
                <c:pt idx="7">
                  <c:v>49.427778741113229</c:v>
                </c:pt>
                <c:pt idx="8">
                  <c:v>29.956435439383259</c:v>
                </c:pt>
                <c:pt idx="9">
                  <c:v>79.544379924240943</c:v>
                </c:pt>
                <c:pt idx="10">
                  <c:v>81.689428426909458</c:v>
                </c:pt>
              </c:numCache>
            </c:numRef>
          </c:val>
        </c:ser>
        <c:ser>
          <c:idx val="1"/>
          <c:order val="1"/>
          <c:tx>
            <c:strRef>
              <c:f>Sheet1!$A$9</c:f>
              <c:strCache>
                <c:ptCount val="1"/>
                <c:pt idx="0">
                  <c:v>Stare ecologică inferioară stării bune (%)</c:v>
                </c:pt>
              </c:strCache>
            </c:strRef>
          </c:tx>
          <c:spPr>
            <a:solidFill>
              <a:schemeClr val="bg1">
                <a:lumMod val="75000"/>
              </a:schemeClr>
            </a:solidFill>
            <a:ln>
              <a:noFill/>
            </a:ln>
            <a:effectLst/>
          </c:spPr>
          <c:cat>
            <c:strRef>
              <c:f>Sheet1!$B$7:$L$7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Sheet1!$B$9:$L$9</c:f>
              <c:numCache>
                <c:formatCode>0.00</c:formatCode>
                <c:ptCount val="11"/>
                <c:pt idx="0">
                  <c:v>40.684720348929254</c:v>
                </c:pt>
                <c:pt idx="1">
                  <c:v>37.334305216308323</c:v>
                </c:pt>
                <c:pt idx="2">
                  <c:v>29.434219153938987</c:v>
                </c:pt>
                <c:pt idx="3">
                  <c:v>30.624118785139267</c:v>
                </c:pt>
                <c:pt idx="4">
                  <c:v>23.64991055104489</c:v>
                </c:pt>
                <c:pt idx="5">
                  <c:v>34.109381457500994</c:v>
                </c:pt>
                <c:pt idx="6">
                  <c:v>71.072263968494909</c:v>
                </c:pt>
                <c:pt idx="7">
                  <c:v>50.572221258886756</c:v>
                </c:pt>
                <c:pt idx="8">
                  <c:v>70.043564560617227</c:v>
                </c:pt>
                <c:pt idx="9">
                  <c:v>20.455620075759423</c:v>
                </c:pt>
                <c:pt idx="10">
                  <c:v>18.310571573090545</c:v>
                </c:pt>
              </c:numCache>
            </c:numRef>
          </c:val>
        </c:ser>
        <c:overlap val="100"/>
        <c:axId val="135766016"/>
        <c:axId val="135767936"/>
      </c:barChart>
      <c:catAx>
        <c:axId val="135766016"/>
        <c:scaling>
          <c:orientation val="minMax"/>
        </c:scaling>
        <c:axPos val="l"/>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a:ln>
                      <a:noFill/>
                    </a:ln>
                    <a:solidFill>
                      <a:schemeClr val="tx1"/>
                    </a:solidFill>
                  </a:rPr>
                  <a:t>Bazine/Spatii hidrografice</a:t>
                </a:r>
                <a:endParaRPr lang="ro-RO">
                  <a:ln>
                    <a:noFill/>
                  </a:ln>
                  <a:solidFill>
                    <a:schemeClr val="tx1"/>
                  </a:solidFill>
                </a:endParaRPr>
              </a:p>
            </c:rich>
          </c:tx>
          <c:layout>
            <c:manualLayout>
              <c:xMode val="edge"/>
              <c:yMode val="edge"/>
              <c:x val="0.15677170405014321"/>
              <c:y val="9.664328723615398E-2"/>
            </c:manualLayout>
          </c:layout>
          <c:spPr>
            <a:noFill/>
            <a:ln>
              <a:solidFill>
                <a:schemeClr val="tx1"/>
              </a:solidFill>
            </a:ln>
            <a:effectLst/>
          </c:spPr>
        </c:title>
        <c:numFmt formatCode="General" sourceLinked="1"/>
        <c:maj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crossAx val="135767936"/>
        <c:crosses val="autoZero"/>
        <c:auto val="1"/>
        <c:lblAlgn val="ctr"/>
        <c:lblOffset val="100"/>
      </c:catAx>
      <c:valAx>
        <c:axId val="13576793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crossAx val="135766016"/>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ro-RO"/>
          </a:p>
        </c:txPr>
      </c:dTable>
      <c:spPr>
        <a:noFill/>
        <a:ln>
          <a:noFill/>
        </a:ln>
        <a:effectLst/>
      </c:spPr>
    </c:plotArea>
    <c:plotVisOnly val="1"/>
    <c:dispBlanksAs val="gap"/>
  </c:chart>
  <c:spPr>
    <a:solidFill>
      <a:schemeClr val="accent6">
        <a:lumMod val="20000"/>
        <a:lumOff val="80000"/>
      </a:schemeClr>
    </a:solidFill>
    <a:ln w="9525" cap="flat" cmpd="sng" algn="ctr">
      <a:solidFill>
        <a:schemeClr val="tx1"/>
      </a:solidFill>
      <a:round/>
    </a:ln>
    <a:effectLst/>
  </c:spPr>
  <c:txPr>
    <a:bodyPr/>
    <a:lstStyle/>
    <a:p>
      <a:pPr>
        <a:defRPr/>
      </a:pPr>
      <a:endParaRPr lang="ro-RO"/>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bar"/>
        <c:grouping val="stacked"/>
        <c:ser>
          <c:idx val="0"/>
          <c:order val="0"/>
          <c:tx>
            <c:strRef>
              <c:f>'Subst.prior. supraf. lacuri'!$C$2</c:f>
              <c:strCache>
                <c:ptCount val="1"/>
                <c:pt idx="0">
                  <c:v>Metale prioritare (nr)</c:v>
                </c:pt>
              </c:strCache>
            </c:strRef>
          </c:tx>
          <c:spPr>
            <a:solidFill>
              <a:schemeClr val="accent1"/>
            </a:solidFill>
            <a:ln>
              <a:noFill/>
            </a:ln>
            <a:effectLst/>
          </c:spPr>
          <c:cat>
            <c:strRef>
              <c:f>'Subst.prior. supraf. lacuri'!$A$3:$A$14</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'Subst.prior. supraf. lacuri'!$C$3:$C$14</c:f>
              <c:numCache>
                <c:formatCode>General</c:formatCode>
                <c:ptCount val="11"/>
                <c:pt idx="0">
                  <c:v>4</c:v>
                </c:pt>
                <c:pt idx="1">
                  <c:v>0</c:v>
                </c:pt>
                <c:pt idx="2">
                  <c:v>0</c:v>
                </c:pt>
                <c:pt idx="3">
                  <c:v>4</c:v>
                </c:pt>
                <c:pt idx="4">
                  <c:v>4</c:v>
                </c:pt>
                <c:pt idx="5">
                  <c:v>4</c:v>
                </c:pt>
                <c:pt idx="6">
                  <c:v>3</c:v>
                </c:pt>
                <c:pt idx="7">
                  <c:v>4</c:v>
                </c:pt>
                <c:pt idx="8">
                  <c:v>4</c:v>
                </c:pt>
                <c:pt idx="9">
                  <c:v>4</c:v>
                </c:pt>
                <c:pt idx="10">
                  <c:v>3</c:v>
                </c:pt>
              </c:numCache>
            </c:numRef>
          </c:val>
        </c:ser>
        <c:ser>
          <c:idx val="1"/>
          <c:order val="1"/>
          <c:tx>
            <c:strRef>
              <c:f>'Subst.prior. supraf. lacuri'!$D$2</c:f>
              <c:strCache>
                <c:ptCount val="1"/>
                <c:pt idx="0">
                  <c:v>Micropoluanți organici (nr)</c:v>
                </c:pt>
              </c:strCache>
            </c:strRef>
          </c:tx>
          <c:spPr>
            <a:solidFill>
              <a:schemeClr val="accent2"/>
            </a:solidFill>
            <a:ln>
              <a:noFill/>
            </a:ln>
            <a:effectLst/>
          </c:spPr>
          <c:cat>
            <c:strRef>
              <c:f>'Subst.prior. supraf. lacuri'!$A$3:$A$14</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'Subst.prior. supraf. lacuri'!$D$3:$D$14</c:f>
              <c:numCache>
                <c:formatCode>General</c:formatCode>
                <c:ptCount val="11"/>
                <c:pt idx="0">
                  <c:v>22</c:v>
                </c:pt>
                <c:pt idx="1">
                  <c:v>0</c:v>
                </c:pt>
                <c:pt idx="2">
                  <c:v>20</c:v>
                </c:pt>
                <c:pt idx="3">
                  <c:v>6</c:v>
                </c:pt>
                <c:pt idx="4">
                  <c:v>35</c:v>
                </c:pt>
                <c:pt idx="5">
                  <c:v>26</c:v>
                </c:pt>
                <c:pt idx="6">
                  <c:v>18</c:v>
                </c:pt>
                <c:pt idx="7">
                  <c:v>13</c:v>
                </c:pt>
                <c:pt idx="8">
                  <c:v>35</c:v>
                </c:pt>
                <c:pt idx="9">
                  <c:v>37</c:v>
                </c:pt>
                <c:pt idx="10">
                  <c:v>11</c:v>
                </c:pt>
              </c:numCache>
            </c:numRef>
          </c:val>
        </c:ser>
        <c:overlap val="100"/>
        <c:axId val="135789568"/>
        <c:axId val="135791744"/>
      </c:barChart>
      <c:catAx>
        <c:axId val="135789568"/>
        <c:scaling>
          <c:orientation val="minMax"/>
        </c:scaling>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Bazine/spatii</a:t>
                </a:r>
                <a:r>
                  <a:rPr lang="en-US" baseline="0"/>
                  <a:t> hidrografice</a:t>
                </a:r>
                <a:endParaRPr lang="ro-RO"/>
              </a:p>
            </c:rich>
          </c:tx>
          <c:spPr>
            <a:noFill/>
            <a:ln>
              <a:noFill/>
            </a:ln>
            <a:effectLst/>
          </c:spPr>
        </c:title>
        <c:numFmt formatCode="General" sourceLinked="1"/>
        <c:maj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o-RO"/>
          </a:p>
        </c:txPr>
        <c:crossAx val="135791744"/>
        <c:crosses val="autoZero"/>
        <c:auto val="1"/>
        <c:lblAlgn val="ctr"/>
        <c:lblOffset val="100"/>
      </c:catAx>
      <c:valAx>
        <c:axId val="1357917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35789568"/>
        <c:crosses val="autoZero"/>
        <c:crossBetween val="between"/>
      </c:valAx>
      <c:dTable>
        <c:showHorzBorder val="1"/>
        <c:showVertBorder val="1"/>
        <c:showOutline val="1"/>
        <c:showKeys val="1"/>
        <c:spPr>
          <a:noFill/>
          <a:ln w="9525" cap="flat" cmpd="sng" algn="ctr">
            <a:solidFill>
              <a:sysClr val="windowText" lastClr="000000"/>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ro-RO"/>
          </a:p>
        </c:txPr>
      </c:dTable>
      <c:spPr>
        <a:noFill/>
        <a:ln>
          <a:noFill/>
        </a:ln>
        <a:effectLst/>
      </c:spPr>
    </c:plotArea>
    <c:plotVisOnly val="1"/>
    <c:dispBlanksAs val="gap"/>
  </c:chart>
  <c:spPr>
    <a:solidFill>
      <a:srgbClr val="00B0F0"/>
    </a:solidFill>
    <a:ln w="9525" cap="flat" cmpd="sng" algn="ctr">
      <a:solidFill>
        <a:sysClr val="windowText" lastClr="000000"/>
      </a:solidFill>
      <a:round/>
    </a:ln>
    <a:effectLst/>
  </c:spPr>
  <c:txPr>
    <a:bodyPr/>
    <a:lstStyle/>
    <a:p>
      <a:pPr>
        <a:defRPr/>
      </a:pPr>
      <a:endParaRPr lang="ro-RO"/>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barChart>
        <c:barDir val="col"/>
        <c:grouping val="clustered"/>
        <c:ser>
          <c:idx val="0"/>
          <c:order val="0"/>
          <c:tx>
            <c:strRef>
              <c:f>Sheet3!$A$25:$B$25</c:f>
              <c:strCache>
                <c:ptCount val="2"/>
                <c:pt idx="0">
                  <c:v> Puncte de  monitorizare fără depăşiri ale conc. 50 mg NO₃/L (%)</c:v>
                </c:pt>
              </c:strCache>
            </c:strRef>
          </c:tx>
          <c:spPr>
            <a:solidFill>
              <a:schemeClr val="accent1"/>
            </a:solidFill>
            <a:ln>
              <a:noFill/>
            </a:ln>
            <a:effectLst/>
          </c:spPr>
          <c:cat>
            <c:numRef>
              <c:f>Sheet3!$C$24:$I$24</c:f>
              <c:numCache>
                <c:formatCode>General</c:formatCode>
                <c:ptCount val="7"/>
                <c:pt idx="0">
                  <c:v>2010</c:v>
                </c:pt>
                <c:pt idx="1">
                  <c:v>2011</c:v>
                </c:pt>
                <c:pt idx="2">
                  <c:v>2012</c:v>
                </c:pt>
                <c:pt idx="3">
                  <c:v>2013</c:v>
                </c:pt>
                <c:pt idx="4">
                  <c:v>2014</c:v>
                </c:pt>
                <c:pt idx="5">
                  <c:v>2015</c:v>
                </c:pt>
                <c:pt idx="6">
                  <c:v>2016</c:v>
                </c:pt>
              </c:numCache>
            </c:numRef>
          </c:cat>
          <c:val>
            <c:numRef>
              <c:f>Sheet3!$C$25:$I$25</c:f>
              <c:numCache>
                <c:formatCode>0.00</c:formatCode>
                <c:ptCount val="7"/>
                <c:pt idx="0">
                  <c:v>89.454322501532801</c:v>
                </c:pt>
                <c:pt idx="1">
                  <c:v>87.442922374429159</c:v>
                </c:pt>
                <c:pt idx="2">
                  <c:v>86.151491966335115</c:v>
                </c:pt>
                <c:pt idx="3">
                  <c:v>85.444531864673493</c:v>
                </c:pt>
                <c:pt idx="4">
                  <c:v>86.646433990895304</c:v>
                </c:pt>
                <c:pt idx="5">
                  <c:v>85.496183206106863</c:v>
                </c:pt>
                <c:pt idx="6">
                  <c:v>86.277084701248057</c:v>
                </c:pt>
              </c:numCache>
            </c:numRef>
          </c:val>
        </c:ser>
        <c:ser>
          <c:idx val="1"/>
          <c:order val="1"/>
          <c:tx>
            <c:strRef>
              <c:f>Sheet3!$A$26:$B$26</c:f>
              <c:strCache>
                <c:ptCount val="2"/>
                <c:pt idx="0">
                  <c:v>Depășiri ale conc. 50 mg NO₃/L (%)</c:v>
                </c:pt>
              </c:strCache>
            </c:strRef>
          </c:tx>
          <c:spPr>
            <a:solidFill>
              <a:schemeClr val="bg1">
                <a:lumMod val="75000"/>
              </a:schemeClr>
            </a:solidFill>
            <a:ln>
              <a:noFill/>
            </a:ln>
            <a:effectLst/>
          </c:spPr>
          <c:cat>
            <c:numRef>
              <c:f>Sheet3!$C$24:$I$24</c:f>
              <c:numCache>
                <c:formatCode>General</c:formatCode>
                <c:ptCount val="7"/>
                <c:pt idx="0">
                  <c:v>2010</c:v>
                </c:pt>
                <c:pt idx="1">
                  <c:v>2011</c:v>
                </c:pt>
                <c:pt idx="2">
                  <c:v>2012</c:v>
                </c:pt>
                <c:pt idx="3">
                  <c:v>2013</c:v>
                </c:pt>
                <c:pt idx="4">
                  <c:v>2014</c:v>
                </c:pt>
                <c:pt idx="5">
                  <c:v>2015</c:v>
                </c:pt>
                <c:pt idx="6">
                  <c:v>2016</c:v>
                </c:pt>
              </c:numCache>
            </c:numRef>
          </c:cat>
          <c:val>
            <c:numRef>
              <c:f>Sheet3!$C$26:$I$26</c:f>
              <c:numCache>
                <c:formatCode>0.00</c:formatCode>
                <c:ptCount val="7"/>
                <c:pt idx="0">
                  <c:v>10.545677498467199</c:v>
                </c:pt>
                <c:pt idx="1">
                  <c:v>12.557077625570768</c:v>
                </c:pt>
                <c:pt idx="2">
                  <c:v>13.84850803366488</c:v>
                </c:pt>
                <c:pt idx="3">
                  <c:v>14.555468135326526</c:v>
                </c:pt>
                <c:pt idx="4">
                  <c:v>13.353566009104814</c:v>
                </c:pt>
                <c:pt idx="5">
                  <c:v>14.503816793893128</c:v>
                </c:pt>
                <c:pt idx="6">
                  <c:v>13.722915298752461</c:v>
                </c:pt>
              </c:numCache>
            </c:numRef>
          </c:val>
        </c:ser>
        <c:gapWidth val="219"/>
        <c:overlap val="-27"/>
        <c:axId val="135805184"/>
        <c:axId val="135819264"/>
      </c:barChart>
      <c:catAx>
        <c:axId val="135805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crossAx val="135819264"/>
        <c:crosses val="autoZero"/>
        <c:auto val="1"/>
        <c:lblAlgn val="ctr"/>
        <c:lblOffset val="100"/>
      </c:catAx>
      <c:valAx>
        <c:axId val="1358192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t>
                </a:r>
                <a:endParaRPr lang="ro-RO">
                  <a:solidFill>
                    <a:sysClr val="windowText" lastClr="000000"/>
                  </a:solidFill>
                </a:endParaRPr>
              </a:p>
            </c:rich>
          </c:tx>
          <c:layout>
            <c:manualLayout>
              <c:xMode val="edge"/>
              <c:yMode val="edge"/>
              <c:x val="0.2388888888888889"/>
              <c:y val="0.35468358121901755"/>
            </c:manualLayout>
          </c:layout>
          <c:spPr>
            <a:noFill/>
            <a:ln>
              <a:noFill/>
            </a:ln>
            <a:effectLst/>
          </c:spPr>
        </c:title>
        <c:numFmt formatCode="0" sourceLinked="0"/>
        <c:maj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crossAx val="135805184"/>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o-RO"/>
          </a:p>
        </c:txPr>
      </c:dTable>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ro-RO"/>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rotX val="30"/>
      <c:perspective val="30"/>
    </c:view3D>
    <c:plotArea>
      <c:layout>
        <c:manualLayout>
          <c:layoutTarget val="inner"/>
          <c:xMode val="edge"/>
          <c:yMode val="edge"/>
          <c:x val="4.6300743657042884E-2"/>
          <c:y val="2.3148148148148147E-3"/>
          <c:w val="0.71765551181102361"/>
          <c:h val="0.99768518518518523"/>
        </c:manualLayout>
      </c:layout>
      <c:pie3DChart>
        <c:varyColors val="1"/>
        <c:ser>
          <c:idx val="0"/>
          <c:order val="0"/>
          <c:explosion val="25"/>
          <c:dLbls>
            <c:dLbl>
              <c:idx val="0"/>
              <c:layout>
                <c:manualLayout>
                  <c:x val="-0.19915310586176729"/>
                  <c:y val="1.675452026829986E-2"/>
                </c:manualLayout>
              </c:layout>
              <c:tx>
                <c:rich>
                  <a:bodyPr/>
                  <a:lstStyle/>
                  <a:p>
                    <a:r>
                      <a:rPr lang="en-US"/>
                      <a:t>45,26</a:t>
                    </a:r>
                    <a:r>
                      <a:rPr lang="ro-RO"/>
                      <a:t>%</a:t>
                    </a:r>
                    <a:endParaRPr lang="en-US"/>
                  </a:p>
                </c:rich>
              </c:tx>
              <c:dLblPos val="bestFit"/>
            </c:dLbl>
            <c:dLbl>
              <c:idx val="1"/>
              <c:layout>
                <c:manualLayout>
                  <c:x val="0.14075000000000001"/>
                  <c:y val="-0.14088910761154855"/>
                </c:manualLayout>
              </c:layout>
              <c:tx>
                <c:rich>
                  <a:bodyPr/>
                  <a:lstStyle/>
                  <a:p>
                    <a:r>
                      <a:rPr lang="en-US"/>
                      <a:t>38,83</a:t>
                    </a:r>
                    <a:r>
                      <a:rPr lang="ro-RO"/>
                      <a:t>%</a:t>
                    </a:r>
                    <a:endParaRPr lang="en-US"/>
                  </a:p>
                </c:rich>
              </c:tx>
              <c:dLblPos val="bestFit"/>
            </c:dLbl>
            <c:dLbl>
              <c:idx val="2"/>
              <c:layout>
                <c:manualLayout>
                  <c:x val="3.7405511811023945E-2"/>
                  <c:y val="1.5975867599883373E-2"/>
                </c:manualLayout>
              </c:layout>
              <c:tx>
                <c:rich>
                  <a:bodyPr/>
                  <a:lstStyle/>
                  <a:p>
                    <a:r>
                      <a:rPr lang="en-US"/>
                      <a:t>7,66%</a:t>
                    </a:r>
                  </a:p>
                </c:rich>
              </c:tx>
              <c:dLblPos val="bestFit"/>
            </c:dLbl>
            <c:dLbl>
              <c:idx val="3"/>
              <c:layout>
                <c:manualLayout>
                  <c:x val="6.9302930883640326E-2"/>
                  <c:y val="1.5680956547098283E-2"/>
                </c:manualLayout>
              </c:layout>
              <c:tx>
                <c:rich>
                  <a:bodyPr/>
                  <a:lstStyle/>
                  <a:p>
                    <a:r>
                      <a:rPr lang="en-US"/>
                      <a:t>8,24</a:t>
                    </a:r>
                    <a:r>
                      <a:rPr lang="ro-RO"/>
                      <a:t>%</a:t>
                    </a:r>
                    <a:endParaRPr lang="en-US"/>
                  </a:p>
                </c:rich>
              </c:tx>
              <c:dLblPos val="bestFit"/>
            </c:dLbl>
            <c:spPr>
              <a:solidFill>
                <a:schemeClr val="bg1"/>
              </a:solidFill>
              <a:ln>
                <a:solidFill>
                  <a:schemeClr val="tx1"/>
                </a:solidFill>
              </a:ln>
            </c:spPr>
            <c:txPr>
              <a:bodyPr/>
              <a:lstStyle/>
              <a:p>
                <a:pPr>
                  <a:defRPr lang="en-GB" b="1">
                    <a:latin typeface="Arial" panose="020B0604020202020204" pitchFamily="34" charset="0"/>
                    <a:cs typeface="Arial" panose="020B0604020202020204" pitchFamily="34" charset="0"/>
                  </a:defRPr>
                </a:pPr>
                <a:endParaRPr lang="ro-RO"/>
              </a:p>
            </c:txPr>
            <c:showVal val="1"/>
            <c:showLeaderLines val="1"/>
          </c:dLbls>
          <c:cat>
            <c:strRef>
              <c:f>Sheet1!$A$8:$A$11</c:f>
              <c:strCache>
                <c:ptCount val="4"/>
                <c:pt idx="0">
                  <c:v>aglomerări urbane</c:v>
                </c:pt>
                <c:pt idx="1">
                  <c:v>unități  industriale</c:v>
                </c:pt>
                <c:pt idx="2">
                  <c:v>unități agricole </c:v>
                </c:pt>
                <c:pt idx="3">
                  <c:v>alte presiuni </c:v>
                </c:pt>
              </c:strCache>
            </c:strRef>
          </c:cat>
          <c:val>
            <c:numRef>
              <c:f>Sheet1!$C$8:$C$11</c:f>
              <c:numCache>
                <c:formatCode>0.00</c:formatCode>
                <c:ptCount val="4"/>
                <c:pt idx="0">
                  <c:v>44.302901627742038</c:v>
                </c:pt>
                <c:pt idx="1">
                  <c:v>40.127388535031862</c:v>
                </c:pt>
                <c:pt idx="2">
                  <c:v>7.501769285208816</c:v>
                </c:pt>
                <c:pt idx="3">
                  <c:v>8.0679405520170047</c:v>
                </c:pt>
              </c:numCache>
            </c:numRef>
          </c:val>
        </c:ser>
      </c:pie3DChart>
      <c:spPr>
        <a:noFill/>
        <a:ln w="25400">
          <a:noFill/>
        </a:ln>
      </c:spPr>
    </c:plotArea>
    <c:legend>
      <c:legendPos val="r"/>
      <c:layout>
        <c:manualLayout>
          <c:xMode val="edge"/>
          <c:yMode val="edge"/>
          <c:x val="0.69636811023622047"/>
          <c:y val="0.64756270049577169"/>
          <c:w val="0.28696522309711281"/>
          <c:h val="0.31598571011957138"/>
        </c:manualLayout>
      </c:layout>
      <c:txPr>
        <a:bodyPr/>
        <a:lstStyle/>
        <a:p>
          <a:pPr>
            <a:defRPr lang="en-GB" b="1">
              <a:latin typeface="Arial" panose="020B0604020202020204" pitchFamily="34" charset="0"/>
              <a:cs typeface="Arial" panose="020B0604020202020204" pitchFamily="34" charset="0"/>
            </a:defRPr>
          </a:pPr>
          <a:endParaRPr lang="ro-RO"/>
        </a:p>
      </c:txPr>
    </c:legend>
    <c:plotVisOnly val="1"/>
    <c:dispBlanksAs val="zero"/>
  </c:chart>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a:t>Număr persoane</a:t>
            </a:r>
          </a:p>
        </c:rich>
      </c:tx>
    </c:title>
    <c:plotArea>
      <c:layout/>
      <c:lineChart>
        <c:grouping val="standard"/>
        <c:ser>
          <c:idx val="0"/>
          <c:order val="0"/>
          <c:tx>
            <c:strRef>
              <c:f>Sheet1!$B$1</c:f>
              <c:strCache>
                <c:ptCount val="1"/>
                <c:pt idx="0">
                  <c:v>numar persoane</c:v>
                </c:pt>
              </c:strCache>
            </c:strRef>
          </c:tx>
          <c:marker>
            <c:symbol val="none"/>
          </c:marker>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146938</c:v>
                </c:pt>
                <c:pt idx="1">
                  <c:v>148747</c:v>
                </c:pt>
                <c:pt idx="2">
                  <c:v>154610</c:v>
                </c:pt>
                <c:pt idx="3">
                  <c:v>157770</c:v>
                </c:pt>
                <c:pt idx="4">
                  <c:v>160634</c:v>
                </c:pt>
                <c:pt idx="5">
                  <c:v>167805</c:v>
                </c:pt>
              </c:numCache>
            </c:numRef>
          </c:val>
        </c:ser>
        <c:ser>
          <c:idx val="1"/>
          <c:order val="1"/>
          <c:tx>
            <c:strRef>
              <c:f>Sheet1!$C$1</c:f>
              <c:strCache>
                <c:ptCount val="1"/>
                <c:pt idx="0">
                  <c:v>Column1</c:v>
                </c:pt>
              </c:strCache>
            </c:strRef>
          </c:tx>
          <c:marker>
            <c:symbol val="none"/>
          </c:marker>
          <c:cat>
            <c:numRef>
              <c:f>Sheet1!$A$2:$A$7</c:f>
              <c:numCache>
                <c:formatCode>General</c:formatCode>
                <c:ptCount val="6"/>
                <c:pt idx="0">
                  <c:v>2011</c:v>
                </c:pt>
                <c:pt idx="1">
                  <c:v>2012</c:v>
                </c:pt>
                <c:pt idx="2">
                  <c:v>2013</c:v>
                </c:pt>
                <c:pt idx="3">
                  <c:v>2014</c:v>
                </c:pt>
                <c:pt idx="4">
                  <c:v>2015</c:v>
                </c:pt>
                <c:pt idx="5">
                  <c:v>2016</c:v>
                </c:pt>
              </c:numCache>
            </c:numRef>
          </c:cat>
          <c:val>
            <c:numRef>
              <c:f>Sheet1!$C$2:$C$7</c:f>
            </c:numRef>
          </c:val>
        </c:ser>
        <c:ser>
          <c:idx val="2"/>
          <c:order val="2"/>
          <c:tx>
            <c:strRef>
              <c:f>Sheet1!$D$1</c:f>
              <c:strCache>
                <c:ptCount val="1"/>
                <c:pt idx="0">
                  <c:v>Column2</c:v>
                </c:pt>
              </c:strCache>
            </c:strRef>
          </c:tx>
          <c:marker>
            <c:symbol val="none"/>
          </c:marker>
          <c:cat>
            <c:numRef>
              <c:f>Sheet1!$A$2:$A$7</c:f>
              <c:numCache>
                <c:formatCode>General</c:formatCode>
                <c:ptCount val="6"/>
                <c:pt idx="0">
                  <c:v>2011</c:v>
                </c:pt>
                <c:pt idx="1">
                  <c:v>2012</c:v>
                </c:pt>
                <c:pt idx="2">
                  <c:v>2013</c:v>
                </c:pt>
                <c:pt idx="3">
                  <c:v>2014</c:v>
                </c:pt>
                <c:pt idx="4">
                  <c:v>2015</c:v>
                </c:pt>
                <c:pt idx="5">
                  <c:v>2016</c:v>
                </c:pt>
              </c:numCache>
            </c:numRef>
          </c:cat>
          <c:val>
            <c:numRef>
              <c:f>Sheet1!$D$2:$D$7</c:f>
            </c:numRef>
          </c:val>
        </c:ser>
        <c:marker val="1"/>
        <c:axId val="135891968"/>
        <c:axId val="135897856"/>
      </c:lineChart>
      <c:catAx>
        <c:axId val="135891968"/>
        <c:scaling>
          <c:orientation val="minMax"/>
        </c:scaling>
        <c:axPos val="b"/>
        <c:numFmt formatCode="General" sourceLinked="1"/>
        <c:tickLblPos val="nextTo"/>
        <c:crossAx val="135897856"/>
        <c:crosses val="autoZero"/>
        <c:auto val="1"/>
        <c:lblAlgn val="ctr"/>
        <c:lblOffset val="100"/>
      </c:catAx>
      <c:valAx>
        <c:axId val="135897856"/>
        <c:scaling>
          <c:orientation val="minMax"/>
        </c:scaling>
        <c:axPos val="l"/>
        <c:majorGridlines/>
        <c:numFmt formatCode="General" sourceLinked="1"/>
        <c:tickLblPos val="nextTo"/>
        <c:crossAx val="135891968"/>
        <c:crosses val="autoZero"/>
        <c:crossBetween val="between"/>
      </c:valAx>
      <c:spPr>
        <a:solidFill>
          <a:schemeClr val="accent2">
            <a:lumMod val="40000"/>
            <a:lumOff val="60000"/>
          </a:schemeClr>
        </a:solidFill>
      </c:spPr>
    </c:plotArea>
    <c:legend>
      <c:legendPos val="r"/>
    </c:legend>
    <c:plotVisOnly val="1"/>
  </c:chart>
  <c:spPr>
    <a:solidFill>
      <a:schemeClr val="accent2">
        <a:lumMod val="20000"/>
        <a:lumOff val="80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6325"/>
          <c:h val="0.72282608695652173"/>
        </c:manualLayout>
      </c:layout>
      <c:bar3DChart>
        <c:barDir val="col"/>
        <c:grouping val="clustered"/>
        <c:ser>
          <c:idx val="7"/>
          <c:order val="0"/>
          <c:tx>
            <c:strRef>
              <c:f>Sheet1!$A$9</c:f>
              <c:strCache>
                <c:ptCount val="1"/>
                <c:pt idx="0">
                  <c:v>Medii anuale 2016</c:v>
                </c:pt>
              </c:strCache>
            </c:strRef>
          </c:tx>
          <c:cat>
            <c:strRef>
              <c:f>Sheet1!$B$1:$E$1</c:f>
              <c:strCache>
                <c:ptCount val="4"/>
                <c:pt idx="0">
                  <c:v>BR2</c:v>
                </c:pt>
                <c:pt idx="1">
                  <c:v>BR3</c:v>
                </c:pt>
                <c:pt idx="2">
                  <c:v>BR4</c:v>
                </c:pt>
                <c:pt idx="3">
                  <c:v>Br5</c:v>
                </c:pt>
              </c:strCache>
            </c:strRef>
          </c:cat>
          <c:val>
            <c:numRef>
              <c:f>Sheet1!$B$9:$E$9</c:f>
              <c:numCache>
                <c:formatCode>General</c:formatCode>
                <c:ptCount val="4"/>
                <c:pt idx="0">
                  <c:v>36.480000000000004</c:v>
                </c:pt>
                <c:pt idx="1">
                  <c:v>43.02</c:v>
                </c:pt>
                <c:pt idx="2">
                  <c:v>50.05</c:v>
                </c:pt>
                <c:pt idx="3">
                  <c:v>50.449999999999996</c:v>
                </c:pt>
              </c:numCache>
            </c:numRef>
          </c:val>
        </c:ser>
        <c:gapWidth val="340"/>
        <c:gapDepth val="0"/>
        <c:shape val="box"/>
        <c:axId val="177734784"/>
        <c:axId val="177736704"/>
        <c:axId val="0"/>
      </c:bar3DChart>
      <c:catAx>
        <c:axId val="177734784"/>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77736704"/>
        <c:crosses val="autoZero"/>
        <c:auto val="1"/>
        <c:lblAlgn val="ctr"/>
        <c:lblOffset val="100"/>
        <c:tickLblSkip val="1"/>
        <c:tickMarkSkip val="1"/>
      </c:catAx>
      <c:valAx>
        <c:axId val="177736704"/>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t>micrograme/mc</a:t>
                </a:r>
              </a:p>
            </c:rich>
          </c:tx>
          <c:layout>
            <c:manualLayout>
              <c:xMode val="edge"/>
              <c:yMode val="edge"/>
              <c:x val="4.7892720306514598E-2"/>
              <c:y val="0.13586956521739141"/>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177734784"/>
        <c:crosses val="autoZero"/>
        <c:crossBetween val="between"/>
      </c:valAx>
      <c:spPr>
        <a:noFill/>
        <a:ln w="25399">
          <a:noFill/>
        </a:ln>
      </c:spPr>
    </c:plotArea>
    <c:legend>
      <c:legendPos val="r"/>
      <c:layout>
        <c:manualLayout>
          <c:xMode val="edge"/>
          <c:yMode val="edge"/>
          <c:x val="0.75862068965518992"/>
          <c:y val="0.30513245122710181"/>
          <c:w val="0.21167406705740729"/>
          <c:h val="0.19258922531590766"/>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19" b="1" i="0" u="none" strike="noStrike" baseline="0">
                <a:solidFill>
                  <a:srgbClr val="000000"/>
                </a:solidFill>
                <a:latin typeface="Arial"/>
                <a:ea typeface="Arial"/>
                <a:cs typeface="Arial"/>
              </a:defRPr>
            </a:pPr>
            <a:r>
              <a:rPr lang="en-US"/>
              <a:t>Fig. </a:t>
            </a:r>
            <a:r>
              <a:rPr lang="ro-RO"/>
              <a:t>III</a:t>
            </a:r>
            <a:r>
              <a:rPr lang="en-US"/>
              <a:t>.1.1</a:t>
            </a:r>
            <a:r>
              <a:rPr lang="ro-RO"/>
              <a:t>-2.</a:t>
            </a:r>
            <a:endParaRPr lang="en-US"/>
          </a:p>
        </c:rich>
      </c:tx>
      <c:layout>
        <c:manualLayout>
          <c:xMode val="edge"/>
          <c:yMode val="edge"/>
          <c:x val="0.41871921017821895"/>
          <c:y val="0.87168185437496082"/>
        </c:manualLayout>
      </c:layout>
      <c:spPr>
        <a:noFill/>
        <a:ln w="17311">
          <a:noFill/>
        </a:ln>
      </c:spPr>
    </c:title>
    <c:view3D>
      <c:perspective val="0"/>
    </c:view3D>
    <c:plotArea>
      <c:layout>
        <c:manualLayout>
          <c:layoutTarget val="inner"/>
          <c:xMode val="edge"/>
          <c:yMode val="edge"/>
          <c:x val="0.2148245323630453"/>
          <c:y val="0.25593344858015427"/>
          <c:w val="0.57612542787866061"/>
          <c:h val="0.61378571335420884"/>
        </c:manualLayout>
      </c:layout>
      <c:pie3DChart>
        <c:varyColors val="1"/>
        <c:ser>
          <c:idx val="0"/>
          <c:order val="0"/>
          <c:tx>
            <c:strRef>
              <c:f>Sheet1!$A$2</c:f>
              <c:strCache>
                <c:ptCount val="1"/>
                <c:pt idx="0">
                  <c:v>387363</c:v>
                </c:pt>
              </c:strCache>
            </c:strRef>
          </c:tx>
          <c:spPr>
            <a:ln w="2165">
              <a:solidFill>
                <a:srgbClr val="000000"/>
              </a:solidFill>
              <a:prstDash val="solid"/>
            </a:ln>
          </c:spPr>
          <c:explosion val="15"/>
          <c:dPt>
            <c:idx val="0"/>
            <c:spPr>
              <a:solidFill>
                <a:srgbClr val="99CCFF"/>
              </a:solidFill>
              <a:ln w="17318">
                <a:noFill/>
              </a:ln>
            </c:spPr>
          </c:dPt>
          <c:dPt>
            <c:idx val="1"/>
            <c:explosion val="0"/>
            <c:spPr>
              <a:solidFill>
                <a:srgbClr val="99CC00"/>
              </a:solidFill>
              <a:ln w="17318">
                <a:noFill/>
              </a:ln>
            </c:spPr>
          </c:dPt>
          <c:dPt>
            <c:idx val="2"/>
            <c:spPr>
              <a:solidFill>
                <a:srgbClr val="FF9900"/>
              </a:solidFill>
              <a:ln w="17318">
                <a:noFill/>
              </a:ln>
            </c:spPr>
          </c:dPt>
          <c:dPt>
            <c:idx val="3"/>
            <c:explosion val="17"/>
            <c:spPr>
              <a:solidFill>
                <a:srgbClr val="FF0000"/>
              </a:solidFill>
              <a:ln w="17318">
                <a:noFill/>
              </a:ln>
            </c:spPr>
          </c:dPt>
          <c:dPt>
            <c:idx val="4"/>
            <c:spPr>
              <a:solidFill>
                <a:srgbClr val="808000"/>
              </a:solidFill>
              <a:ln w="17318">
                <a:noFill/>
              </a:ln>
            </c:spPr>
          </c:dPt>
          <c:dLbls>
            <c:dLbl>
              <c:idx val="0"/>
              <c:delete val="1"/>
            </c:dLbl>
            <c:dLbl>
              <c:idx val="1"/>
              <c:layout>
                <c:manualLayout>
                  <c:x val="0.15929336419155143"/>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90,</a:t>
                    </a:r>
                    <a:r>
                      <a:rPr lang="ro-RO"/>
                      <a:t>58</a:t>
                    </a:r>
                    <a:r>
                      <a:rPr lang="en-US"/>
                      <a:t>%</a:t>
                    </a:r>
                  </a:p>
                </c:rich>
              </c:tx>
              <c:spPr>
                <a:solidFill>
                  <a:srgbClr val="FFFFFF"/>
                </a:solidFill>
                <a:ln w="17318">
                  <a:noFill/>
                </a:ln>
              </c:spPr>
              <c:dLblPos val="bestFit"/>
            </c:dLbl>
            <c:dLbl>
              <c:idx val="2"/>
              <c:layout>
                <c:manualLayout>
                  <c:x val="-0.14784960055584262"/>
                  <c:y val="-4.8417651501412133E-2"/>
                </c:manualLayout>
              </c:layout>
              <c:tx>
                <c:rich>
                  <a:bodyPr/>
                  <a:lstStyle/>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păşuni</a:t>
                    </a:r>
                  </a:p>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8,</a:t>
                    </a:r>
                    <a:r>
                      <a:rPr lang="ro-RO" sz="813" b="1" i="0" strike="noStrike">
                        <a:solidFill>
                          <a:srgbClr val="000000"/>
                        </a:solidFill>
                        <a:latin typeface="Arial"/>
                        <a:cs typeface="Arial"/>
                      </a:rPr>
                      <a:t>09</a:t>
                    </a:r>
                    <a:r>
                      <a:rPr lang="vi-VN" sz="813" b="1" i="0" strike="noStrike">
                        <a:solidFill>
                          <a:srgbClr val="000000"/>
                        </a:solidFill>
                        <a:latin typeface="Arial"/>
                        <a:cs typeface="Arial"/>
                      </a:rPr>
                      <a:t>%</a:t>
                    </a:r>
                  </a:p>
                </c:rich>
              </c:tx>
              <c:spPr>
                <a:solidFill>
                  <a:srgbClr val="FFFFFF"/>
                </a:solidFill>
                <a:ln w="17318">
                  <a:noFill/>
                </a:ln>
              </c:spPr>
              <c:dLblPos val="bestFit"/>
            </c:dLbl>
            <c:dLbl>
              <c:idx val="3"/>
              <c:layout>
                <c:manualLayout>
                  <c:x val="-3.0233806981025502E-2"/>
                  <c:y val="-0.11099900123104089"/>
                </c:manualLayout>
              </c:layout>
              <c:tx>
                <c:rich>
                  <a:bodyPr/>
                  <a:lstStyle/>
                  <a:p>
                    <a:pPr>
                      <a:defRPr lang="en-US" sz="819" b="1" i="0" u="none" strike="noStrike" baseline="0">
                        <a:solidFill>
                          <a:srgbClr val="000000"/>
                        </a:solidFill>
                        <a:latin typeface="Arial"/>
                        <a:ea typeface="Arial"/>
                        <a:cs typeface="Arial"/>
                      </a:defRPr>
                    </a:pPr>
                    <a:r>
                      <a:rPr lang="en-US"/>
                      <a:t>vii
1,1</a:t>
                    </a:r>
                    <a:r>
                      <a:rPr lang="ro-RO"/>
                      <a:t>8</a:t>
                    </a:r>
                    <a:r>
                      <a:rPr lang="en-US"/>
                      <a:t>%</a:t>
                    </a:r>
                  </a:p>
                </c:rich>
              </c:tx>
              <c:spPr>
                <a:solidFill>
                  <a:srgbClr val="FFFFFF"/>
                </a:solidFill>
                <a:ln w="17318">
                  <a:noFill/>
                </a:ln>
              </c:spPr>
              <c:dLblPos val="bestFit"/>
            </c:dLbl>
            <c:dLbl>
              <c:idx val="4"/>
              <c:layout>
                <c:manualLayout>
                  <c:x val="0.23703168848107894"/>
                  <c:y val="-7.0654647872656684E-2"/>
                </c:manualLayout>
              </c:layout>
              <c:tx>
                <c:rich>
                  <a:bodyPr/>
                  <a:lstStyle/>
                  <a:p>
                    <a:pPr>
                      <a:defRPr lang="en-US" sz="819" b="1" i="0" u="none" strike="noStrike" baseline="0">
                        <a:solidFill>
                          <a:srgbClr val="000000"/>
                        </a:solidFill>
                        <a:latin typeface="Arial"/>
                        <a:ea typeface="Arial"/>
                        <a:cs typeface="Arial"/>
                      </a:defRPr>
                    </a:pPr>
                    <a:r>
                      <a:rPr lang="en-US"/>
                      <a:t>livezi
0,1</a:t>
                    </a:r>
                    <a:r>
                      <a:rPr lang="ro-RO"/>
                      <a:t>7</a:t>
                    </a:r>
                    <a:r>
                      <a:rPr lang="en-US"/>
                      <a:t>%</a:t>
                    </a:r>
                  </a:p>
                </c:rich>
              </c:tx>
              <c:spPr>
                <a:solidFill>
                  <a:srgbClr val="FFFFFF"/>
                </a:solidFill>
                <a:ln w="17318">
                  <a:noFill/>
                </a:ln>
              </c:spPr>
              <c:dLblPos val="bestFit"/>
            </c:dLbl>
            <c:dLbl>
              <c:idx val="5"/>
              <c:delete val="1"/>
            </c:dLbl>
            <c:numFmt formatCode="0%" sourceLinked="0"/>
            <c:spPr>
              <a:solidFill>
                <a:srgbClr val="FFFFFF"/>
              </a:solidFill>
              <a:ln w="17318">
                <a:noFill/>
              </a:ln>
            </c:spPr>
            <c:txPr>
              <a:bodyPr/>
              <a:lstStyle/>
              <a:p>
                <a:pPr>
                  <a:defRPr sz="753" b="1" i="0" u="none" strike="noStrike" baseline="0">
                    <a:solidFill>
                      <a:srgbClr val="000000"/>
                    </a:solidFill>
                    <a:latin typeface="Arial"/>
                    <a:ea typeface="Arial"/>
                    <a:cs typeface="Arial"/>
                  </a:defRPr>
                </a:pPr>
                <a:endParaRPr lang="ro-RO"/>
              </a:p>
            </c:txPr>
            <c:showCatName val="1"/>
            <c:showPercent val="1"/>
            <c:showLeaderLines val="1"/>
            <c:leaderLines>
              <c:spPr>
                <a:ln w="2165">
                  <a:solidFill>
                    <a:srgbClr val="000000"/>
                  </a:solidFill>
                  <a:prstDash val="solid"/>
                </a:ln>
              </c:spPr>
            </c:leaderLines>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350447</c:v>
                </c:pt>
                <c:pt idx="2">
                  <c:v>31743</c:v>
                </c:pt>
                <c:pt idx="3">
                  <c:v>4519</c:v>
                </c:pt>
                <c:pt idx="4">
                  <c:v>654</c:v>
                </c:pt>
              </c:numCache>
            </c:numRef>
          </c:val>
        </c:ser>
        <c:dLbls>
          <c:showCatName val="1"/>
          <c:showPercent val="1"/>
        </c:dLbls>
      </c:pie3DChart>
      <c:spPr>
        <a:solidFill>
          <a:srgbClr val="FFFFFF"/>
        </a:solidFill>
        <a:ln w="17318">
          <a:noFill/>
        </a:ln>
      </c:spPr>
    </c:plotArea>
    <c:plotVisOnly val="1"/>
    <c:dispBlanksAs val="zero"/>
  </c:chart>
  <c:spPr>
    <a:solidFill>
      <a:srgbClr val="F79646">
        <a:lumMod val="20000"/>
        <a:lumOff val="80000"/>
      </a:srgbClr>
    </a:solidFill>
    <a:ln>
      <a:noFill/>
    </a:ln>
  </c:spPr>
  <c:txPr>
    <a:bodyPr/>
    <a:lstStyle/>
    <a:p>
      <a:pPr>
        <a:defRPr sz="598" b="1" i="0" u="none" strike="noStrike" baseline="0">
          <a:solidFill>
            <a:srgbClr val="000000"/>
          </a:solidFill>
          <a:latin typeface="Arial"/>
          <a:ea typeface="Arial"/>
          <a:cs typeface="Arial"/>
        </a:defRPr>
      </a:pPr>
      <a:endParaRPr lang="ro-RO"/>
    </a:p>
  </c:txPr>
  <c:externalData r:id="rId2"/>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240561215267791"/>
          <c:y val="4.5657562582717845E-2"/>
          <c:w val="0.68100249271851165"/>
          <c:h val="0.62748922774238014"/>
        </c:manualLayout>
      </c:layout>
      <c:barChart>
        <c:barDir val="col"/>
        <c:grouping val="clustered"/>
        <c:ser>
          <c:idx val="0"/>
          <c:order val="0"/>
          <c:tx>
            <c:strRef>
              <c:f>Sheet1!$B$1</c:f>
              <c:strCache>
                <c:ptCount val="1"/>
                <c:pt idx="0">
                  <c:v>N</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8575</c:v>
                </c:pt>
                <c:pt idx="1">
                  <c:v>7908</c:v>
                </c:pt>
                <c:pt idx="2">
                  <c:v>8085</c:v>
                </c:pt>
                <c:pt idx="3">
                  <c:v>12005</c:v>
                </c:pt>
                <c:pt idx="4">
                  <c:v>14005</c:v>
                </c:pt>
              </c:numCache>
            </c:numRef>
          </c:val>
        </c:ser>
        <c:ser>
          <c:idx val="1"/>
          <c:order val="1"/>
          <c:tx>
            <c:strRef>
              <c:f>Sheet1!$C$1</c:f>
              <c:strCache>
                <c:ptCount val="1"/>
                <c:pt idx="0">
                  <c:v>P2O5</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#,##0</c:formatCode>
                <c:ptCount val="5"/>
                <c:pt idx="0">
                  <c:v>6723</c:v>
                </c:pt>
                <c:pt idx="1">
                  <c:v>6150</c:v>
                </c:pt>
                <c:pt idx="2">
                  <c:v>6290</c:v>
                </c:pt>
                <c:pt idx="3">
                  <c:v>9150</c:v>
                </c:pt>
                <c:pt idx="4">
                  <c:v>11437</c:v>
                </c:pt>
              </c:numCache>
            </c:numRef>
          </c:val>
        </c:ser>
        <c:ser>
          <c:idx val="2"/>
          <c:order val="2"/>
          <c:tx>
            <c:strRef>
              <c:f>Sheet1!$D$1</c:f>
              <c:strCache>
                <c:ptCount val="1"/>
                <c:pt idx="0">
                  <c:v>K2O5</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#,##0</c:formatCode>
                <c:ptCount val="5"/>
                <c:pt idx="0">
                  <c:v>1285</c:v>
                </c:pt>
                <c:pt idx="1">
                  <c:v>571</c:v>
                </c:pt>
                <c:pt idx="2" formatCode="General">
                  <c:v>429</c:v>
                </c:pt>
                <c:pt idx="3">
                  <c:v>7131</c:v>
                </c:pt>
                <c:pt idx="4">
                  <c:v>8257</c:v>
                </c:pt>
              </c:numCache>
            </c:numRef>
          </c:val>
        </c:ser>
        <c:axId val="135945600"/>
        <c:axId val="135931008"/>
      </c:barChart>
      <c:catAx>
        <c:axId val="135945600"/>
        <c:scaling>
          <c:orientation val="minMax"/>
        </c:scaling>
        <c:axPos val="b"/>
        <c:numFmt formatCode="General" sourceLinked="1"/>
        <c:tickLblPos val="nextTo"/>
        <c:crossAx val="135931008"/>
        <c:crosses val="autoZero"/>
        <c:auto val="1"/>
        <c:lblAlgn val="ctr"/>
        <c:lblOffset val="100"/>
      </c:catAx>
      <c:valAx>
        <c:axId val="135931008"/>
        <c:scaling>
          <c:orientation val="minMax"/>
        </c:scaling>
        <c:axPos val="l"/>
        <c:majorGridlines/>
        <c:numFmt formatCode="#,##0" sourceLinked="1"/>
        <c:tickLblPos val="nextTo"/>
        <c:crossAx val="135945600"/>
        <c:crosses val="autoZero"/>
        <c:crossBetween val="between"/>
      </c:valAx>
    </c:plotArea>
    <c:legend>
      <c:legendPos val="r"/>
    </c:legend>
    <c:plotVisOnly val="1"/>
  </c:chart>
  <c:spPr>
    <a:solidFill>
      <a:srgbClr val="FEF6F0"/>
    </a:solidFill>
    <a:ln>
      <a:solidFill>
        <a:srgbClr val="FEF6F0"/>
      </a:solidFill>
    </a:ln>
    <a:effectLst>
      <a:outerShdw blurRad="50800" dist="50800" dir="5400000" algn="ctr" rotWithShape="0">
        <a:srgbClr val="FEF6F0"/>
      </a:outerShdw>
    </a:effectLst>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756410967961447"/>
          <c:y val="4.5657469569404356E-2"/>
          <c:w val="0.68100249271851165"/>
          <c:h val="0.62748922774238014"/>
        </c:manualLayout>
      </c:layout>
      <c:lineChart>
        <c:grouping val="standard"/>
        <c:ser>
          <c:idx val="0"/>
          <c:order val="0"/>
          <c:tx>
            <c:strRef>
              <c:f>Sheet1!$B$1</c:f>
              <c:strCache>
                <c:ptCount val="1"/>
                <c:pt idx="0">
                  <c:v>N</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#,##0</c:formatCode>
                <c:ptCount val="5"/>
                <c:pt idx="0">
                  <c:v>8575</c:v>
                </c:pt>
                <c:pt idx="1">
                  <c:v>7908</c:v>
                </c:pt>
                <c:pt idx="2">
                  <c:v>8085</c:v>
                </c:pt>
                <c:pt idx="3">
                  <c:v>12005</c:v>
                </c:pt>
                <c:pt idx="4">
                  <c:v>14005</c:v>
                </c:pt>
              </c:numCache>
            </c:numRef>
          </c:val>
        </c:ser>
        <c:ser>
          <c:idx val="1"/>
          <c:order val="1"/>
          <c:tx>
            <c:strRef>
              <c:f>Sheet1!$C$1</c:f>
              <c:strCache>
                <c:ptCount val="1"/>
                <c:pt idx="0">
                  <c:v>P2O5</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#,##0</c:formatCode>
                <c:ptCount val="5"/>
                <c:pt idx="0">
                  <c:v>6723</c:v>
                </c:pt>
                <c:pt idx="1">
                  <c:v>6150</c:v>
                </c:pt>
                <c:pt idx="2">
                  <c:v>6290</c:v>
                </c:pt>
                <c:pt idx="3">
                  <c:v>9150</c:v>
                </c:pt>
                <c:pt idx="4">
                  <c:v>11437</c:v>
                </c:pt>
              </c:numCache>
            </c:numRef>
          </c:val>
        </c:ser>
        <c:ser>
          <c:idx val="2"/>
          <c:order val="2"/>
          <c:tx>
            <c:strRef>
              <c:f>Sheet1!$D$1</c:f>
              <c:strCache>
                <c:ptCount val="1"/>
                <c:pt idx="0">
                  <c:v>K2O5</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#,##0</c:formatCode>
                <c:ptCount val="5"/>
                <c:pt idx="0">
                  <c:v>1285</c:v>
                </c:pt>
                <c:pt idx="1">
                  <c:v>571</c:v>
                </c:pt>
                <c:pt idx="2" formatCode="General">
                  <c:v>429</c:v>
                </c:pt>
                <c:pt idx="3">
                  <c:v>7131</c:v>
                </c:pt>
                <c:pt idx="4">
                  <c:v>8257</c:v>
                </c:pt>
              </c:numCache>
            </c:numRef>
          </c:val>
        </c:ser>
        <c:marker val="1"/>
        <c:axId val="135522176"/>
        <c:axId val="135523712"/>
      </c:lineChart>
      <c:catAx>
        <c:axId val="135522176"/>
        <c:scaling>
          <c:orientation val="minMax"/>
        </c:scaling>
        <c:axPos val="b"/>
        <c:numFmt formatCode="General" sourceLinked="1"/>
        <c:tickLblPos val="nextTo"/>
        <c:crossAx val="135523712"/>
        <c:crosses val="autoZero"/>
        <c:auto val="1"/>
        <c:lblAlgn val="ctr"/>
        <c:lblOffset val="100"/>
      </c:catAx>
      <c:valAx>
        <c:axId val="135523712"/>
        <c:scaling>
          <c:orientation val="minMax"/>
        </c:scaling>
        <c:axPos val="l"/>
        <c:majorGridlines/>
        <c:numFmt formatCode="#,##0" sourceLinked="1"/>
        <c:tickLblPos val="nextTo"/>
        <c:crossAx val="135522176"/>
        <c:crosses val="autoZero"/>
        <c:crossBetween val="between"/>
      </c:valAx>
    </c:plotArea>
    <c:legend>
      <c:legendPos val="r"/>
    </c:legend>
    <c:plotVisOnly val="1"/>
  </c:chart>
  <c:spPr>
    <a:solidFill>
      <a:srgbClr val="FEF6F0"/>
    </a:solidFill>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400"/>
              <a:t>Consum total de p</a:t>
            </a:r>
            <a:r>
              <a:rPr lang="en-US" sz="1400"/>
              <a:t>esticide</a:t>
            </a:r>
          </a:p>
        </c:rich>
      </c:tx>
    </c:title>
    <c:plotArea>
      <c:layout>
        <c:manualLayout>
          <c:layoutTarget val="inner"/>
          <c:xMode val="edge"/>
          <c:yMode val="edge"/>
          <c:x val="0.21719652548267071"/>
          <c:y val="0.19015657525567636"/>
          <c:w val="0.66091453257609634"/>
          <c:h val="0.45744090684316635"/>
        </c:manualLayout>
      </c:layout>
      <c:lineChart>
        <c:grouping val="stacked"/>
        <c:ser>
          <c:idx val="0"/>
          <c:order val="0"/>
          <c:tx>
            <c:strRef>
              <c:f>Sheet1!$B$1</c:f>
              <c:strCache>
                <c:ptCount val="1"/>
                <c:pt idx="0">
                  <c:v>Pesticide</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107.68799999999999</c:v>
                </c:pt>
                <c:pt idx="1">
                  <c:v>91.815000000000012</c:v>
                </c:pt>
                <c:pt idx="2">
                  <c:v>78.941000000000443</c:v>
                </c:pt>
                <c:pt idx="3">
                  <c:v>78.956000000000003</c:v>
                </c:pt>
                <c:pt idx="4">
                  <c:v>1193.8699999999999</c:v>
                </c:pt>
              </c:numCache>
            </c:numRef>
          </c:val>
        </c:ser>
        <c:marker val="1"/>
        <c:axId val="136030848"/>
        <c:axId val="136040832"/>
      </c:lineChart>
      <c:catAx>
        <c:axId val="136030848"/>
        <c:scaling>
          <c:orientation val="minMax"/>
        </c:scaling>
        <c:axPos val="b"/>
        <c:numFmt formatCode="General" sourceLinked="1"/>
        <c:tickLblPos val="nextTo"/>
        <c:crossAx val="136040832"/>
        <c:crosses val="autoZero"/>
        <c:auto val="1"/>
        <c:lblAlgn val="ctr"/>
        <c:lblOffset val="100"/>
      </c:catAx>
      <c:valAx>
        <c:axId val="136040832"/>
        <c:scaling>
          <c:orientation val="minMax"/>
        </c:scaling>
        <c:axPos val="l"/>
        <c:majorGridlines/>
        <c:numFmt formatCode="General" sourceLinked="1"/>
        <c:tickLblPos val="nextTo"/>
        <c:crossAx val="136030848"/>
        <c:crosses val="autoZero"/>
        <c:crossBetween val="between"/>
      </c:valAx>
    </c:plotArea>
    <c:legend>
      <c:legendPos val="r"/>
      <c:layout>
        <c:manualLayout>
          <c:xMode val="edge"/>
          <c:yMode val="edge"/>
          <c:x val="0.8080351537978655"/>
          <c:y val="0.81938156872021128"/>
          <c:w val="0.16685499058380421"/>
          <c:h val="0.11877118808424809"/>
        </c:manualLayout>
      </c:layout>
    </c:legend>
    <c:plotVisOnly val="1"/>
  </c:chart>
  <c:spPr>
    <a:solidFill>
      <a:srgbClr val="FFFFCC"/>
    </a:solidFill>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5272266660925937"/>
          <c:y val="4.5657562582717845E-2"/>
          <c:w val="0.68100249271851165"/>
          <c:h val="0.62748922774238014"/>
        </c:manualLayout>
      </c:layout>
      <c:lineChart>
        <c:grouping val="standard"/>
        <c:ser>
          <c:idx val="0"/>
          <c:order val="0"/>
          <c:tx>
            <c:strRef>
              <c:f>Sheet1!$B$1</c:f>
              <c:strCache>
                <c:ptCount val="1"/>
                <c:pt idx="0">
                  <c:v>Erbicide</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56</c:v>
                </c:pt>
                <c:pt idx="1">
                  <c:v>43</c:v>
                </c:pt>
                <c:pt idx="2">
                  <c:v>36</c:v>
                </c:pt>
                <c:pt idx="3" formatCode="#,##0">
                  <c:v>36</c:v>
                </c:pt>
                <c:pt idx="4">
                  <c:v>636</c:v>
                </c:pt>
              </c:numCache>
            </c:numRef>
          </c:val>
        </c:ser>
        <c:ser>
          <c:idx val="1"/>
          <c:order val="1"/>
          <c:tx>
            <c:strRef>
              <c:f>Sheet1!$C$1</c:f>
              <c:strCache>
                <c:ptCount val="1"/>
                <c:pt idx="0">
                  <c:v>Fungicide</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41</c:v>
                </c:pt>
                <c:pt idx="1">
                  <c:v>38</c:v>
                </c:pt>
                <c:pt idx="2">
                  <c:v>32</c:v>
                </c:pt>
                <c:pt idx="3">
                  <c:v>33</c:v>
                </c:pt>
                <c:pt idx="4">
                  <c:v>430</c:v>
                </c:pt>
              </c:numCache>
            </c:numRef>
          </c:val>
        </c:ser>
        <c:ser>
          <c:idx val="2"/>
          <c:order val="2"/>
          <c:tx>
            <c:strRef>
              <c:f>Sheet1!$D$1</c:f>
              <c:strCache>
                <c:ptCount val="1"/>
                <c:pt idx="0">
                  <c:v>Insecticide</c:v>
                </c:pt>
              </c:strCache>
            </c:strRef>
          </c:tx>
          <c:cat>
            <c:numRef>
              <c:f>Sheet1!$A$2:$A$6</c:f>
              <c:numCache>
                <c:formatCode>General</c:formatCode>
                <c:ptCount val="5"/>
                <c:pt idx="0">
                  <c:v>2012</c:v>
                </c:pt>
                <c:pt idx="1">
                  <c:v>2013</c:v>
                </c:pt>
                <c:pt idx="2">
                  <c:v>2014</c:v>
                </c:pt>
                <c:pt idx="3">
                  <c:v>2015</c:v>
                </c:pt>
                <c:pt idx="4">
                  <c:v>2016</c:v>
                </c:pt>
              </c:numCache>
            </c:numRef>
          </c:cat>
          <c:val>
            <c:numRef>
              <c:f>Sheet1!$D$2:$D$6</c:f>
              <c:numCache>
                <c:formatCode>General</c:formatCode>
                <c:ptCount val="5"/>
                <c:pt idx="0">
                  <c:v>10</c:v>
                </c:pt>
                <c:pt idx="1">
                  <c:v>9</c:v>
                </c:pt>
                <c:pt idx="2">
                  <c:v>8</c:v>
                </c:pt>
                <c:pt idx="3">
                  <c:v>9</c:v>
                </c:pt>
                <c:pt idx="4">
                  <c:v>111</c:v>
                </c:pt>
              </c:numCache>
            </c:numRef>
          </c:val>
        </c:ser>
        <c:marker val="1"/>
        <c:axId val="136021504"/>
        <c:axId val="136023040"/>
      </c:lineChart>
      <c:catAx>
        <c:axId val="136021504"/>
        <c:scaling>
          <c:orientation val="minMax"/>
        </c:scaling>
        <c:axPos val="b"/>
        <c:numFmt formatCode="General" sourceLinked="1"/>
        <c:tickLblPos val="nextTo"/>
        <c:crossAx val="136023040"/>
        <c:crosses val="autoZero"/>
        <c:auto val="1"/>
        <c:lblAlgn val="ctr"/>
        <c:lblOffset val="100"/>
      </c:catAx>
      <c:valAx>
        <c:axId val="136023040"/>
        <c:scaling>
          <c:orientation val="minMax"/>
        </c:scaling>
        <c:axPos val="l"/>
        <c:majorGridlines/>
        <c:numFmt formatCode="General" sourceLinked="1"/>
        <c:tickLblPos val="nextTo"/>
        <c:crossAx val="136021504"/>
        <c:crosses val="autoZero"/>
        <c:crossBetween val="between"/>
      </c:valAx>
    </c:plotArea>
    <c:legend>
      <c:legendPos val="r"/>
    </c:legend>
    <c:plotVisOnly val="1"/>
  </c:chart>
  <c:spPr>
    <a:solidFill>
      <a:srgbClr val="FFFFCC"/>
    </a:solidFill>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618820702498014"/>
          <c:y val="6.1271521118965687E-2"/>
          <c:w val="0.81366613353019024"/>
          <c:h val="0.59590935831296321"/>
        </c:manualLayout>
      </c:layout>
      <c:lineChart>
        <c:grouping val="standard"/>
        <c:ser>
          <c:idx val="1"/>
          <c:order val="0"/>
          <c:tx>
            <c:strRef>
              <c:f>Sheet1!$A$3</c:f>
              <c:strCache>
                <c:ptCount val="1"/>
                <c:pt idx="0">
                  <c:v>Suprafata irigata-ha</c:v>
                </c:pt>
              </c:strCache>
            </c:strRef>
          </c:tx>
          <c:spPr>
            <a:ln w="19538">
              <a:solidFill>
                <a:srgbClr val="008000"/>
              </a:solidFill>
              <a:prstDash val="solid"/>
            </a:ln>
          </c:spPr>
          <c:marker>
            <c:symbol val="diamond"/>
            <c:size val="2"/>
            <c:spPr>
              <a:solidFill>
                <a:srgbClr val="008000"/>
              </a:solidFill>
              <a:ln>
                <a:solidFill>
                  <a:srgbClr val="008000"/>
                </a:solidFill>
                <a:prstDash val="solid"/>
              </a:ln>
            </c:spPr>
          </c:marker>
          <c:cat>
            <c:strRef>
              <c:f>Sheet1!$B$1:$F$2</c:f>
              <c:strCache>
                <c:ptCount val="5"/>
                <c:pt idx="0">
                  <c:v>2012</c:v>
                </c:pt>
                <c:pt idx="1">
                  <c:v>2013</c:v>
                </c:pt>
                <c:pt idx="2">
                  <c:v>2014</c:v>
                </c:pt>
                <c:pt idx="3">
                  <c:v>2015</c:v>
                </c:pt>
                <c:pt idx="4">
                  <c:v>2016</c:v>
                </c:pt>
              </c:strCache>
            </c:strRef>
          </c:cat>
          <c:val>
            <c:numRef>
              <c:f>Sheet1!$B$3:$F$3</c:f>
              <c:numCache>
                <c:formatCode>General</c:formatCode>
                <c:ptCount val="5"/>
                <c:pt idx="0">
                  <c:v>258259</c:v>
                </c:pt>
                <c:pt idx="1">
                  <c:v>213736</c:v>
                </c:pt>
                <c:pt idx="2">
                  <c:v>168237</c:v>
                </c:pt>
                <c:pt idx="3">
                  <c:v>236010</c:v>
                </c:pt>
                <c:pt idx="4">
                  <c:v>161310</c:v>
                </c:pt>
              </c:numCache>
            </c:numRef>
          </c:val>
        </c:ser>
        <c:ser>
          <c:idx val="2"/>
          <c:order val="1"/>
          <c:tx>
            <c:strRef>
              <c:f>Sheet1!$A$4</c:f>
              <c:strCache>
                <c:ptCount val="1"/>
                <c:pt idx="0">
                  <c:v>Volume de apa consumate- mii mc</c:v>
                </c:pt>
              </c:strCache>
            </c:strRef>
          </c:tx>
          <c:spPr>
            <a:ln w="19538">
              <a:solidFill>
                <a:srgbClr val="3366FF"/>
              </a:solidFill>
              <a:prstDash val="solid"/>
            </a:ln>
          </c:spPr>
          <c:marker>
            <c:symbol val="diamond"/>
            <c:size val="2"/>
            <c:spPr>
              <a:solidFill>
                <a:srgbClr val="3366FF"/>
              </a:solidFill>
              <a:ln>
                <a:solidFill>
                  <a:srgbClr val="3366FF"/>
                </a:solidFill>
                <a:prstDash val="solid"/>
              </a:ln>
            </c:spPr>
          </c:marker>
          <c:cat>
            <c:strRef>
              <c:f>Sheet1!$B$1:$F$2</c:f>
              <c:strCache>
                <c:ptCount val="5"/>
                <c:pt idx="0">
                  <c:v>2012</c:v>
                </c:pt>
                <c:pt idx="1">
                  <c:v>2013</c:v>
                </c:pt>
                <c:pt idx="2">
                  <c:v>2014</c:v>
                </c:pt>
                <c:pt idx="3">
                  <c:v>2015</c:v>
                </c:pt>
                <c:pt idx="4">
                  <c:v>2016</c:v>
                </c:pt>
              </c:strCache>
            </c:strRef>
          </c:cat>
          <c:val>
            <c:numRef>
              <c:f>Sheet1!$B$4:$F$4</c:f>
              <c:numCache>
                <c:formatCode>General</c:formatCode>
                <c:ptCount val="5"/>
                <c:pt idx="0">
                  <c:v>159108</c:v>
                </c:pt>
                <c:pt idx="1">
                  <c:v>207269</c:v>
                </c:pt>
                <c:pt idx="2">
                  <c:v>155441</c:v>
                </c:pt>
                <c:pt idx="3">
                  <c:v>201791</c:v>
                </c:pt>
                <c:pt idx="4">
                  <c:v>142799</c:v>
                </c:pt>
              </c:numCache>
            </c:numRef>
          </c:val>
        </c:ser>
        <c:marker val="1"/>
        <c:axId val="136179712"/>
        <c:axId val="136181632"/>
      </c:lineChart>
      <c:catAx>
        <c:axId val="136179712"/>
        <c:scaling>
          <c:orientation val="minMax"/>
        </c:scaling>
        <c:axPos val="b"/>
        <c:numFmt formatCode="General" sourceLinked="1"/>
        <c:tickLblPos val="nextTo"/>
        <c:spPr>
          <a:ln w="19538">
            <a:solidFill>
              <a:srgbClr val="000000"/>
            </a:solidFill>
            <a:prstDash val="solid"/>
          </a:ln>
        </c:spPr>
        <c:txPr>
          <a:bodyPr rot="0" vert="horz"/>
          <a:lstStyle/>
          <a:p>
            <a:pPr>
              <a:defRPr/>
            </a:pPr>
            <a:endParaRPr lang="ro-RO"/>
          </a:p>
        </c:txPr>
        <c:crossAx val="136181632"/>
        <c:crosses val="autoZero"/>
        <c:auto val="1"/>
        <c:lblAlgn val="ctr"/>
        <c:lblOffset val="100"/>
        <c:tickLblSkip val="1"/>
        <c:tickMarkSkip val="1"/>
      </c:catAx>
      <c:valAx>
        <c:axId val="136181632"/>
        <c:scaling>
          <c:orientation val="minMax"/>
        </c:scaling>
        <c:axPos val="l"/>
        <c:majorGridlines>
          <c:spPr>
            <a:ln w="2443">
              <a:solidFill>
                <a:srgbClr val="000000"/>
              </a:solidFill>
              <a:prstDash val="solid"/>
            </a:ln>
          </c:spPr>
        </c:majorGridlines>
        <c:numFmt formatCode="General" sourceLinked="0"/>
        <c:tickLblPos val="nextTo"/>
        <c:spPr>
          <a:ln w="19538">
            <a:solidFill>
              <a:srgbClr val="000000"/>
            </a:solidFill>
            <a:prstDash val="solid"/>
          </a:ln>
        </c:spPr>
        <c:txPr>
          <a:bodyPr rot="0" vert="horz"/>
          <a:lstStyle/>
          <a:p>
            <a:pPr>
              <a:defRPr sz="850" baseline="0"/>
            </a:pPr>
            <a:endParaRPr lang="ro-RO"/>
          </a:p>
        </c:txPr>
        <c:crossAx val="136179712"/>
        <c:crosses val="autoZero"/>
        <c:crossBetween val="between"/>
      </c:valAx>
      <c:spPr>
        <a:solidFill>
          <a:srgbClr val="DEF2F2"/>
        </a:solidFill>
        <a:ln w="25390">
          <a:noFill/>
        </a:ln>
      </c:spPr>
    </c:plotArea>
    <c:legend>
      <c:legendPos val="b"/>
      <c:layout>
        <c:manualLayout>
          <c:xMode val="edge"/>
          <c:yMode val="edge"/>
          <c:x val="0.16334996443201621"/>
          <c:y val="0.82196524704484963"/>
          <c:w val="0.81441479628130586"/>
          <c:h val="6.8073353575901052E-2"/>
        </c:manualLayout>
      </c:layout>
      <c:spPr>
        <a:noFill/>
        <a:ln w="19538">
          <a:noFill/>
        </a:ln>
      </c:spPr>
    </c:legend>
    <c:plotVisOnly val="1"/>
    <c:dispBlanksAs val="gap"/>
  </c:chart>
  <c:spPr>
    <a:noFill/>
    <a:ln w="6350">
      <a:solidFill>
        <a:sysClr val="windowText" lastClr="000000"/>
      </a:solidFill>
    </a:ln>
  </c:spPr>
  <c:txPr>
    <a:bodyPr/>
    <a:lstStyle/>
    <a:p>
      <a:pPr>
        <a:defRPr sz="870" b="1" i="0" u="none" strike="noStrike" baseline="0">
          <a:solidFill>
            <a:srgbClr val="000000"/>
          </a:solidFill>
          <a:latin typeface="Arial"/>
          <a:ea typeface="Arial"/>
          <a:cs typeface="Arial"/>
        </a:defRPr>
      </a:pPr>
      <a:endParaRPr lang="ro-RO"/>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00">
                <a:latin typeface="Arial" pitchFamily="34" charset="0"/>
                <a:cs typeface="Arial" pitchFamily="34" charset="0"/>
              </a:defRPr>
            </a:pPr>
            <a:r>
              <a:rPr lang="ro-RO" sz="1200">
                <a:latin typeface="Arial" pitchFamily="34" charset="0"/>
                <a:cs typeface="Arial" pitchFamily="34" charset="0"/>
              </a:rPr>
              <a:t>Acoperirea/utilizarea terenurilor în anul 2016 </a:t>
            </a:r>
          </a:p>
        </c:rich>
      </c:tx>
      <c:layout>
        <c:manualLayout>
          <c:xMode val="edge"/>
          <c:yMode val="edge"/>
          <c:x val="6.5940397943651599E-2"/>
          <c:y val="3.8433947257615349E-2"/>
        </c:manualLayout>
      </c:layout>
    </c:title>
    <c:view3D>
      <c:rotX val="30"/>
      <c:perspective val="30"/>
    </c:view3D>
    <c:plotArea>
      <c:layout>
        <c:manualLayout>
          <c:layoutTarget val="inner"/>
          <c:xMode val="edge"/>
          <c:yMode val="edge"/>
          <c:x val="0.10514155141780562"/>
          <c:y val="0.33485080192468247"/>
          <c:w val="0.50946490064134786"/>
          <c:h val="0.51405390843675658"/>
        </c:manualLayout>
      </c:layout>
      <c:pie3DChart>
        <c:varyColors val="1"/>
        <c:ser>
          <c:idx val="0"/>
          <c:order val="0"/>
          <c:tx>
            <c:strRef>
              <c:f>Sheet1!$B$1</c:f>
              <c:strCache>
                <c:ptCount val="1"/>
                <c:pt idx="0">
                  <c:v>Column1</c:v>
                </c:pt>
              </c:strCache>
            </c:strRef>
          </c:tx>
          <c:dPt>
            <c:idx val="0"/>
            <c:spPr>
              <a:solidFill>
                <a:srgbClr val="C00000"/>
              </a:solidFill>
            </c:spPr>
          </c:dPt>
          <c:dPt>
            <c:idx val="1"/>
            <c:spPr>
              <a:solidFill>
                <a:srgbClr val="00B050"/>
              </a:solidFill>
            </c:spPr>
          </c:dPt>
          <c:dPt>
            <c:idx val="2"/>
            <c:spPr>
              <a:solidFill>
                <a:schemeClr val="tx2">
                  <a:lumMod val="60000"/>
                  <a:lumOff val="40000"/>
                </a:schemeClr>
              </a:solidFill>
            </c:spPr>
          </c:dPt>
          <c:dPt>
            <c:idx val="3"/>
            <c:spPr>
              <a:solidFill>
                <a:srgbClr val="FFC000"/>
              </a:solidFill>
            </c:spPr>
          </c:dPt>
          <c:dPt>
            <c:idx val="4"/>
            <c:spPr>
              <a:solidFill>
                <a:schemeClr val="accent2">
                  <a:lumMod val="60000"/>
                  <a:lumOff val="40000"/>
                </a:schemeClr>
              </a:solidFill>
            </c:spPr>
          </c:dPt>
          <c:dPt>
            <c:idx val="5"/>
            <c:spPr>
              <a:solidFill>
                <a:srgbClr val="FF0000"/>
              </a:solidFill>
            </c:spPr>
          </c:dPt>
          <c:cat>
            <c:strRef>
              <c:f>Sheet1!$A$2:$A$7</c:f>
              <c:strCache>
                <c:ptCount val="6"/>
                <c:pt idx="0">
                  <c:v>terenuri agricole</c:v>
                </c:pt>
                <c:pt idx="1">
                  <c:v>păduri</c:v>
                </c:pt>
                <c:pt idx="2">
                  <c:v>ape</c:v>
                </c:pt>
                <c:pt idx="3">
                  <c:v>drumuri și căi ferate</c:v>
                </c:pt>
                <c:pt idx="4">
                  <c:v>curți și construcții</c:v>
                </c:pt>
                <c:pt idx="5">
                  <c:v>neproductive</c:v>
                </c:pt>
              </c:strCache>
            </c:strRef>
          </c:cat>
          <c:val>
            <c:numRef>
              <c:f>Sheet1!$B$2:$B$7</c:f>
              <c:numCache>
                <c:formatCode>General</c:formatCode>
                <c:ptCount val="6"/>
                <c:pt idx="0">
                  <c:v>387363</c:v>
                </c:pt>
                <c:pt idx="1">
                  <c:v>28383</c:v>
                </c:pt>
                <c:pt idx="2">
                  <c:v>30331</c:v>
                </c:pt>
                <c:pt idx="3">
                  <c:v>8586</c:v>
                </c:pt>
                <c:pt idx="4">
                  <c:v>13294</c:v>
                </c:pt>
                <c:pt idx="5">
                  <c:v>7928</c:v>
                </c:pt>
              </c:numCache>
            </c:numRef>
          </c:val>
        </c:ser>
      </c:pie3DChart>
    </c:plotArea>
    <c:legend>
      <c:legendPos val="r"/>
      <c:layout>
        <c:manualLayout>
          <c:xMode val="edge"/>
          <c:yMode val="edge"/>
          <c:x val="0.77267634834510746"/>
          <c:y val="3.5360687012980264E-2"/>
          <c:w val="0.22325857474838987"/>
          <c:h val="0.96463947938570105"/>
        </c:manualLayout>
      </c:layout>
    </c:legend>
    <c:plotVisOnly val="1"/>
  </c:chart>
  <c:spPr>
    <a:solidFill>
      <a:srgbClr val="FBF3F3"/>
    </a:solidFill>
  </c:spPr>
  <c:externalData r:id="rId2"/>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91" b="1" i="0" u="none" strike="noStrike" baseline="0">
                <a:solidFill>
                  <a:srgbClr val="000000"/>
                </a:solidFill>
                <a:latin typeface="Arial"/>
                <a:ea typeface="Arial"/>
                <a:cs typeface="Arial"/>
              </a:defRPr>
            </a:pPr>
            <a:r>
              <a:rPr lang="en-US"/>
              <a:t>
</a:t>
            </a:r>
          </a:p>
        </c:rich>
      </c:tx>
      <c:layout>
        <c:manualLayout>
          <c:xMode val="edge"/>
          <c:yMode val="edge"/>
          <c:x val="0.50553509831603749"/>
          <c:y val="0"/>
        </c:manualLayout>
      </c:layout>
      <c:spPr>
        <a:noFill/>
        <a:ln w="18850">
          <a:noFill/>
        </a:ln>
      </c:spPr>
    </c:title>
    <c:view3D>
      <c:perspective val="0"/>
    </c:view3D>
    <c:plotArea>
      <c:layout>
        <c:manualLayout>
          <c:layoutTarget val="inner"/>
          <c:xMode val="edge"/>
          <c:yMode val="edge"/>
          <c:x val="0.24805858313955823"/>
          <c:y val="0.27411167512690382"/>
          <c:w val="0.47254394273052375"/>
          <c:h val="0.51588924216900489"/>
        </c:manualLayout>
      </c:layout>
      <c:pie3DChart>
        <c:varyColors val="1"/>
        <c:ser>
          <c:idx val="0"/>
          <c:order val="0"/>
          <c:tx>
            <c:strRef>
              <c:f>Sheet1!$A$2</c:f>
              <c:strCache>
                <c:ptCount val="1"/>
                <c:pt idx="0">
                  <c:v>476576</c:v>
                </c:pt>
              </c:strCache>
            </c:strRef>
          </c:tx>
          <c:spPr>
            <a:ln w="2355">
              <a:solidFill>
                <a:srgbClr val="000000"/>
              </a:solidFill>
              <a:prstDash val="solid"/>
            </a:ln>
          </c:spPr>
          <c:explosion val="8"/>
          <c:dPt>
            <c:idx val="0"/>
            <c:spPr>
              <a:solidFill>
                <a:srgbClr val="99CCFF"/>
              </a:solidFill>
              <a:ln w="18842">
                <a:noFill/>
              </a:ln>
            </c:spPr>
          </c:dPt>
          <c:dPt>
            <c:idx val="1"/>
            <c:spPr/>
          </c:dPt>
          <c:dPt>
            <c:idx val="2"/>
            <c:spPr>
              <a:solidFill>
                <a:srgbClr val="339966"/>
              </a:solidFill>
              <a:ln w="18842">
                <a:noFill/>
              </a:ln>
            </c:spPr>
          </c:dPt>
          <c:dPt>
            <c:idx val="3"/>
            <c:spPr>
              <a:solidFill>
                <a:srgbClr val="FF0000"/>
              </a:solidFill>
              <a:ln w="18842">
                <a:noFill/>
              </a:ln>
            </c:spPr>
          </c:dPt>
          <c:dLbls>
            <c:dLbl>
              <c:idx val="0"/>
              <c:delete val="1"/>
            </c:dLbl>
            <c:dLbl>
              <c:idx val="1"/>
              <c:layout>
                <c:manualLayout>
                  <c:x val="0.15788709068193627"/>
                  <c:y val="8.3433124158972707E-2"/>
                </c:manualLayout>
              </c:layout>
              <c:tx>
                <c:rich>
                  <a:bodyPr/>
                  <a:lstStyle/>
                  <a:p>
                    <a:pPr>
                      <a:defRPr sz="591" b="1" i="0" u="none" strike="noStrike" baseline="0">
                        <a:solidFill>
                          <a:srgbClr val="000000"/>
                        </a:solidFill>
                        <a:latin typeface="Arial"/>
                        <a:ea typeface="Arial"/>
                        <a:cs typeface="Arial"/>
                      </a:defRPr>
                    </a:pPr>
                    <a:r>
                      <a:rPr lang="ro-RO" sz="814" b="0" i="0" strike="noStrike">
                        <a:solidFill>
                          <a:srgbClr val="000000"/>
                        </a:solidFill>
                        <a:latin typeface="Arial"/>
                        <a:cs typeface="Arial"/>
                      </a:rPr>
                      <a:t>terenuri agricole</a:t>
                    </a:r>
                    <a:endParaRPr lang="ro-RO" sz="1050" b="0" i="0" strike="noStrike">
                      <a:solidFill>
                        <a:srgbClr val="000000"/>
                      </a:solidFill>
                      <a:latin typeface="Arial"/>
                      <a:cs typeface="Arial"/>
                    </a:endParaRPr>
                  </a:p>
                  <a:p>
                    <a:pPr>
                      <a:defRPr sz="591" b="1" i="0" u="none" strike="noStrike" baseline="0">
                        <a:solidFill>
                          <a:srgbClr val="000000"/>
                        </a:solidFill>
                        <a:latin typeface="Arial"/>
                        <a:ea typeface="Arial"/>
                        <a:cs typeface="Arial"/>
                      </a:defRPr>
                    </a:pPr>
                    <a:r>
                      <a:rPr lang="ro-RO" sz="779" b="0" i="0" strike="noStrike">
                        <a:solidFill>
                          <a:srgbClr val="000000"/>
                        </a:solidFill>
                        <a:latin typeface="Arial"/>
                        <a:cs typeface="Arial"/>
                      </a:rPr>
                      <a:t>81,81%</a:t>
                    </a:r>
                  </a:p>
                  <a:p>
                    <a:pPr>
                      <a:defRPr sz="591"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BF3F3"/>
                </a:solidFill>
                <a:ln w="18842">
                  <a:noFill/>
                </a:ln>
              </c:spPr>
              <c:dLblPos val="bestFit"/>
            </c:dLbl>
            <c:dLbl>
              <c:idx val="2"/>
              <c:layout>
                <c:manualLayout>
                  <c:x val="-0.10856727779876224"/>
                  <c:y val="-0.20347302558744629"/>
                </c:manualLayout>
              </c:layout>
              <c:tx>
                <c:rich>
                  <a:bodyPr/>
                  <a:lstStyle/>
                  <a:p>
                    <a:pPr>
                      <a:defRPr sz="593" b="1" i="0" u="none" strike="noStrike" baseline="0">
                        <a:solidFill>
                          <a:srgbClr val="000000"/>
                        </a:solidFill>
                        <a:latin typeface="Arial"/>
                        <a:ea typeface="Arial"/>
                        <a:cs typeface="Arial"/>
                      </a:defRPr>
                    </a:pPr>
                    <a:r>
                      <a:rPr lang="vi-VN" sz="814" b="0" i="0" strike="noStrike">
                        <a:solidFill>
                          <a:srgbClr val="000000"/>
                        </a:solidFill>
                        <a:latin typeface="Arial"/>
                        <a:cs typeface="Arial"/>
                      </a:rPr>
                      <a:t>păduri</a:t>
                    </a:r>
                    <a:endParaRPr lang="vi-VN" sz="1050" b="0" i="0" strike="noStrike">
                      <a:solidFill>
                        <a:srgbClr val="000000"/>
                      </a:solidFill>
                      <a:latin typeface="Arial"/>
                      <a:cs typeface="Arial"/>
                    </a:endParaRPr>
                  </a:p>
                  <a:p>
                    <a:pPr>
                      <a:defRPr sz="593" b="1" i="0" u="none" strike="noStrike" baseline="0">
                        <a:solidFill>
                          <a:srgbClr val="000000"/>
                        </a:solidFill>
                        <a:latin typeface="Arial"/>
                        <a:ea typeface="Arial"/>
                        <a:cs typeface="Arial"/>
                      </a:defRPr>
                    </a:pPr>
                    <a:r>
                      <a:rPr lang="vi-VN" sz="779" b="0" i="0" strike="noStrike">
                        <a:solidFill>
                          <a:srgbClr val="000000"/>
                        </a:solidFill>
                        <a:latin typeface="Arial"/>
                        <a:cs typeface="Arial"/>
                      </a:rPr>
                      <a:t>6,</a:t>
                    </a:r>
                    <a:r>
                      <a:rPr lang="ro-RO" sz="779" b="0" i="0" strike="noStrike">
                        <a:solidFill>
                          <a:srgbClr val="000000"/>
                        </a:solidFill>
                        <a:latin typeface="Arial"/>
                        <a:cs typeface="Arial"/>
                      </a:rPr>
                      <a:t>3</a:t>
                    </a:r>
                    <a:r>
                      <a:rPr lang="vi-VN" sz="779" b="0" i="0" strike="noStrike">
                        <a:solidFill>
                          <a:srgbClr val="000000"/>
                        </a:solidFill>
                        <a:latin typeface="Arial"/>
                        <a:cs typeface="Arial"/>
                      </a:rPr>
                      <a:t>%</a:t>
                    </a:r>
                  </a:p>
                </c:rich>
              </c:tx>
              <c:spPr>
                <a:solidFill>
                  <a:srgbClr val="FBF3F3"/>
                </a:solidFill>
                <a:ln w="18842">
                  <a:noFill/>
                </a:ln>
              </c:spPr>
              <c:dLblPos val="bestFit"/>
            </c:dLbl>
            <c:dLbl>
              <c:idx val="3"/>
              <c:layout>
                <c:manualLayout>
                  <c:x val="0.13025218569188651"/>
                  <c:y val="-5.9214977281919032E-2"/>
                </c:manualLayout>
              </c:layout>
              <c:tx>
                <c:rich>
                  <a:bodyPr/>
                  <a:lstStyle/>
                  <a:p>
                    <a:pPr>
                      <a:defRPr sz="592" b="1" i="0" u="none" strike="noStrike" baseline="0">
                        <a:solidFill>
                          <a:srgbClr val="000000"/>
                        </a:solidFill>
                        <a:latin typeface="Arial"/>
                        <a:ea typeface="Arial"/>
                        <a:cs typeface="Arial"/>
                      </a:defRPr>
                    </a:pPr>
                    <a:r>
                      <a:rPr lang="ro-RO" sz="814" b="0" i="0" strike="noStrike">
                        <a:solidFill>
                          <a:srgbClr val="000000"/>
                        </a:solidFill>
                        <a:latin typeface="Arial"/>
                        <a:cs typeface="Arial"/>
                      </a:rPr>
                      <a:t>alte terenuri</a:t>
                    </a:r>
                    <a:endParaRPr lang="ro-RO" sz="1050" b="0" i="0" strike="noStrike">
                      <a:solidFill>
                        <a:srgbClr val="000000"/>
                      </a:solidFill>
                      <a:latin typeface="Arial"/>
                      <a:cs typeface="Arial"/>
                    </a:endParaRPr>
                  </a:p>
                  <a:p>
                    <a:pPr>
                      <a:defRPr sz="592" b="1" i="0" u="none" strike="noStrike" baseline="0">
                        <a:solidFill>
                          <a:srgbClr val="000000"/>
                        </a:solidFill>
                        <a:latin typeface="Arial"/>
                        <a:ea typeface="Arial"/>
                        <a:cs typeface="Arial"/>
                      </a:defRPr>
                    </a:pPr>
                    <a:r>
                      <a:rPr lang="ro-RO" sz="779" b="0" i="0" strike="noStrike">
                        <a:solidFill>
                          <a:srgbClr val="000000"/>
                        </a:solidFill>
                        <a:latin typeface="Arial"/>
                        <a:cs typeface="Arial"/>
                      </a:rPr>
                      <a:t>11,89%</a:t>
                    </a:r>
                  </a:p>
                  <a:p>
                    <a:pPr>
                      <a:defRPr sz="592"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BF3F3"/>
                </a:solidFill>
                <a:ln w="18842">
                  <a:noFill/>
                </a:ln>
              </c:spPr>
              <c:dLblPos val="bestFit"/>
            </c:dLbl>
            <c:dLbl>
              <c:idx val="4"/>
              <c:delete val="1"/>
            </c:dLbl>
            <c:dLbl>
              <c:idx val="5"/>
              <c:layout>
                <c:manualLayout>
                  <c:xMode val="edge"/>
                  <c:yMode val="edge"/>
                  <c:x val="0.81796690307328601"/>
                  <c:y val="0.56140350877190437"/>
                </c:manualLayout>
              </c:layout>
              <c:tx>
                <c:rich>
                  <a:bodyPr/>
                  <a:lstStyle/>
                  <a:p>
                    <a:pPr>
                      <a:defRPr sz="349" b="0" i="1" u="none" strike="noStrike" baseline="0">
                        <a:solidFill>
                          <a:srgbClr val="000000"/>
                        </a:solidFill>
                        <a:latin typeface="Arial"/>
                        <a:ea typeface="Arial"/>
                        <a:cs typeface="Arial"/>
                      </a:defRPr>
                    </a:pPr>
                    <a:r>
                      <a:t>  fâneţe
0,02%</a:t>
                    </a:r>
                  </a:p>
                </c:rich>
              </c:tx>
              <c:numFmt formatCode="0%" sourceLinked="0"/>
              <c:spPr>
                <a:solidFill>
                  <a:srgbClr val="FBF3F3"/>
                </a:solidFill>
                <a:ln w="18842">
                  <a:noFill/>
                </a:ln>
              </c:spPr>
              <c:dLblPos val="bestFit"/>
            </c:dLbl>
            <c:numFmt formatCode="0%" sourceLinked="0"/>
            <c:spPr>
              <a:solidFill>
                <a:srgbClr val="FBF3F3"/>
              </a:solidFill>
              <a:ln w="18842">
                <a:noFill/>
              </a:ln>
            </c:spPr>
            <c:txPr>
              <a:bodyPr/>
              <a:lstStyle/>
              <a:p>
                <a:pPr>
                  <a:defRPr sz="779" b="0" i="0" u="none" strike="noStrike" baseline="0">
                    <a:solidFill>
                      <a:srgbClr val="000000"/>
                    </a:solidFill>
                    <a:latin typeface="Arial"/>
                    <a:ea typeface="Arial"/>
                    <a:cs typeface="Arial"/>
                  </a:defRPr>
                </a:pPr>
                <a:endParaRPr lang="ro-RO"/>
              </a:p>
            </c:txPr>
            <c:showCatName val="1"/>
            <c:showPercent val="1"/>
            <c:showLeaderLines val="1"/>
            <c:leaderLines>
              <c:spPr>
                <a:ln w="9422">
                  <a:solidFill>
                    <a:srgbClr val="000000"/>
                  </a:solidFill>
                  <a:prstDash val="solid"/>
                </a:ln>
              </c:spPr>
            </c:leaderLines>
          </c:dLbls>
          <c:cat>
            <c:strRef>
              <c:f>Sheet1!$B$1:$F$1</c:f>
              <c:strCache>
                <c:ptCount val="4"/>
                <c:pt idx="1">
                  <c:v>agricole</c:v>
                </c:pt>
                <c:pt idx="2">
                  <c:v>paduri</c:v>
                </c:pt>
                <c:pt idx="3">
                  <c:v>alte terenuri</c:v>
                </c:pt>
              </c:strCache>
            </c:strRef>
          </c:cat>
          <c:val>
            <c:numRef>
              <c:f>Sheet1!$B$2:$F$2</c:f>
              <c:numCache>
                <c:formatCode>General</c:formatCode>
                <c:ptCount val="4"/>
                <c:pt idx="1">
                  <c:v>387363</c:v>
                </c:pt>
                <c:pt idx="2">
                  <c:v>28383</c:v>
                </c:pt>
                <c:pt idx="3">
                  <c:v>60830</c:v>
                </c:pt>
              </c:numCache>
            </c:numRef>
          </c:val>
        </c:ser>
        <c:dLbls>
          <c:showCatName val="1"/>
          <c:showPercent val="1"/>
        </c:dLbls>
      </c:pie3DChart>
      <c:spPr>
        <a:solidFill>
          <a:srgbClr val="FBF3F3"/>
        </a:solidFill>
        <a:ln w="18842">
          <a:noFill/>
        </a:ln>
        <a:effectLst>
          <a:outerShdw blurRad="50800" dist="50800" dir="5400000" algn="ctr" rotWithShape="0">
            <a:srgbClr val="FBF3F3"/>
          </a:outerShdw>
        </a:effectLst>
      </c:spPr>
    </c:plotArea>
    <c:plotVisOnly val="1"/>
    <c:dispBlanksAs val="zero"/>
  </c:chart>
  <c:spPr>
    <a:solidFill>
      <a:srgbClr val="FBF3F3"/>
    </a:solidFill>
    <a:ln>
      <a:solidFill>
        <a:sysClr val="windowText" lastClr="000000"/>
      </a:solidFill>
    </a:ln>
  </c:spPr>
  <c:txPr>
    <a:bodyPr/>
    <a:lstStyle/>
    <a:p>
      <a:pPr>
        <a:defRPr sz="594" b="1" i="0" u="none" strike="noStrike" baseline="0">
          <a:solidFill>
            <a:srgbClr val="000000"/>
          </a:solidFill>
          <a:latin typeface="Arial"/>
          <a:ea typeface="Arial"/>
          <a:cs typeface="Arial"/>
        </a:defRPr>
      </a:pPr>
      <a:endParaRPr lang="ro-RO"/>
    </a:p>
  </c:txPr>
  <c:externalData r:id="rId2"/>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perspective val="0"/>
    </c:view3D>
    <c:plotArea>
      <c:layout>
        <c:manualLayout>
          <c:layoutTarget val="inner"/>
          <c:xMode val="edge"/>
          <c:yMode val="edge"/>
          <c:x val="0.20932973618000006"/>
          <c:y val="0.33960018038125656"/>
          <c:w val="0.56457490747160799"/>
          <c:h val="0.60141459331828762"/>
        </c:manualLayout>
      </c:layout>
      <c:pie3DChart>
        <c:varyColors val="1"/>
        <c:ser>
          <c:idx val="0"/>
          <c:order val="0"/>
          <c:tx>
            <c:strRef>
              <c:f>Sheet1!$A$2</c:f>
              <c:strCache>
                <c:ptCount val="1"/>
                <c:pt idx="0">
                  <c:v>387750</c:v>
                </c:pt>
              </c:strCache>
            </c:strRef>
          </c:tx>
          <c:spPr>
            <a:ln w="2165">
              <a:solidFill>
                <a:srgbClr val="000000"/>
              </a:solidFill>
              <a:prstDash val="solid"/>
            </a:ln>
          </c:spPr>
          <c:explosion val="15"/>
          <c:dPt>
            <c:idx val="0"/>
            <c:spPr>
              <a:solidFill>
                <a:srgbClr val="99CCFF"/>
              </a:solidFill>
              <a:ln w="17318">
                <a:noFill/>
              </a:ln>
            </c:spPr>
          </c:dPt>
          <c:dPt>
            <c:idx val="1"/>
            <c:explosion val="0"/>
            <c:spPr>
              <a:solidFill>
                <a:srgbClr val="99CC00"/>
              </a:solidFill>
              <a:ln w="17318">
                <a:noFill/>
              </a:ln>
            </c:spPr>
          </c:dPt>
          <c:dPt>
            <c:idx val="2"/>
            <c:spPr>
              <a:solidFill>
                <a:srgbClr val="FF9900"/>
              </a:solidFill>
              <a:ln w="17318">
                <a:noFill/>
              </a:ln>
            </c:spPr>
          </c:dPt>
          <c:dPt>
            <c:idx val="3"/>
            <c:explosion val="17"/>
            <c:spPr>
              <a:solidFill>
                <a:srgbClr val="FF0000"/>
              </a:solidFill>
              <a:ln w="17318">
                <a:noFill/>
              </a:ln>
            </c:spPr>
          </c:dPt>
          <c:dPt>
            <c:idx val="4"/>
            <c:spPr>
              <a:solidFill>
                <a:srgbClr val="808000"/>
              </a:solidFill>
              <a:ln w="17318">
                <a:noFill/>
              </a:ln>
            </c:spPr>
          </c:dPt>
          <c:dLbls>
            <c:dLbl>
              <c:idx val="0"/>
              <c:delete val="1"/>
            </c:dLbl>
            <c:dLbl>
              <c:idx val="1"/>
              <c:layout>
                <c:manualLayout>
                  <c:x val="0.15929336419155107"/>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90,</a:t>
                    </a:r>
                    <a:r>
                      <a:rPr lang="ro-RO"/>
                      <a:t>22</a:t>
                    </a:r>
                    <a:r>
                      <a:rPr lang="en-US"/>
                      <a:t>%</a:t>
                    </a:r>
                  </a:p>
                </c:rich>
              </c:tx>
              <c:spPr>
                <a:solidFill>
                  <a:srgbClr val="DBE6C4">
                    <a:alpha val="15000"/>
                  </a:srgbClr>
                </a:solidFill>
                <a:ln w="17318">
                  <a:noFill/>
                </a:ln>
              </c:spPr>
              <c:dLblPos val="bestFit"/>
            </c:dLbl>
            <c:dLbl>
              <c:idx val="2"/>
              <c:layout>
                <c:manualLayout>
                  <c:x val="-0.14784960055584243"/>
                  <c:y val="-4.8417651501412133E-2"/>
                </c:manualLayout>
              </c:layout>
              <c:tx>
                <c:rich>
                  <a:bodyPr/>
                  <a:lstStyle/>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păşuni</a:t>
                    </a:r>
                  </a:p>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8,</a:t>
                    </a:r>
                    <a:r>
                      <a:rPr lang="ro-RO" sz="813" b="1" i="0" strike="noStrike">
                        <a:solidFill>
                          <a:srgbClr val="000000"/>
                        </a:solidFill>
                        <a:latin typeface="Arial"/>
                        <a:cs typeface="Arial"/>
                      </a:rPr>
                      <a:t>50</a:t>
                    </a:r>
                    <a:r>
                      <a:rPr lang="vi-VN" sz="813" b="1" i="0" strike="noStrike">
                        <a:solidFill>
                          <a:srgbClr val="000000"/>
                        </a:solidFill>
                        <a:latin typeface="Arial"/>
                        <a:cs typeface="Arial"/>
                      </a:rPr>
                      <a:t>%</a:t>
                    </a:r>
                  </a:p>
                </c:rich>
              </c:tx>
              <c:spPr>
                <a:solidFill>
                  <a:srgbClr val="DBE6C4">
                    <a:alpha val="15000"/>
                  </a:srgbClr>
                </a:solidFill>
                <a:ln w="17318">
                  <a:noFill/>
                </a:ln>
              </c:spPr>
              <c:dLblPos val="bestFit"/>
            </c:dLbl>
            <c:dLbl>
              <c:idx val="3"/>
              <c:layout>
                <c:manualLayout>
                  <c:x val="-3.0233806981025436E-2"/>
                  <c:y val="-0.11099900123104089"/>
                </c:manualLayout>
              </c:layout>
              <c:tx>
                <c:rich>
                  <a:bodyPr/>
                  <a:lstStyle/>
                  <a:p>
                    <a:pPr>
                      <a:defRPr lang="en-US" sz="819" b="1" i="0" u="none" strike="noStrike" baseline="0">
                        <a:solidFill>
                          <a:srgbClr val="000000"/>
                        </a:solidFill>
                        <a:latin typeface="Arial"/>
                        <a:ea typeface="Arial"/>
                        <a:cs typeface="Arial"/>
                      </a:defRPr>
                    </a:pPr>
                    <a:r>
                      <a:rPr lang="en-US"/>
                      <a:t>vii
1,1</a:t>
                    </a:r>
                    <a:r>
                      <a:rPr lang="ro-RO"/>
                      <a:t>0</a:t>
                    </a:r>
                    <a:r>
                      <a:rPr lang="en-US"/>
                      <a:t>%</a:t>
                    </a:r>
                  </a:p>
                </c:rich>
              </c:tx>
              <c:spPr>
                <a:solidFill>
                  <a:srgbClr val="DBE6C4">
                    <a:alpha val="15000"/>
                  </a:srgbClr>
                </a:solidFill>
                <a:ln w="17318">
                  <a:noFill/>
                </a:ln>
              </c:spPr>
              <c:dLblPos val="bestFit"/>
            </c:dLbl>
            <c:dLbl>
              <c:idx val="4"/>
              <c:layout>
                <c:manualLayout>
                  <c:x val="0.23703168848107894"/>
                  <c:y val="-7.0654647872656684E-2"/>
                </c:manualLayout>
              </c:layout>
              <c:tx>
                <c:rich>
                  <a:bodyPr/>
                  <a:lstStyle/>
                  <a:p>
                    <a:pPr>
                      <a:defRPr lang="en-US" sz="819" b="1" i="0" u="none" strike="noStrike" baseline="0">
                        <a:solidFill>
                          <a:srgbClr val="000000"/>
                        </a:solidFill>
                        <a:latin typeface="Arial"/>
                        <a:ea typeface="Arial"/>
                        <a:cs typeface="Arial"/>
                      </a:defRPr>
                    </a:pPr>
                    <a:r>
                      <a:rPr lang="en-US"/>
                      <a:t>livezi
0,1</a:t>
                    </a:r>
                    <a:r>
                      <a:rPr lang="ro-RO"/>
                      <a:t>8</a:t>
                    </a:r>
                    <a:r>
                      <a:rPr lang="en-US"/>
                      <a:t>%</a:t>
                    </a:r>
                  </a:p>
                </c:rich>
              </c:tx>
              <c:spPr>
                <a:solidFill>
                  <a:srgbClr val="DBE6C4">
                    <a:alpha val="15000"/>
                  </a:srgbClr>
                </a:solidFill>
                <a:ln w="17318">
                  <a:noFill/>
                </a:ln>
              </c:spPr>
              <c:dLblPos val="bestFit"/>
            </c:dLbl>
            <c:dLbl>
              <c:idx val="5"/>
              <c:delete val="1"/>
            </c:dLbl>
            <c:numFmt formatCode="0%" sourceLinked="0"/>
            <c:spPr>
              <a:solidFill>
                <a:srgbClr val="DBE6C4">
                  <a:alpha val="15000"/>
                </a:srgbClr>
              </a:solidFill>
              <a:ln w="17318">
                <a:noFill/>
              </a:ln>
            </c:spPr>
            <c:txPr>
              <a:bodyPr/>
              <a:lstStyle/>
              <a:p>
                <a:pPr>
                  <a:defRPr sz="753" b="1" i="0" u="none" strike="noStrike" baseline="0">
                    <a:solidFill>
                      <a:srgbClr val="000000"/>
                    </a:solidFill>
                    <a:latin typeface="Arial"/>
                    <a:ea typeface="Arial"/>
                    <a:cs typeface="Arial"/>
                  </a:defRPr>
                </a:pPr>
                <a:endParaRPr lang="ro-RO"/>
              </a:p>
            </c:txPr>
            <c:showCatName val="1"/>
            <c:showPercent val="1"/>
            <c:showLeaderLines val="1"/>
            <c:leaderLines>
              <c:spPr>
                <a:ln w="2165">
                  <a:solidFill>
                    <a:srgbClr val="000000"/>
                  </a:solidFill>
                  <a:prstDash val="solid"/>
                </a:ln>
              </c:spPr>
            </c:leaderLines>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351420</c:v>
                </c:pt>
                <c:pt idx="2">
                  <c:v>31132</c:v>
                </c:pt>
                <c:pt idx="3">
                  <c:v>4560</c:v>
                </c:pt>
                <c:pt idx="4">
                  <c:v>638</c:v>
                </c:pt>
              </c:numCache>
            </c:numRef>
          </c:val>
        </c:ser>
        <c:dLbls>
          <c:showCatName val="1"/>
          <c:showPercent val="1"/>
        </c:dLbls>
      </c:pie3DChart>
      <c:spPr>
        <a:solidFill>
          <a:srgbClr val="DBE6C4"/>
        </a:solidFill>
        <a:ln w="17318">
          <a:noFill/>
        </a:ln>
      </c:spPr>
    </c:plotArea>
    <c:plotVisOnly val="1"/>
    <c:dispBlanksAs val="zero"/>
  </c:chart>
  <c:spPr>
    <a:solidFill>
      <a:srgbClr val="DBE6C4">
        <a:alpha val="46000"/>
      </a:srgbClr>
    </a:solidFill>
    <a:ln>
      <a:solidFill>
        <a:sysClr val="windowText" lastClr="000000"/>
      </a:solidFill>
    </a:ln>
  </c:spPr>
  <c:txPr>
    <a:bodyPr/>
    <a:lstStyle/>
    <a:p>
      <a:pPr>
        <a:defRPr sz="598" b="1" i="0" u="none" strike="noStrike" baseline="0">
          <a:solidFill>
            <a:srgbClr val="000000"/>
          </a:solidFill>
          <a:latin typeface="Arial"/>
          <a:ea typeface="Arial"/>
          <a:cs typeface="Arial"/>
        </a:defRPr>
      </a:pPr>
      <a:endParaRPr lang="ro-RO"/>
    </a:p>
  </c:txPr>
  <c:externalData r:id="rId2"/>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0978954913334187E-2"/>
          <c:y val="4.779349705820192E-2"/>
          <c:w val="0.60899322192241967"/>
          <c:h val="0.70639481478419985"/>
        </c:manualLayout>
      </c:layout>
      <c:barChart>
        <c:barDir val="col"/>
        <c:grouping val="clustered"/>
        <c:ser>
          <c:idx val="0"/>
          <c:order val="0"/>
          <c:tx>
            <c:strRef>
              <c:f>Sheet1!$B$1</c:f>
              <c:strCache>
                <c:ptCount val="1"/>
                <c:pt idx="0">
                  <c:v>Terenuri agricole</c:v>
                </c:pt>
              </c:strCache>
            </c:strRef>
          </c:tx>
          <c:spPr>
            <a:solidFill>
              <a:srgbClr val="C00000"/>
            </a:solidFill>
          </c:spPr>
          <c:dLbls>
            <c:showVal val="1"/>
          </c:dLbls>
          <c:cat>
            <c:numRef>
              <c:f>Sheet1!$A$2</c:f>
              <c:numCache>
                <c:formatCode>General</c:formatCode>
                <c:ptCount val="1"/>
              </c:numCache>
            </c:numRef>
          </c:cat>
          <c:val>
            <c:numRef>
              <c:f>Sheet1!$B$2</c:f>
              <c:numCache>
                <c:formatCode>General</c:formatCode>
                <c:ptCount val="1"/>
                <c:pt idx="0">
                  <c:v>2544</c:v>
                </c:pt>
              </c:numCache>
            </c:numRef>
          </c:val>
        </c:ser>
        <c:ser>
          <c:idx val="1"/>
          <c:order val="1"/>
          <c:tx>
            <c:strRef>
              <c:f>Sheet1!$C$1</c:f>
              <c:strCache>
                <c:ptCount val="1"/>
                <c:pt idx="0">
                  <c:v>Păduri</c:v>
                </c:pt>
              </c:strCache>
            </c:strRef>
          </c:tx>
          <c:spPr>
            <a:solidFill>
              <a:srgbClr val="00B050"/>
            </a:solidFill>
          </c:spPr>
          <c:dLbls>
            <c:showVal val="1"/>
          </c:dLbls>
          <c:cat>
            <c:numRef>
              <c:f>Sheet1!$A$2</c:f>
              <c:numCache>
                <c:formatCode>General</c:formatCode>
                <c:ptCount val="1"/>
              </c:numCache>
            </c:numRef>
          </c:cat>
          <c:val>
            <c:numRef>
              <c:f>Sheet1!$C$2</c:f>
              <c:numCache>
                <c:formatCode>General</c:formatCode>
                <c:ptCount val="1"/>
                <c:pt idx="0">
                  <c:v>1664</c:v>
                </c:pt>
              </c:numCache>
            </c:numRef>
          </c:val>
        </c:ser>
        <c:ser>
          <c:idx val="2"/>
          <c:order val="2"/>
          <c:tx>
            <c:strRef>
              <c:f>Sheet1!$D$1</c:f>
              <c:strCache>
                <c:ptCount val="1"/>
                <c:pt idx="0">
                  <c:v>Ape</c:v>
                </c:pt>
              </c:strCache>
            </c:strRef>
          </c:tx>
          <c:spPr>
            <a:solidFill>
              <a:schemeClr val="accent1"/>
            </a:solidFill>
          </c:spPr>
          <c:dLbls>
            <c:showVal val="1"/>
          </c:dLbls>
          <c:cat>
            <c:numRef>
              <c:f>Sheet1!$A$2</c:f>
              <c:numCache>
                <c:formatCode>General</c:formatCode>
                <c:ptCount val="1"/>
              </c:numCache>
            </c:numRef>
          </c:cat>
          <c:val>
            <c:numRef>
              <c:f>Sheet1!$D$2</c:f>
              <c:numCache>
                <c:formatCode>General</c:formatCode>
                <c:ptCount val="1"/>
                <c:pt idx="0">
                  <c:v>-4255</c:v>
                </c:pt>
              </c:numCache>
            </c:numRef>
          </c:val>
        </c:ser>
        <c:ser>
          <c:idx val="3"/>
          <c:order val="3"/>
          <c:tx>
            <c:strRef>
              <c:f>Sheet1!$E$1</c:f>
              <c:strCache>
                <c:ptCount val="1"/>
                <c:pt idx="0">
                  <c:v>Drumuri și căi ferate</c:v>
                </c:pt>
              </c:strCache>
            </c:strRef>
          </c:tx>
          <c:spPr>
            <a:solidFill>
              <a:srgbClr val="FFC000"/>
            </a:solidFill>
          </c:spPr>
          <c:dLbls>
            <c:showVal val="1"/>
          </c:dLbls>
          <c:cat>
            <c:numRef>
              <c:f>Sheet1!$A$2</c:f>
              <c:numCache>
                <c:formatCode>General</c:formatCode>
                <c:ptCount val="1"/>
              </c:numCache>
            </c:numRef>
          </c:cat>
          <c:val>
            <c:numRef>
              <c:f>Sheet1!$E$2</c:f>
              <c:numCache>
                <c:formatCode>General</c:formatCode>
                <c:ptCount val="1"/>
                <c:pt idx="0">
                  <c:v>-451</c:v>
                </c:pt>
              </c:numCache>
            </c:numRef>
          </c:val>
        </c:ser>
        <c:ser>
          <c:idx val="4"/>
          <c:order val="4"/>
          <c:tx>
            <c:strRef>
              <c:f>Sheet1!$F$1</c:f>
              <c:strCache>
                <c:ptCount val="1"/>
                <c:pt idx="0">
                  <c:v>Curți și construcții</c:v>
                </c:pt>
              </c:strCache>
            </c:strRef>
          </c:tx>
          <c:spPr>
            <a:solidFill>
              <a:schemeClr val="accent2">
                <a:lumMod val="60000"/>
                <a:lumOff val="40000"/>
              </a:schemeClr>
            </a:solidFill>
          </c:spPr>
          <c:dLbls>
            <c:showVal val="1"/>
          </c:dLbls>
          <c:cat>
            <c:numRef>
              <c:f>Sheet1!$A$2</c:f>
              <c:numCache>
                <c:formatCode>General</c:formatCode>
                <c:ptCount val="1"/>
              </c:numCache>
            </c:numRef>
          </c:cat>
          <c:val>
            <c:numRef>
              <c:f>Sheet1!$F$2</c:f>
              <c:numCache>
                <c:formatCode>General</c:formatCode>
                <c:ptCount val="1"/>
                <c:pt idx="0">
                  <c:v>1036</c:v>
                </c:pt>
              </c:numCache>
            </c:numRef>
          </c:val>
        </c:ser>
        <c:ser>
          <c:idx val="5"/>
          <c:order val="5"/>
          <c:tx>
            <c:strRef>
              <c:f>Sheet1!$G$1</c:f>
              <c:strCache>
                <c:ptCount val="1"/>
                <c:pt idx="0">
                  <c:v>Terenuri neproductive</c:v>
                </c:pt>
              </c:strCache>
            </c:strRef>
          </c:tx>
          <c:spPr>
            <a:solidFill>
              <a:srgbClr val="FF0000"/>
            </a:solidFill>
          </c:spPr>
          <c:dLbls>
            <c:showVal val="1"/>
          </c:dLbls>
          <c:cat>
            <c:numRef>
              <c:f>Sheet1!$A$2</c:f>
              <c:numCache>
                <c:formatCode>General</c:formatCode>
                <c:ptCount val="1"/>
              </c:numCache>
            </c:numRef>
          </c:cat>
          <c:val>
            <c:numRef>
              <c:f>Sheet1!$G$2</c:f>
              <c:numCache>
                <c:formatCode>General</c:formatCode>
                <c:ptCount val="1"/>
                <c:pt idx="0">
                  <c:v>-542</c:v>
                </c:pt>
              </c:numCache>
            </c:numRef>
          </c:val>
        </c:ser>
        <c:axId val="143251712"/>
        <c:axId val="144265216"/>
      </c:barChart>
      <c:catAx>
        <c:axId val="143251712"/>
        <c:scaling>
          <c:orientation val="minMax"/>
        </c:scaling>
        <c:axPos val="b"/>
        <c:numFmt formatCode="General" sourceLinked="1"/>
        <c:tickLblPos val="nextTo"/>
        <c:crossAx val="144265216"/>
        <c:crosses val="autoZero"/>
        <c:auto val="1"/>
        <c:lblAlgn val="ctr"/>
        <c:lblOffset val="100"/>
      </c:catAx>
      <c:valAx>
        <c:axId val="144265216"/>
        <c:scaling>
          <c:orientation val="minMax"/>
        </c:scaling>
        <c:axPos val="l"/>
        <c:majorGridlines/>
        <c:numFmt formatCode="General" sourceLinked="1"/>
        <c:tickLblPos val="nextTo"/>
        <c:crossAx val="143251712"/>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5809"/>
          <c:y val="0.13508960492007155"/>
          <c:w val="0.22436446437288271"/>
          <c:h val="0.78201384462594259"/>
        </c:manualLayout>
      </c:layout>
    </c:legend>
    <c:plotVisOnly val="1"/>
  </c:chart>
  <c:spPr>
    <a:solidFill>
      <a:srgbClr val="DBE6C4">
        <a:alpha val="50000"/>
      </a:srgb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6.1326167562388026E-2"/>
          <c:y val="0.2259730319969547"/>
          <c:w val="0.92531065003735846"/>
          <c:h val="0.62943439762339115"/>
        </c:manualLayout>
      </c:layout>
      <c:barChart>
        <c:barDir val="col"/>
        <c:grouping val="clustered"/>
        <c:ser>
          <c:idx val="1"/>
          <c:order val="0"/>
          <c:tx>
            <c:strRef>
              <c:f>Sheet1!$A$2</c:f>
              <c:strCache>
                <c:ptCount val="1"/>
                <c:pt idx="0">
                  <c:v>Sediu APM</c:v>
                </c:pt>
              </c:strCache>
            </c:strRef>
          </c:tx>
          <c:spPr>
            <a:solidFill>
              <a:srgbClr val="993366"/>
            </a:solidFill>
            <a:ln w="9290">
              <a:solidFill>
                <a:srgbClr val="000000"/>
              </a:solidFill>
              <a:prstDash val="solid"/>
            </a:ln>
          </c:spPr>
          <c:dLbls>
            <c:showVal val="1"/>
          </c:dLbls>
          <c:cat>
            <c:strRef>
              <c:f>Sheet1!$B$1:$B$1</c:f>
              <c:strCache>
                <c:ptCount val="1"/>
                <c:pt idx="0">
                  <c:v>Media an 2016</c:v>
                </c:pt>
              </c:strCache>
            </c:strRef>
          </c:cat>
          <c:val>
            <c:numRef>
              <c:f>Sheet1!$B$2:$B$2</c:f>
              <c:numCache>
                <c:formatCode>General</c:formatCode>
                <c:ptCount val="1"/>
                <c:pt idx="0">
                  <c:v>3.2800000000000002</c:v>
                </c:pt>
              </c:numCache>
            </c:numRef>
          </c:val>
        </c:ser>
        <c:ser>
          <c:idx val="2"/>
          <c:order val="1"/>
          <c:tx>
            <c:strRef>
              <c:f>Sheet1!$A$3</c:f>
              <c:strCache>
                <c:ptCount val="1"/>
                <c:pt idx="0">
                  <c:v>Uzina de Apă</c:v>
                </c:pt>
              </c:strCache>
            </c:strRef>
          </c:tx>
          <c:spPr>
            <a:solidFill>
              <a:srgbClr val="FFFFCC"/>
            </a:solidFill>
            <a:ln w="9290">
              <a:solidFill>
                <a:srgbClr val="000000"/>
              </a:solidFill>
              <a:prstDash val="solid"/>
            </a:ln>
          </c:spPr>
          <c:dLbls>
            <c:showVal val="1"/>
          </c:dLbls>
          <c:trendline>
            <c:trendlineType val="linear"/>
          </c:trendline>
          <c:cat>
            <c:strRef>
              <c:f>Sheet1!$B$1:$B$1</c:f>
              <c:strCache>
                <c:ptCount val="1"/>
                <c:pt idx="0">
                  <c:v>Media an 2016</c:v>
                </c:pt>
              </c:strCache>
            </c:strRef>
          </c:cat>
          <c:val>
            <c:numRef>
              <c:f>Sheet1!$B$3:$B$3</c:f>
              <c:numCache>
                <c:formatCode>General</c:formatCode>
                <c:ptCount val="1"/>
                <c:pt idx="0">
                  <c:v>8.2800000000000011</c:v>
                </c:pt>
              </c:numCache>
            </c:numRef>
          </c:val>
        </c:ser>
        <c:ser>
          <c:idx val="3"/>
          <c:order val="2"/>
          <c:tx>
            <c:strRef>
              <c:f>Sheet1!$A$4</c:f>
              <c:strCache>
                <c:ptCount val="1"/>
                <c:pt idx="0">
                  <c:v>Vărsătura</c:v>
                </c:pt>
              </c:strCache>
            </c:strRef>
          </c:tx>
          <c:spPr>
            <a:solidFill>
              <a:srgbClr val="00FF00"/>
            </a:solidFill>
            <a:ln w="9290">
              <a:solidFill>
                <a:srgbClr val="000000"/>
              </a:solidFill>
              <a:prstDash val="solid"/>
            </a:ln>
          </c:spPr>
          <c:dLbls>
            <c:dLbl>
              <c:idx val="0"/>
              <c:layout>
                <c:manualLayout>
                  <c:x val="5.5026455026455062E-2"/>
                  <c:y val="5.0890585241730769E-2"/>
                </c:manualLayout>
              </c:layout>
              <c:showVal val="1"/>
            </c:dLbl>
            <c:showVal val="1"/>
          </c:dLbls>
          <c:cat>
            <c:strRef>
              <c:f>Sheet1!$B$1:$B$1</c:f>
              <c:strCache>
                <c:ptCount val="1"/>
                <c:pt idx="0">
                  <c:v>Media an 2016</c:v>
                </c:pt>
              </c:strCache>
            </c:strRef>
          </c:cat>
          <c:val>
            <c:numRef>
              <c:f>Sheet1!$B$4:$B$4</c:f>
              <c:numCache>
                <c:formatCode>General</c:formatCode>
                <c:ptCount val="1"/>
                <c:pt idx="0">
                  <c:v>10.79</c:v>
                </c:pt>
              </c:numCache>
            </c:numRef>
          </c:val>
        </c:ser>
        <c:ser>
          <c:idx val="4"/>
          <c:order val="3"/>
          <c:tx>
            <c:strRef>
              <c:f>Sheet1!$A$5</c:f>
              <c:strCache>
                <c:ptCount val="1"/>
                <c:pt idx="0">
                  <c:v>Str.Gen.Gh. Avramescu</c:v>
                </c:pt>
              </c:strCache>
            </c:strRef>
          </c:tx>
          <c:spPr>
            <a:solidFill>
              <a:srgbClr val="660066"/>
            </a:solidFill>
            <a:ln w="9290">
              <a:solidFill>
                <a:srgbClr val="000000"/>
              </a:solidFill>
              <a:prstDash val="solid"/>
            </a:ln>
          </c:spPr>
          <c:dLbls>
            <c:showVal val="1"/>
          </c:dLbls>
          <c:cat>
            <c:strRef>
              <c:f>Sheet1!$B$1:$B$1</c:f>
              <c:strCache>
                <c:ptCount val="1"/>
                <c:pt idx="0">
                  <c:v>Media an 2016</c:v>
                </c:pt>
              </c:strCache>
            </c:strRef>
          </c:cat>
          <c:val>
            <c:numRef>
              <c:f>Sheet1!$B$5:$B$5</c:f>
              <c:numCache>
                <c:formatCode>General</c:formatCode>
                <c:ptCount val="1"/>
                <c:pt idx="0">
                  <c:v>7.68</c:v>
                </c:pt>
              </c:numCache>
            </c:numRef>
          </c:val>
        </c:ser>
        <c:ser>
          <c:idx val="5"/>
          <c:order val="4"/>
          <c:tx>
            <c:strRef>
              <c:f>Sheet1!$A$6</c:f>
              <c:strCache>
                <c:ptCount val="1"/>
                <c:pt idx="0">
                  <c:v>Stația Nord</c:v>
                </c:pt>
              </c:strCache>
            </c:strRef>
          </c:tx>
          <c:spPr>
            <a:solidFill>
              <a:srgbClr val="FF8080"/>
            </a:solidFill>
            <a:ln w="9290">
              <a:solidFill>
                <a:srgbClr val="000000"/>
              </a:solidFill>
              <a:prstDash val="solid"/>
            </a:ln>
          </c:spPr>
          <c:dLbls>
            <c:showVal val="1"/>
          </c:dLbls>
          <c:cat>
            <c:strRef>
              <c:f>Sheet1!$B$1:$B$1</c:f>
              <c:strCache>
                <c:ptCount val="1"/>
                <c:pt idx="0">
                  <c:v>Media an 2016</c:v>
                </c:pt>
              </c:strCache>
            </c:strRef>
          </c:cat>
          <c:val>
            <c:numRef>
              <c:f>Sheet1!$B$6:$B$6</c:f>
              <c:numCache>
                <c:formatCode>General</c:formatCode>
                <c:ptCount val="1"/>
                <c:pt idx="0">
                  <c:v>5.1199999999999966</c:v>
                </c:pt>
              </c:numCache>
            </c:numRef>
          </c:val>
        </c:ser>
        <c:ser>
          <c:idx val="6"/>
          <c:order val="5"/>
          <c:tx>
            <c:strRef>
              <c:f>Sheet1!$A$7</c:f>
              <c:strCache>
                <c:ptCount val="1"/>
                <c:pt idx="0">
                  <c:v>SC Hercules</c:v>
                </c:pt>
              </c:strCache>
            </c:strRef>
          </c:tx>
          <c:spPr>
            <a:solidFill>
              <a:srgbClr val="0066CC"/>
            </a:solidFill>
            <a:ln w="9290">
              <a:solidFill>
                <a:srgbClr val="000000"/>
              </a:solidFill>
              <a:prstDash val="solid"/>
            </a:ln>
          </c:spPr>
          <c:dLbls>
            <c:showVal val="1"/>
          </c:dLbls>
          <c:cat>
            <c:strRef>
              <c:f>Sheet1!$B$1:$B$1</c:f>
              <c:strCache>
                <c:ptCount val="1"/>
                <c:pt idx="0">
                  <c:v>Media an 2016</c:v>
                </c:pt>
              </c:strCache>
            </c:strRef>
          </c:cat>
          <c:val>
            <c:numRef>
              <c:f>Sheet1!$B$7:$B$7</c:f>
              <c:numCache>
                <c:formatCode>General</c:formatCode>
                <c:ptCount val="1"/>
                <c:pt idx="0">
                  <c:v>11.05</c:v>
                </c:pt>
              </c:numCache>
            </c:numRef>
          </c:val>
        </c:ser>
        <c:ser>
          <c:idx val="0"/>
          <c:order val="6"/>
          <c:tx>
            <c:strRef>
              <c:f>Sheet1!$A$8</c:f>
              <c:strCache>
                <c:ptCount val="1"/>
                <c:pt idx="0">
                  <c:v>Termoelectrica Chiscani</c:v>
                </c:pt>
              </c:strCache>
            </c:strRef>
          </c:tx>
          <c:dLbls>
            <c:showVal val="1"/>
          </c:dLbls>
          <c:cat>
            <c:strRef>
              <c:f>Sheet1!$B$1:$B$1</c:f>
              <c:strCache>
                <c:ptCount val="1"/>
                <c:pt idx="0">
                  <c:v>Media an 2016</c:v>
                </c:pt>
              </c:strCache>
            </c:strRef>
          </c:cat>
          <c:val>
            <c:numRef>
              <c:f>Sheet1!$B$8:$B$8</c:f>
              <c:numCache>
                <c:formatCode>General</c:formatCode>
                <c:ptCount val="1"/>
                <c:pt idx="0">
                  <c:v>4.6599999999999975</c:v>
                </c:pt>
              </c:numCache>
            </c:numRef>
          </c:val>
        </c:ser>
        <c:ser>
          <c:idx val="7"/>
          <c:order val="7"/>
          <c:tx>
            <c:strRef>
              <c:f>Sheet1!$A$9</c:f>
              <c:strCache>
                <c:ptCount val="1"/>
                <c:pt idx="0">
                  <c:v>Str.Galați</c:v>
                </c:pt>
              </c:strCache>
            </c:strRef>
          </c:tx>
          <c:dLbls>
            <c:showVal val="1"/>
          </c:dLbls>
          <c:cat>
            <c:strRef>
              <c:f>Sheet1!$B$1:$B$1</c:f>
              <c:strCache>
                <c:ptCount val="1"/>
                <c:pt idx="0">
                  <c:v>Media an 2016</c:v>
                </c:pt>
              </c:strCache>
            </c:strRef>
          </c:cat>
          <c:val>
            <c:numRef>
              <c:f>Sheet1!$B$9:$B$9</c:f>
              <c:numCache>
                <c:formatCode>General</c:formatCode>
                <c:ptCount val="1"/>
                <c:pt idx="0">
                  <c:v>5.17</c:v>
                </c:pt>
              </c:numCache>
            </c:numRef>
          </c:val>
        </c:ser>
        <c:ser>
          <c:idx val="8"/>
          <c:order val="8"/>
          <c:tx>
            <c:strRef>
              <c:f>Sheet1!$A$10</c:f>
              <c:strCache>
                <c:ptCount val="1"/>
                <c:pt idx="0">
                  <c:v>Cazasu</c:v>
                </c:pt>
              </c:strCache>
            </c:strRef>
          </c:tx>
          <c:dLbls>
            <c:showVal val="1"/>
          </c:dLbls>
          <c:cat>
            <c:strRef>
              <c:f>Sheet1!$B$1:$B$1</c:f>
              <c:strCache>
                <c:ptCount val="1"/>
                <c:pt idx="0">
                  <c:v>Media an 2016</c:v>
                </c:pt>
              </c:strCache>
            </c:strRef>
          </c:cat>
          <c:val>
            <c:numRef>
              <c:f>Sheet1!$B$10:$B$10</c:f>
              <c:numCache>
                <c:formatCode>General</c:formatCode>
                <c:ptCount val="1"/>
                <c:pt idx="0">
                  <c:v>6.9300000000000024</c:v>
                </c:pt>
              </c:numCache>
            </c:numRef>
          </c:val>
        </c:ser>
        <c:ser>
          <c:idx val="9"/>
          <c:order val="9"/>
          <c:tx>
            <c:strRef>
              <c:f>Sheet1!$A$11</c:f>
              <c:strCache>
                <c:ptCount val="1"/>
                <c:pt idx="0">
                  <c:v>Primaria Brăila</c:v>
                </c:pt>
              </c:strCache>
            </c:strRef>
          </c:tx>
          <c:dLbls>
            <c:showVal val="1"/>
          </c:dLbls>
          <c:cat>
            <c:strRef>
              <c:f>Sheet1!$B$1:$B$1</c:f>
              <c:strCache>
                <c:ptCount val="1"/>
                <c:pt idx="0">
                  <c:v>Media an 2016</c:v>
                </c:pt>
              </c:strCache>
            </c:strRef>
          </c:cat>
          <c:val>
            <c:numRef>
              <c:f>Sheet1!$B$11:$B$11</c:f>
              <c:numCache>
                <c:formatCode>General</c:formatCode>
                <c:ptCount val="1"/>
                <c:pt idx="0">
                  <c:v>7.45</c:v>
                </c:pt>
              </c:numCache>
            </c:numRef>
          </c:val>
        </c:ser>
        <c:gapWidth val="113"/>
        <c:overlap val="-76"/>
        <c:axId val="179635712"/>
        <c:axId val="179637248"/>
      </c:barChart>
      <c:catAx>
        <c:axId val="179635712"/>
        <c:scaling>
          <c:orientation val="minMax"/>
        </c:scaling>
        <c:axPos val="b"/>
        <c:numFmt formatCode="General" sourceLinked="1"/>
        <c:majorTickMark val="none"/>
        <c:tickLblPos val="low"/>
        <c:spPr>
          <a:ln w="2322">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o-RO"/>
          </a:p>
        </c:txPr>
        <c:crossAx val="179637248"/>
        <c:crosses val="autoZero"/>
        <c:auto val="1"/>
        <c:lblAlgn val="ctr"/>
        <c:lblOffset val="100"/>
        <c:tickLblSkip val="1"/>
        <c:tickMarkSkip val="1"/>
      </c:catAx>
      <c:valAx>
        <c:axId val="179637248"/>
        <c:scaling>
          <c:orientation val="minMax"/>
        </c:scaling>
        <c:axPos val="l"/>
        <c:majorGridlines>
          <c:spPr>
            <a:ln w="2322">
              <a:solidFill>
                <a:srgbClr val="000000"/>
              </a:solidFill>
              <a:prstDash val="solid"/>
            </a:ln>
          </c:spPr>
        </c:majorGridlines>
        <c:numFmt formatCode="General" sourceLinked="1"/>
        <c:majorTickMark val="none"/>
        <c:tickLblPos val="nextTo"/>
        <c:spPr>
          <a:ln w="2322">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179635712"/>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291">
          <a:solidFill>
            <a:srgbClr val="808080"/>
          </a:solidFill>
          <a:prstDash val="solid"/>
        </a:ln>
      </c:spPr>
    </c:plotArea>
    <c:plotVisOnly val="1"/>
    <c:dispBlanksAs val="gap"/>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0978954913334187E-2"/>
          <c:y val="4.7793497058201982E-2"/>
          <c:w val="0.60899322192241967"/>
          <c:h val="0.88921965251130564"/>
        </c:manualLayout>
      </c:layout>
      <c:barChart>
        <c:barDir val="col"/>
        <c:grouping val="clustered"/>
        <c:ser>
          <c:idx val="0"/>
          <c:order val="0"/>
          <c:tx>
            <c:strRef>
              <c:f>Sheet1!$B$1</c:f>
              <c:strCache>
                <c:ptCount val="1"/>
                <c:pt idx="0">
                  <c:v>Terenuri agricole</c:v>
                </c:pt>
              </c:strCache>
            </c:strRef>
          </c:tx>
          <c:spPr>
            <a:solidFill>
              <a:srgbClr val="C00000"/>
            </a:solidFill>
          </c:spPr>
          <c:dLbls>
            <c:showVal val="1"/>
          </c:dLbls>
          <c:cat>
            <c:numRef>
              <c:f>Sheet1!$A$2</c:f>
              <c:numCache>
                <c:formatCode>General</c:formatCode>
                <c:ptCount val="1"/>
              </c:numCache>
            </c:numRef>
          </c:cat>
          <c:val>
            <c:numRef>
              <c:f>Sheet1!$B$2</c:f>
              <c:numCache>
                <c:formatCode>General</c:formatCode>
                <c:ptCount val="1"/>
                <c:pt idx="0">
                  <c:v>0.65000000000000646</c:v>
                </c:pt>
              </c:numCache>
            </c:numRef>
          </c:val>
        </c:ser>
        <c:ser>
          <c:idx val="1"/>
          <c:order val="1"/>
          <c:tx>
            <c:strRef>
              <c:f>Sheet1!$C$1</c:f>
              <c:strCache>
                <c:ptCount val="1"/>
                <c:pt idx="0">
                  <c:v>Păduri</c:v>
                </c:pt>
              </c:strCache>
            </c:strRef>
          </c:tx>
          <c:spPr>
            <a:solidFill>
              <a:srgbClr val="00B050"/>
            </a:solidFill>
          </c:spPr>
          <c:dLbls>
            <c:showVal val="1"/>
          </c:dLbls>
          <c:cat>
            <c:numRef>
              <c:f>Sheet1!$A$2</c:f>
              <c:numCache>
                <c:formatCode>General</c:formatCode>
                <c:ptCount val="1"/>
              </c:numCache>
            </c:numRef>
          </c:cat>
          <c:val>
            <c:numRef>
              <c:f>Sheet1!$C$2</c:f>
              <c:numCache>
                <c:formatCode>General</c:formatCode>
                <c:ptCount val="1"/>
                <c:pt idx="0">
                  <c:v>5.8599999999999985</c:v>
                </c:pt>
              </c:numCache>
            </c:numRef>
          </c:val>
        </c:ser>
        <c:ser>
          <c:idx val="2"/>
          <c:order val="2"/>
          <c:tx>
            <c:strRef>
              <c:f>Sheet1!$D$1</c:f>
              <c:strCache>
                <c:ptCount val="1"/>
                <c:pt idx="0">
                  <c:v>Ape</c:v>
                </c:pt>
              </c:strCache>
            </c:strRef>
          </c:tx>
          <c:spPr>
            <a:solidFill>
              <a:schemeClr val="accent1"/>
            </a:solidFill>
          </c:spPr>
          <c:dLbls>
            <c:showVal val="1"/>
          </c:dLbls>
          <c:cat>
            <c:numRef>
              <c:f>Sheet1!$A$2</c:f>
              <c:numCache>
                <c:formatCode>General</c:formatCode>
                <c:ptCount val="1"/>
              </c:numCache>
            </c:numRef>
          </c:cat>
          <c:val>
            <c:numRef>
              <c:f>Sheet1!$D$2</c:f>
              <c:numCache>
                <c:formatCode>General</c:formatCode>
                <c:ptCount val="1"/>
                <c:pt idx="0">
                  <c:v>-13.860000000000024</c:v>
                </c:pt>
              </c:numCache>
            </c:numRef>
          </c:val>
        </c:ser>
        <c:ser>
          <c:idx val="3"/>
          <c:order val="3"/>
          <c:tx>
            <c:strRef>
              <c:f>Sheet1!$E$1</c:f>
              <c:strCache>
                <c:ptCount val="1"/>
                <c:pt idx="0">
                  <c:v>Drumuri și căi ferate</c:v>
                </c:pt>
              </c:strCache>
            </c:strRef>
          </c:tx>
          <c:spPr>
            <a:solidFill>
              <a:srgbClr val="FFC000"/>
            </a:solidFill>
          </c:spPr>
          <c:dLbls>
            <c:showVal val="1"/>
          </c:dLbls>
          <c:cat>
            <c:numRef>
              <c:f>Sheet1!$A$2</c:f>
              <c:numCache>
                <c:formatCode>General</c:formatCode>
                <c:ptCount val="1"/>
              </c:numCache>
            </c:numRef>
          </c:cat>
          <c:val>
            <c:numRef>
              <c:f>Sheet1!$E$2</c:f>
              <c:numCache>
                <c:formatCode>General</c:formatCode>
                <c:ptCount val="1"/>
                <c:pt idx="0">
                  <c:v>-5.25</c:v>
                </c:pt>
              </c:numCache>
            </c:numRef>
          </c:val>
        </c:ser>
        <c:ser>
          <c:idx val="4"/>
          <c:order val="4"/>
          <c:tx>
            <c:strRef>
              <c:f>Sheet1!$F$1</c:f>
              <c:strCache>
                <c:ptCount val="1"/>
                <c:pt idx="0">
                  <c:v>Curți și construcții</c:v>
                </c:pt>
              </c:strCache>
            </c:strRef>
          </c:tx>
          <c:spPr>
            <a:solidFill>
              <a:schemeClr val="accent2">
                <a:lumMod val="60000"/>
                <a:lumOff val="40000"/>
              </a:schemeClr>
            </a:solidFill>
          </c:spPr>
          <c:dLbls>
            <c:showVal val="1"/>
          </c:dLbls>
          <c:cat>
            <c:numRef>
              <c:f>Sheet1!$A$2</c:f>
              <c:numCache>
                <c:formatCode>General</c:formatCode>
                <c:ptCount val="1"/>
              </c:numCache>
            </c:numRef>
          </c:cat>
          <c:val>
            <c:numRef>
              <c:f>Sheet1!$F$2</c:f>
              <c:numCache>
                <c:formatCode>General</c:formatCode>
                <c:ptCount val="1"/>
                <c:pt idx="0">
                  <c:v>7.9300000000000024</c:v>
                </c:pt>
              </c:numCache>
            </c:numRef>
          </c:val>
        </c:ser>
        <c:ser>
          <c:idx val="5"/>
          <c:order val="5"/>
          <c:tx>
            <c:strRef>
              <c:f>Sheet1!$G$1</c:f>
              <c:strCache>
                <c:ptCount val="1"/>
                <c:pt idx="0">
                  <c:v>Terenuri neproductive</c:v>
                </c:pt>
              </c:strCache>
            </c:strRef>
          </c:tx>
          <c:spPr>
            <a:solidFill>
              <a:srgbClr val="FF0000"/>
            </a:solidFill>
          </c:spPr>
          <c:dLbls>
            <c:showVal val="1"/>
          </c:dLbls>
          <c:cat>
            <c:numRef>
              <c:f>Sheet1!$A$2</c:f>
              <c:numCache>
                <c:formatCode>General</c:formatCode>
                <c:ptCount val="1"/>
              </c:numCache>
            </c:numRef>
          </c:cat>
          <c:val>
            <c:numRef>
              <c:f>Sheet1!$G$2</c:f>
              <c:numCache>
                <c:formatCode>General</c:formatCode>
                <c:ptCount val="1"/>
                <c:pt idx="0">
                  <c:v>-6.3599999999999985</c:v>
                </c:pt>
              </c:numCache>
            </c:numRef>
          </c:val>
        </c:ser>
        <c:axId val="144379264"/>
        <c:axId val="144422016"/>
      </c:barChart>
      <c:catAx>
        <c:axId val="144379264"/>
        <c:scaling>
          <c:orientation val="minMax"/>
        </c:scaling>
        <c:axPos val="b"/>
        <c:numFmt formatCode="General" sourceLinked="1"/>
        <c:tickLblPos val="nextTo"/>
        <c:crossAx val="144422016"/>
        <c:crosses val="autoZero"/>
        <c:auto val="1"/>
        <c:lblAlgn val="ctr"/>
        <c:lblOffset val="100"/>
      </c:catAx>
      <c:valAx>
        <c:axId val="144422016"/>
        <c:scaling>
          <c:orientation val="minMax"/>
        </c:scaling>
        <c:axPos val="l"/>
        <c:majorGridlines/>
        <c:numFmt formatCode="General" sourceLinked="1"/>
        <c:tickLblPos val="nextTo"/>
        <c:crossAx val="144379264"/>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5853"/>
          <c:y val="0.13508960492007155"/>
          <c:w val="0.22436446437288271"/>
          <c:h val="0.78174576265409734"/>
        </c:manualLayout>
      </c:layout>
    </c:legend>
    <c:plotVisOnly val="1"/>
  </c:chart>
  <c:spPr>
    <a:solidFill>
      <a:srgbClr val="DBE6C4">
        <a:alpha val="47000"/>
      </a:srgbClr>
    </a:solidFill>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764237778525147E-2"/>
          <c:y val="5.5461317785157796E-2"/>
          <c:w val="0.40607103548460932"/>
          <c:h val="0.89877106476948465"/>
        </c:manualLayout>
      </c:layout>
      <c:barChart>
        <c:barDir val="col"/>
        <c:grouping val="clustered"/>
        <c:ser>
          <c:idx val="0"/>
          <c:order val="0"/>
          <c:tx>
            <c:strRef>
              <c:f>Sheet1!$B$1</c:f>
              <c:strCache>
                <c:ptCount val="1"/>
                <c:pt idx="0">
                  <c:v>Teren arabil</c:v>
                </c:pt>
              </c:strCache>
            </c:strRef>
          </c:tx>
          <c:spPr>
            <a:solidFill>
              <a:srgbClr val="C00000"/>
            </a:solidFill>
          </c:spPr>
          <c:dLbls>
            <c:showVal val="1"/>
          </c:dLbls>
          <c:cat>
            <c:numRef>
              <c:f>Sheet1!$A$2</c:f>
              <c:numCache>
                <c:formatCode>General</c:formatCode>
                <c:ptCount val="1"/>
              </c:numCache>
            </c:numRef>
          </c:cat>
          <c:val>
            <c:numRef>
              <c:f>Sheet1!$B$2</c:f>
              <c:numCache>
                <c:formatCode>General</c:formatCode>
                <c:ptCount val="1"/>
                <c:pt idx="0">
                  <c:v>2544</c:v>
                </c:pt>
              </c:numCache>
            </c:numRef>
          </c:val>
        </c:ser>
        <c:ser>
          <c:idx val="1"/>
          <c:order val="1"/>
          <c:tx>
            <c:strRef>
              <c:f>Sheet1!$C$1</c:f>
              <c:strCache>
                <c:ptCount val="1"/>
                <c:pt idx="0">
                  <c:v>Pășuni</c:v>
                </c:pt>
              </c:strCache>
            </c:strRef>
          </c:tx>
          <c:spPr>
            <a:solidFill>
              <a:srgbClr val="00B050"/>
            </a:solidFill>
          </c:spPr>
          <c:dLbls>
            <c:showVal val="1"/>
          </c:dLbls>
          <c:cat>
            <c:numRef>
              <c:f>Sheet1!$A$2</c:f>
              <c:numCache>
                <c:formatCode>General</c:formatCode>
                <c:ptCount val="1"/>
              </c:numCache>
            </c:numRef>
          </c:cat>
          <c:val>
            <c:numRef>
              <c:f>Sheet1!$C$2</c:f>
              <c:numCache>
                <c:formatCode>General</c:formatCode>
                <c:ptCount val="1"/>
                <c:pt idx="0">
                  <c:v>1418</c:v>
                </c:pt>
              </c:numCache>
            </c:numRef>
          </c:val>
        </c:ser>
        <c:ser>
          <c:idx val="2"/>
          <c:order val="2"/>
          <c:tx>
            <c:strRef>
              <c:f>Sheet1!$D$1</c:f>
              <c:strCache>
                <c:ptCount val="1"/>
                <c:pt idx="0">
                  <c:v>Vii</c:v>
                </c:pt>
              </c:strCache>
            </c:strRef>
          </c:tx>
          <c:spPr>
            <a:solidFill>
              <a:schemeClr val="accent1"/>
            </a:solidFill>
          </c:spPr>
          <c:dLbls>
            <c:showVal val="1"/>
          </c:dLbls>
          <c:cat>
            <c:numRef>
              <c:f>Sheet1!$A$2</c:f>
              <c:numCache>
                <c:formatCode>General</c:formatCode>
                <c:ptCount val="1"/>
              </c:numCache>
            </c:numRef>
          </c:cat>
          <c:val>
            <c:numRef>
              <c:f>Sheet1!$D$2</c:f>
              <c:numCache>
                <c:formatCode>General</c:formatCode>
                <c:ptCount val="1"/>
                <c:pt idx="0">
                  <c:v>-242</c:v>
                </c:pt>
              </c:numCache>
            </c:numRef>
          </c:val>
        </c:ser>
        <c:ser>
          <c:idx val="3"/>
          <c:order val="3"/>
          <c:tx>
            <c:strRef>
              <c:f>Sheet1!$E$1</c:f>
              <c:strCache>
                <c:ptCount val="1"/>
                <c:pt idx="0">
                  <c:v>Livezi</c:v>
                </c:pt>
              </c:strCache>
            </c:strRef>
          </c:tx>
          <c:spPr>
            <a:solidFill>
              <a:srgbClr val="FFC000"/>
            </a:solidFill>
          </c:spPr>
          <c:dLbls>
            <c:showVal val="1"/>
          </c:dLbls>
          <c:cat>
            <c:numRef>
              <c:f>Sheet1!$A$2</c:f>
              <c:numCache>
                <c:formatCode>General</c:formatCode>
                <c:ptCount val="1"/>
              </c:numCache>
            </c:numRef>
          </c:cat>
          <c:val>
            <c:numRef>
              <c:f>Sheet1!$E$2</c:f>
              <c:numCache>
                <c:formatCode>General</c:formatCode>
                <c:ptCount val="1"/>
                <c:pt idx="0">
                  <c:v>-33</c:v>
                </c:pt>
              </c:numCache>
            </c:numRef>
          </c:val>
        </c:ser>
        <c:axId val="142784768"/>
        <c:axId val="143167488"/>
      </c:barChart>
      <c:catAx>
        <c:axId val="142784768"/>
        <c:scaling>
          <c:orientation val="minMax"/>
        </c:scaling>
        <c:axPos val="b"/>
        <c:numFmt formatCode="General" sourceLinked="1"/>
        <c:tickLblPos val="nextTo"/>
        <c:crossAx val="143167488"/>
        <c:crosses val="autoZero"/>
        <c:auto val="1"/>
        <c:lblAlgn val="ctr"/>
        <c:lblOffset val="100"/>
      </c:catAx>
      <c:valAx>
        <c:axId val="143167488"/>
        <c:scaling>
          <c:orientation val="minMax"/>
        </c:scaling>
        <c:axPos val="l"/>
        <c:majorGridlines/>
        <c:numFmt formatCode="General" sourceLinked="1"/>
        <c:tickLblPos val="nextTo"/>
        <c:crossAx val="142784768"/>
        <c:crosses val="autoZero"/>
        <c:crossBetween val="between"/>
      </c:valAx>
    </c:plotArea>
    <c:legend>
      <c:legendPos val="r"/>
      <c:legendEntry>
        <c:idx val="2"/>
        <c:txPr>
          <a:bodyPr/>
          <a:lstStyle/>
          <a:p>
            <a:pPr>
              <a:defRPr sz="1200" baseline="0"/>
            </a:pPr>
            <a:endParaRPr lang="ro-RO"/>
          </a:p>
        </c:txPr>
      </c:legendEntry>
      <c:legendEntry>
        <c:idx val="3"/>
        <c:txPr>
          <a:bodyPr/>
          <a:lstStyle/>
          <a:p>
            <a:pPr>
              <a:defRPr sz="1100"/>
            </a:pPr>
            <a:endParaRPr lang="ro-RO"/>
          </a:p>
        </c:txPr>
      </c:legendEntry>
      <c:legendEntry>
        <c:idx val="0"/>
        <c:txPr>
          <a:bodyPr/>
          <a:lstStyle/>
          <a:p>
            <a:pPr>
              <a:defRPr sz="1200"/>
            </a:pPr>
            <a:endParaRPr lang="ro-RO"/>
          </a:p>
        </c:txPr>
      </c:legendEntry>
      <c:legendEntry>
        <c:idx val="1"/>
        <c:txPr>
          <a:bodyPr/>
          <a:lstStyle/>
          <a:p>
            <a:pPr>
              <a:defRPr sz="1000"/>
            </a:pPr>
            <a:endParaRPr lang="ro-RO"/>
          </a:p>
        </c:txPr>
      </c:legendEntry>
      <c:layout>
        <c:manualLayout>
          <c:xMode val="edge"/>
          <c:yMode val="edge"/>
          <c:x val="0.74164164131630528"/>
          <c:y val="0.22684781283327871"/>
          <c:w val="0.23265403010651245"/>
          <c:h val="0.41268678632212152"/>
        </c:manualLayout>
      </c:layout>
    </c:legend>
    <c:plotVisOnly val="1"/>
  </c:chart>
  <c:spPr>
    <a:solidFill>
      <a:srgbClr val="DBE6C4">
        <a:alpha val="50000"/>
      </a:srgbClr>
    </a:solidFill>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764237778525147E-2"/>
          <c:y val="5.5461317785157796E-2"/>
          <c:w val="0.41962785554014481"/>
          <c:h val="0.89877106476948465"/>
        </c:manualLayout>
      </c:layout>
      <c:barChart>
        <c:barDir val="col"/>
        <c:grouping val="clustered"/>
        <c:ser>
          <c:idx val="0"/>
          <c:order val="0"/>
          <c:tx>
            <c:strRef>
              <c:f>Sheet1!$B$1</c:f>
              <c:strCache>
                <c:ptCount val="1"/>
                <c:pt idx="0">
                  <c:v>Teren arabil</c:v>
                </c:pt>
              </c:strCache>
            </c:strRef>
          </c:tx>
          <c:spPr>
            <a:solidFill>
              <a:srgbClr val="C00000"/>
            </a:solidFill>
          </c:spPr>
          <c:dLbls>
            <c:showVal val="1"/>
          </c:dLbls>
          <c:cat>
            <c:numRef>
              <c:f>Sheet1!$A$2</c:f>
              <c:numCache>
                <c:formatCode>General</c:formatCode>
                <c:ptCount val="1"/>
              </c:numCache>
            </c:numRef>
          </c:cat>
          <c:val>
            <c:numRef>
              <c:f>Sheet1!$B$2</c:f>
              <c:numCache>
                <c:formatCode>0.00%</c:formatCode>
                <c:ptCount val="1"/>
                <c:pt idx="0">
                  <c:v>3.8000000000000052E-3</c:v>
                </c:pt>
              </c:numCache>
            </c:numRef>
          </c:val>
        </c:ser>
        <c:ser>
          <c:idx val="1"/>
          <c:order val="1"/>
          <c:tx>
            <c:strRef>
              <c:f>Sheet1!$C$1</c:f>
              <c:strCache>
                <c:ptCount val="1"/>
                <c:pt idx="0">
                  <c:v>Pășuni</c:v>
                </c:pt>
              </c:strCache>
            </c:strRef>
          </c:tx>
          <c:spPr>
            <a:solidFill>
              <a:srgbClr val="00B050"/>
            </a:solidFill>
          </c:spPr>
          <c:dLbls>
            <c:showVal val="1"/>
          </c:dLbls>
          <c:cat>
            <c:numRef>
              <c:f>Sheet1!$A$2</c:f>
              <c:numCache>
                <c:formatCode>General</c:formatCode>
                <c:ptCount val="1"/>
              </c:numCache>
            </c:numRef>
          </c:cat>
          <c:val>
            <c:numRef>
              <c:f>Sheet1!$C$2</c:f>
              <c:numCache>
                <c:formatCode>0.00%</c:formatCode>
                <c:ptCount val="1"/>
                <c:pt idx="0">
                  <c:v>-4.4600000000000022E-2</c:v>
                </c:pt>
              </c:numCache>
            </c:numRef>
          </c:val>
        </c:ser>
        <c:ser>
          <c:idx val="2"/>
          <c:order val="2"/>
          <c:tx>
            <c:strRef>
              <c:f>Sheet1!$D$1</c:f>
              <c:strCache>
                <c:ptCount val="1"/>
                <c:pt idx="0">
                  <c:v>Vii</c:v>
                </c:pt>
              </c:strCache>
            </c:strRef>
          </c:tx>
          <c:spPr>
            <a:solidFill>
              <a:schemeClr val="accent1"/>
            </a:solidFill>
          </c:spPr>
          <c:dLbls>
            <c:showVal val="1"/>
          </c:dLbls>
          <c:cat>
            <c:numRef>
              <c:f>Sheet1!$A$2</c:f>
              <c:numCache>
                <c:formatCode>General</c:formatCode>
                <c:ptCount val="1"/>
              </c:numCache>
            </c:numRef>
          </c:cat>
          <c:val>
            <c:numRef>
              <c:f>Sheet1!$D$2</c:f>
              <c:numCache>
                <c:formatCode>0.00%</c:formatCode>
                <c:ptCount val="1"/>
                <c:pt idx="0">
                  <c:v>5.3400000000000003E-2</c:v>
                </c:pt>
              </c:numCache>
            </c:numRef>
          </c:val>
        </c:ser>
        <c:ser>
          <c:idx val="3"/>
          <c:order val="3"/>
          <c:tx>
            <c:strRef>
              <c:f>Sheet1!$E$1</c:f>
              <c:strCache>
                <c:ptCount val="1"/>
                <c:pt idx="0">
                  <c:v>Livezi</c:v>
                </c:pt>
              </c:strCache>
            </c:strRef>
          </c:tx>
          <c:spPr>
            <a:solidFill>
              <a:srgbClr val="FFC000"/>
            </a:solidFill>
          </c:spPr>
          <c:dLbls>
            <c:showVal val="1"/>
          </c:dLbls>
          <c:cat>
            <c:numRef>
              <c:f>Sheet1!$A$2</c:f>
              <c:numCache>
                <c:formatCode>General</c:formatCode>
                <c:ptCount val="1"/>
              </c:numCache>
            </c:numRef>
          </c:cat>
          <c:val>
            <c:numRef>
              <c:f>Sheet1!$E$2</c:f>
              <c:numCache>
                <c:formatCode>0.00%</c:formatCode>
                <c:ptCount val="1"/>
                <c:pt idx="0">
                  <c:v>-5.0400000000000014E-2</c:v>
                </c:pt>
              </c:numCache>
            </c:numRef>
          </c:val>
        </c:ser>
        <c:axId val="145588992"/>
        <c:axId val="145590528"/>
      </c:barChart>
      <c:catAx>
        <c:axId val="145588992"/>
        <c:scaling>
          <c:orientation val="minMax"/>
        </c:scaling>
        <c:axPos val="b"/>
        <c:numFmt formatCode="General" sourceLinked="1"/>
        <c:tickLblPos val="nextTo"/>
        <c:crossAx val="145590528"/>
        <c:crosses val="autoZero"/>
        <c:auto val="1"/>
        <c:lblAlgn val="ctr"/>
        <c:lblOffset val="100"/>
      </c:catAx>
      <c:valAx>
        <c:axId val="145590528"/>
        <c:scaling>
          <c:orientation val="minMax"/>
        </c:scaling>
        <c:axPos val="l"/>
        <c:majorGridlines/>
        <c:numFmt formatCode="0.00%" sourceLinked="1"/>
        <c:tickLblPos val="nextTo"/>
        <c:crossAx val="145588992"/>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3"/>
        <c:txPr>
          <a:bodyPr/>
          <a:lstStyle/>
          <a:p>
            <a:pPr>
              <a:defRPr sz="1100"/>
            </a:pPr>
            <a:endParaRPr lang="ro-RO"/>
          </a:p>
        </c:txPr>
      </c:legendEntry>
      <c:layout>
        <c:manualLayout>
          <c:xMode val="edge"/>
          <c:yMode val="edge"/>
          <c:x val="0.74164164131630572"/>
          <c:y val="0.20503711253806417"/>
          <c:w val="0.23265403010651245"/>
          <c:h val="0.43449748661733206"/>
        </c:manualLayout>
      </c:layout>
    </c:legend>
    <c:plotVisOnly val="1"/>
  </c:chart>
  <c:spPr>
    <a:solidFill>
      <a:srgbClr val="DBE6C4">
        <a:alpha val="50000"/>
      </a:srgbClr>
    </a:solidFill>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8.9243965515196727E-2"/>
          <c:y val="5.1523736315508883E-2"/>
          <c:w val="0.62807797462819437"/>
          <c:h val="0.82745688038995058"/>
        </c:manualLayout>
      </c:layout>
      <c:barChart>
        <c:barDir val="bar"/>
        <c:grouping val="clustered"/>
        <c:ser>
          <c:idx val="0"/>
          <c:order val="0"/>
          <c:tx>
            <c:strRef>
              <c:f>Sheet1!$B$1</c:f>
              <c:strCache>
                <c:ptCount val="1"/>
                <c:pt idx="0">
                  <c:v>Drumuri și căi ferate</c:v>
                </c:pt>
              </c:strCache>
            </c:strRef>
          </c:tx>
          <c:spPr>
            <a:solidFill>
              <a:srgbClr val="FFC000"/>
            </a:solidFill>
            <a:ln>
              <a:solidFill>
                <a:srgbClr val="FFC000"/>
              </a:solidFill>
            </a:ln>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8587</c:v>
                </c:pt>
                <c:pt idx="1">
                  <c:v>8597</c:v>
                </c:pt>
                <c:pt idx="2">
                  <c:v>8592</c:v>
                </c:pt>
                <c:pt idx="3">
                  <c:v>8586</c:v>
                </c:pt>
                <c:pt idx="4">
                  <c:v>8136</c:v>
                </c:pt>
              </c:numCache>
            </c:numRef>
          </c:val>
        </c:ser>
        <c:ser>
          <c:idx val="1"/>
          <c:order val="1"/>
          <c:tx>
            <c:strRef>
              <c:f>Sheet1!$C$1</c:f>
              <c:strCache>
                <c:ptCount val="1"/>
                <c:pt idx="0">
                  <c:v>Curți și construcții</c:v>
                </c:pt>
              </c:strCache>
            </c:strRef>
          </c:tx>
          <c:spPr>
            <a:solidFill>
              <a:schemeClr val="accent2">
                <a:lumMod val="60000"/>
                <a:lumOff val="40000"/>
              </a:schemeClr>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13058</c:v>
                </c:pt>
                <c:pt idx="1">
                  <c:v>13066</c:v>
                </c:pt>
                <c:pt idx="2">
                  <c:v>13267</c:v>
                </c:pt>
                <c:pt idx="3">
                  <c:v>13294</c:v>
                </c:pt>
                <c:pt idx="4">
                  <c:v>14094</c:v>
                </c:pt>
              </c:numCache>
            </c:numRef>
          </c:val>
        </c:ser>
        <c:ser>
          <c:idx val="2"/>
          <c:order val="2"/>
          <c:tx>
            <c:strRef>
              <c:f>Sheet1!$D$1</c:f>
              <c:strCache>
                <c:ptCount val="1"/>
                <c:pt idx="0">
                  <c:v>Neproductive</c:v>
                </c:pt>
              </c:strCache>
            </c:strRef>
          </c:tx>
          <c:spPr>
            <a:solidFill>
              <a:srgbClr val="FF0000"/>
            </a:solidFill>
          </c:spP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8513</c:v>
                </c:pt>
                <c:pt idx="1">
                  <c:v>8616</c:v>
                </c:pt>
                <c:pt idx="2">
                  <c:v>8110</c:v>
                </c:pt>
                <c:pt idx="3">
                  <c:v>7928</c:v>
                </c:pt>
                <c:pt idx="4">
                  <c:v>7971</c:v>
                </c:pt>
              </c:numCache>
            </c:numRef>
          </c:val>
        </c:ser>
        <c:ser>
          <c:idx val="3"/>
          <c:order val="3"/>
          <c:tx>
            <c:strRef>
              <c:f>Sheet1!$E$1</c:f>
              <c:strCache>
                <c:ptCount val="1"/>
                <c:pt idx="0">
                  <c:v>Păduri</c:v>
                </c:pt>
              </c:strCache>
            </c:strRef>
          </c:tx>
          <c:spPr>
            <a:solidFill>
              <a:srgbClr val="00B050"/>
            </a:solidFill>
          </c:spPr>
          <c:cat>
            <c:numRef>
              <c:f>Sheet1!$A$2:$A$6</c:f>
              <c:numCache>
                <c:formatCode>General</c:formatCode>
                <c:ptCount val="5"/>
                <c:pt idx="0">
                  <c:v>2011</c:v>
                </c:pt>
                <c:pt idx="1">
                  <c:v>2012</c:v>
                </c:pt>
                <c:pt idx="2">
                  <c:v>2013</c:v>
                </c:pt>
                <c:pt idx="3">
                  <c:v>2014</c:v>
                </c:pt>
                <c:pt idx="4">
                  <c:v>2015</c:v>
                </c:pt>
              </c:numCache>
            </c:numRef>
          </c:cat>
          <c:val>
            <c:numRef>
              <c:f>Sheet1!$E$2:$E$6</c:f>
              <c:numCache>
                <c:formatCode>#,##0</c:formatCode>
                <c:ptCount val="5"/>
                <c:pt idx="0">
                  <c:v>28383</c:v>
                </c:pt>
                <c:pt idx="1">
                  <c:v>28552</c:v>
                </c:pt>
                <c:pt idx="2" formatCode="General">
                  <c:v>28653</c:v>
                </c:pt>
                <c:pt idx="3" formatCode="General">
                  <c:v>28687</c:v>
                </c:pt>
                <c:pt idx="4" formatCode="General">
                  <c:v>26417</c:v>
                </c:pt>
              </c:numCache>
            </c:numRef>
          </c:val>
        </c:ser>
        <c:ser>
          <c:idx val="4"/>
          <c:order val="4"/>
          <c:tx>
            <c:strRef>
              <c:f>Sheet1!$F$1</c:f>
              <c:strCache>
                <c:ptCount val="1"/>
                <c:pt idx="0">
                  <c:v>Ape</c:v>
                </c:pt>
              </c:strCache>
            </c:strRef>
          </c:tx>
          <c:cat>
            <c:numRef>
              <c:f>Sheet1!$A$2:$A$6</c:f>
              <c:numCache>
                <c:formatCode>General</c:formatCode>
                <c:ptCount val="5"/>
                <c:pt idx="0">
                  <c:v>2011</c:v>
                </c:pt>
                <c:pt idx="1">
                  <c:v>2012</c:v>
                </c:pt>
                <c:pt idx="2">
                  <c:v>2013</c:v>
                </c:pt>
                <c:pt idx="3">
                  <c:v>2014</c:v>
                </c:pt>
                <c:pt idx="4">
                  <c:v>2015</c:v>
                </c:pt>
              </c:numCache>
            </c:numRef>
          </c:cat>
          <c:val>
            <c:numRef>
              <c:f>Sheet1!$F$2:$F$6</c:f>
              <c:numCache>
                <c:formatCode>#,##0</c:formatCode>
                <c:ptCount val="5"/>
                <c:pt idx="0">
                  <c:v>30672</c:v>
                </c:pt>
                <c:pt idx="1">
                  <c:v>30590</c:v>
                </c:pt>
                <c:pt idx="2">
                  <c:v>30556</c:v>
                </c:pt>
                <c:pt idx="3" formatCode="General">
                  <c:v>30331</c:v>
                </c:pt>
                <c:pt idx="4" formatCode="General">
                  <c:v>30047</c:v>
                </c:pt>
              </c:numCache>
            </c:numRef>
          </c:val>
        </c:ser>
        <c:axId val="145646720"/>
        <c:axId val="145648256"/>
      </c:barChart>
      <c:catAx>
        <c:axId val="145646720"/>
        <c:scaling>
          <c:orientation val="minMax"/>
        </c:scaling>
        <c:axPos val="l"/>
        <c:numFmt formatCode="General" sourceLinked="1"/>
        <c:tickLblPos val="nextTo"/>
        <c:crossAx val="145648256"/>
        <c:crosses val="autoZero"/>
        <c:auto val="1"/>
        <c:lblAlgn val="ctr"/>
        <c:lblOffset val="100"/>
      </c:catAx>
      <c:valAx>
        <c:axId val="145648256"/>
        <c:scaling>
          <c:orientation val="minMax"/>
        </c:scaling>
        <c:axPos val="b"/>
        <c:majorGridlines/>
        <c:numFmt formatCode="General" sourceLinked="1"/>
        <c:tickLblPos val="nextTo"/>
        <c:crossAx val="145646720"/>
        <c:crosses val="autoZero"/>
        <c:crossBetween val="between"/>
      </c:valAx>
    </c:plotArea>
    <c:legend>
      <c:legendPos val="r"/>
    </c:legend>
    <c:plotVisOnly val="1"/>
  </c:chart>
  <c:spPr>
    <a:solidFill>
      <a:srgbClr val="DBE6C4">
        <a:alpha val="50000"/>
      </a:srgbClr>
    </a:solidFill>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879228638087064E-2"/>
          <c:y val="4.3650793650793704E-2"/>
          <c:w val="0.73882538691852673"/>
          <c:h val="0.55055737172328356"/>
        </c:manualLayout>
      </c:layout>
      <c:barChart>
        <c:barDir val="bar"/>
        <c:grouping val="clustered"/>
        <c:ser>
          <c:idx val="0"/>
          <c:order val="0"/>
          <c:tx>
            <c:strRef>
              <c:f>Sheet1!$B$1</c:f>
              <c:strCache>
                <c:ptCount val="1"/>
                <c:pt idx="0">
                  <c:v>Curți construcții</c:v>
                </c:pt>
              </c:strCache>
            </c:strRef>
          </c:tx>
          <c:spPr>
            <a:solidFill>
              <a:schemeClr val="accent2">
                <a:lumMod val="75000"/>
              </a:schemeClr>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13058</c:v>
                </c:pt>
                <c:pt idx="1">
                  <c:v>13066</c:v>
                </c:pt>
                <c:pt idx="2">
                  <c:v>13267</c:v>
                </c:pt>
                <c:pt idx="3">
                  <c:v>13294</c:v>
                </c:pt>
                <c:pt idx="4">
                  <c:v>14094</c:v>
                </c:pt>
              </c:numCache>
            </c:numRef>
          </c:val>
        </c:ser>
        <c:ser>
          <c:idx val="1"/>
          <c:order val="1"/>
          <c:tx>
            <c:strRef>
              <c:f>Sheet1!$C$1</c:f>
              <c:strCache>
                <c:ptCount val="1"/>
                <c:pt idx="0">
                  <c:v>Drumuri și căi ferate</c:v>
                </c:pt>
              </c:strCache>
            </c:strRef>
          </c:tx>
          <c:spPr>
            <a:solidFill>
              <a:srgbClr val="FFC0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8587</c:v>
                </c:pt>
                <c:pt idx="1">
                  <c:v>8597</c:v>
                </c:pt>
                <c:pt idx="2">
                  <c:v>8592</c:v>
                </c:pt>
                <c:pt idx="3">
                  <c:v>8586</c:v>
                </c:pt>
                <c:pt idx="4">
                  <c:v>8136</c:v>
                </c:pt>
              </c:numCache>
            </c:numRef>
          </c:val>
        </c:ser>
        <c:axId val="145461248"/>
        <c:axId val="145462784"/>
      </c:barChart>
      <c:catAx>
        <c:axId val="145461248"/>
        <c:scaling>
          <c:orientation val="minMax"/>
        </c:scaling>
        <c:axPos val="l"/>
        <c:numFmt formatCode="General" sourceLinked="1"/>
        <c:tickLblPos val="nextTo"/>
        <c:crossAx val="145462784"/>
        <c:crosses val="autoZero"/>
        <c:auto val="1"/>
        <c:lblAlgn val="ctr"/>
        <c:lblOffset val="100"/>
      </c:catAx>
      <c:valAx>
        <c:axId val="145462784"/>
        <c:scaling>
          <c:orientation val="minMax"/>
        </c:scaling>
        <c:axPos val="b"/>
        <c:majorGridlines/>
        <c:numFmt formatCode="General" sourceLinked="1"/>
        <c:tickLblPos val="nextTo"/>
        <c:crossAx val="145461248"/>
        <c:crosses val="autoZero"/>
        <c:crossBetween val="between"/>
      </c:valAx>
    </c:plotArea>
    <c:legend>
      <c:legendPos val="r"/>
      <c:legendEntry>
        <c:idx val="1"/>
        <c:txPr>
          <a:bodyPr/>
          <a:lstStyle/>
          <a:p>
            <a:pPr>
              <a:defRPr sz="1200">
                <a:latin typeface="Times New Roman" pitchFamily="18" charset="0"/>
                <a:cs typeface="Times New Roman" pitchFamily="18" charset="0"/>
              </a:defRPr>
            </a:pPr>
            <a:endParaRPr lang="ro-RO"/>
          </a:p>
        </c:txPr>
      </c:legendEntry>
      <c:legendEntry>
        <c:idx val="0"/>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7535"/>
          <c:w val="0.7409832334808969"/>
          <c:h val="0.12666709187295774"/>
        </c:manualLayout>
      </c:layout>
    </c:legend>
    <c:plotVisOnly val="1"/>
  </c:chart>
  <c:spPr>
    <a:solidFill>
      <a:srgbClr val="DBE6C4">
        <a:alpha val="50000"/>
      </a:srgbClr>
    </a:solidFill>
    <a:ln>
      <a:solidFill>
        <a:sysClr val="windowText" lastClr="000000">
          <a:alpha val="50000"/>
        </a:sysClr>
      </a:solid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lgn="l">
              <a:defRPr sz="837" b="1" i="0" u="none" strike="noStrike" baseline="0">
                <a:solidFill>
                  <a:srgbClr val="000000"/>
                </a:solidFill>
                <a:latin typeface="Arial"/>
                <a:ea typeface="Arial"/>
                <a:cs typeface="Arial"/>
              </a:defRPr>
            </a:pPr>
            <a:r>
              <a:rPr lang="ro-RO" sz="969" b="1" i="1" strike="noStrike">
                <a:solidFill>
                  <a:srgbClr val="000000"/>
                </a:solidFill>
                <a:latin typeface="Arial"/>
                <a:cs typeface="Arial"/>
              </a:rPr>
              <a:t>Evoluţia suprafeţei agricole în perioada 2011-2016</a:t>
            </a: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r>
              <a:rPr lang="ro-RO" sz="704" b="1" i="1" strike="noStrike">
                <a:solidFill>
                  <a:srgbClr val="000000"/>
                </a:solidFill>
                <a:latin typeface="Arial"/>
                <a:cs typeface="Arial"/>
              </a:rPr>
              <a:t> </a:t>
            </a: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c:rich>
      </c:tx>
      <c:layout>
        <c:manualLayout>
          <c:xMode val="edge"/>
          <c:yMode val="edge"/>
          <c:x val="0.1570578477690325"/>
          <c:y val="0"/>
        </c:manualLayout>
      </c:layout>
      <c:spPr>
        <a:noFill/>
        <a:ln w="22495">
          <a:noFill/>
        </a:ln>
      </c:spPr>
    </c:title>
    <c:view3D>
      <c:hPercent val="39"/>
      <c:depthPercent val="100"/>
      <c:rAngAx val="1"/>
    </c:view3D>
    <c:floor>
      <c:spPr>
        <a:solidFill>
          <a:srgbClr val="C0C0C0"/>
        </a:solidFill>
        <a:ln w="3175">
          <a:solidFill>
            <a:srgbClr val="000000"/>
          </a:solidFill>
          <a:prstDash val="solid"/>
        </a:ln>
      </c:spPr>
    </c:floor>
    <c:sideWall>
      <c:spPr>
        <a:solidFill>
          <a:srgbClr val="F79646">
            <a:lumMod val="20000"/>
            <a:lumOff val="80000"/>
          </a:srgbClr>
        </a:solidFill>
        <a:ln w="12700">
          <a:solidFill>
            <a:srgbClr val="808080"/>
          </a:solidFill>
          <a:prstDash val="solid"/>
        </a:ln>
      </c:spPr>
    </c:sideWall>
    <c:backWall>
      <c:spPr>
        <a:solidFill>
          <a:srgbClr val="F79646">
            <a:lumMod val="20000"/>
            <a:lumOff val="80000"/>
          </a:srgbClr>
        </a:solidFill>
        <a:ln w="12700">
          <a:solidFill>
            <a:srgbClr val="808080"/>
          </a:solidFill>
          <a:prstDash val="solid"/>
        </a:ln>
      </c:spPr>
    </c:backWall>
    <c:plotArea>
      <c:layout>
        <c:manualLayout>
          <c:layoutTarget val="inner"/>
          <c:xMode val="edge"/>
          <c:yMode val="edge"/>
          <c:x val="9.5808383233532968E-2"/>
          <c:y val="0.18888888888888891"/>
          <c:w val="0.82808777241909715"/>
          <c:h val="0.57777777777777772"/>
        </c:manualLayout>
      </c:layout>
      <c:bar3DChart>
        <c:barDir val="col"/>
        <c:grouping val="clustered"/>
        <c:ser>
          <c:idx val="0"/>
          <c:order val="0"/>
          <c:tx>
            <c:strRef>
              <c:f>Sheet1!$A$2</c:f>
              <c:strCache>
                <c:ptCount val="1"/>
                <c:pt idx="0">
                  <c:v>387163</c:v>
                </c:pt>
              </c:strCache>
            </c:strRef>
          </c:tx>
          <c:spPr>
            <a:solidFill>
              <a:srgbClr val="D20000"/>
            </a:solidFill>
            <a:ln w="11251">
              <a:solidFill>
                <a:srgbClr val="000000"/>
              </a:solidFill>
              <a:prstDash val="solid"/>
            </a:ln>
          </c:spPr>
          <c:dLbls>
            <c:showVal val="1"/>
          </c:dLbls>
          <c:cat>
            <c:numRef>
              <c:f>Sheet1!$B$1:$G$1</c:f>
              <c:numCache>
                <c:formatCode>General</c:formatCode>
                <c:ptCount val="5"/>
                <c:pt idx="0">
                  <c:v>2012</c:v>
                </c:pt>
                <c:pt idx="1">
                  <c:v>2013</c:v>
                </c:pt>
                <c:pt idx="2">
                  <c:v>2014</c:v>
                </c:pt>
                <c:pt idx="3">
                  <c:v>2015</c:v>
                </c:pt>
                <c:pt idx="4">
                  <c:v>2016</c:v>
                </c:pt>
              </c:numCache>
            </c:numRef>
          </c:cat>
          <c:val>
            <c:numRef>
              <c:f>Sheet1!$B$2:$G$2</c:f>
              <c:numCache>
                <c:formatCode>General</c:formatCode>
                <c:ptCount val="5"/>
                <c:pt idx="0">
                  <c:v>387160</c:v>
                </c:pt>
                <c:pt idx="1">
                  <c:v>387598</c:v>
                </c:pt>
                <c:pt idx="2">
                  <c:v>387750</c:v>
                </c:pt>
                <c:pt idx="3" formatCode="#,##0">
                  <c:v>389907</c:v>
                </c:pt>
                <c:pt idx="4" formatCode="#,##0">
                  <c:v>391579</c:v>
                </c:pt>
              </c:numCache>
            </c:numRef>
          </c:val>
        </c:ser>
        <c:gapDepth val="0"/>
        <c:shape val="box"/>
        <c:axId val="145570048"/>
        <c:axId val="147324928"/>
        <c:axId val="0"/>
      </c:bar3DChart>
      <c:catAx>
        <c:axId val="145570048"/>
        <c:scaling>
          <c:orientation val="minMax"/>
        </c:scaling>
        <c:axPos val="b"/>
        <c:numFmt formatCode="General" sourceLinked="1"/>
        <c:tickLblPos val="low"/>
        <c:spPr>
          <a:ln w="2813">
            <a:solidFill>
              <a:srgbClr val="000000"/>
            </a:solidFill>
            <a:prstDash val="solid"/>
          </a:ln>
        </c:spPr>
        <c:txPr>
          <a:bodyPr rot="0" vert="horz"/>
          <a:lstStyle/>
          <a:p>
            <a:pPr>
              <a:defRPr sz="844" b="1" i="0" u="none" strike="noStrike" baseline="0">
                <a:solidFill>
                  <a:srgbClr val="000000"/>
                </a:solidFill>
                <a:latin typeface="Arial"/>
                <a:ea typeface="Arial"/>
                <a:cs typeface="Arial"/>
              </a:defRPr>
            </a:pPr>
            <a:endParaRPr lang="ro-RO"/>
          </a:p>
        </c:txPr>
        <c:crossAx val="147324928"/>
        <c:crosses val="autoZero"/>
        <c:auto val="1"/>
        <c:lblAlgn val="ctr"/>
        <c:lblOffset val="100"/>
        <c:tickLblSkip val="1"/>
        <c:tickMarkSkip val="1"/>
      </c:catAx>
      <c:valAx>
        <c:axId val="147324928"/>
        <c:scaling>
          <c:orientation val="minMax"/>
          <c:min val="380000"/>
        </c:scaling>
        <c:axPos val="l"/>
        <c:majorGridlines>
          <c:spPr>
            <a:ln w="2813">
              <a:solidFill>
                <a:srgbClr val="000000"/>
              </a:solidFill>
              <a:prstDash val="solid"/>
            </a:ln>
          </c:spPr>
        </c:majorGridlines>
        <c:numFmt formatCode="General" sourceLinked="1"/>
        <c:tickLblPos val="nextTo"/>
        <c:spPr>
          <a:ln w="2813">
            <a:solidFill>
              <a:srgbClr val="000000"/>
            </a:solidFill>
            <a:prstDash val="solid"/>
          </a:ln>
        </c:spPr>
        <c:txPr>
          <a:bodyPr rot="0" vert="horz"/>
          <a:lstStyle/>
          <a:p>
            <a:pPr>
              <a:defRPr sz="844" b="1" i="0" u="none" strike="noStrike" baseline="0">
                <a:solidFill>
                  <a:srgbClr val="000000"/>
                </a:solidFill>
                <a:latin typeface="Arial"/>
                <a:ea typeface="Arial"/>
                <a:cs typeface="Arial"/>
              </a:defRPr>
            </a:pPr>
            <a:endParaRPr lang="ro-RO"/>
          </a:p>
        </c:txPr>
        <c:crossAx val="145570048"/>
        <c:crosses val="autoZero"/>
        <c:crossBetween val="between"/>
      </c:valAx>
      <c:spPr>
        <a:noFill/>
        <a:ln w="25379">
          <a:noFill/>
        </a:ln>
      </c:spPr>
    </c:plotArea>
    <c:plotVisOnly val="1"/>
    <c:dispBlanksAs val="gap"/>
  </c:chart>
  <c:spPr>
    <a:solidFill>
      <a:srgbClr val="C0504D">
        <a:lumMod val="20000"/>
        <a:lumOff val="80000"/>
      </a:srgbClr>
    </a:solidFill>
    <a:ln>
      <a:noFill/>
    </a:ln>
  </c:spPr>
  <c:txPr>
    <a:bodyPr/>
    <a:lstStyle/>
    <a:p>
      <a:pPr>
        <a:defRPr sz="844" b="1" i="0" u="none" strike="noStrike" baseline="0">
          <a:solidFill>
            <a:srgbClr val="000000"/>
          </a:solidFill>
          <a:latin typeface="Arial"/>
          <a:ea typeface="Arial"/>
          <a:cs typeface="Arial"/>
        </a:defRPr>
      </a:pPr>
      <a:endParaRPr lang="ro-RO"/>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26628154218084032"/>
          <c:y val="7.4441299819729134E-2"/>
          <c:w val="0.39322437299712676"/>
          <c:h val="0.8612355814621736"/>
        </c:manualLayout>
      </c:layout>
      <c:barChart>
        <c:barDir val="col"/>
        <c:grouping val="clustered"/>
        <c:ser>
          <c:idx val="0"/>
          <c:order val="0"/>
          <c:tx>
            <c:strRef>
              <c:f>Sheet1!$B$1</c:f>
              <c:strCache>
                <c:ptCount val="1"/>
                <c:pt idx="0">
                  <c:v>Urban</c:v>
                </c:pt>
              </c:strCache>
            </c:strRef>
          </c:tx>
          <c:spPr>
            <a:solidFill>
              <a:srgbClr val="C00000"/>
            </a:solidFill>
          </c:spPr>
          <c:dLbls>
            <c:dLbl>
              <c:idx val="0"/>
              <c:layout>
                <c:manualLayout>
                  <c:x val="4.3157099609887006E-2"/>
                  <c:y val="0"/>
                </c:manualLayout>
              </c:layout>
              <c:showVal val="1"/>
            </c:dLbl>
            <c:txPr>
              <a:bodyPr/>
              <a:lstStyle/>
              <a:p>
                <a:pPr>
                  <a:defRPr sz="900"/>
                </a:pPr>
                <a:endParaRPr lang="ro-RO"/>
              </a:p>
            </c:txPr>
            <c:showVal val="1"/>
          </c:dLbls>
          <c:cat>
            <c:numRef>
              <c:f>Sheet1!$A$2</c:f>
              <c:numCache>
                <c:formatCode>General</c:formatCode>
                <c:ptCount val="1"/>
              </c:numCache>
            </c:numRef>
          </c:cat>
          <c:val>
            <c:numRef>
              <c:f>Sheet1!$B$2</c:f>
              <c:numCache>
                <c:formatCode>0.00%</c:formatCode>
                <c:ptCount val="1"/>
                <c:pt idx="0">
                  <c:v>-4.7400000000000032E-2</c:v>
                </c:pt>
              </c:numCache>
            </c:numRef>
          </c:val>
        </c:ser>
        <c:ser>
          <c:idx val="1"/>
          <c:order val="1"/>
          <c:tx>
            <c:strRef>
              <c:f>Sheet1!$C$1</c:f>
              <c:strCache>
                <c:ptCount val="1"/>
                <c:pt idx="0">
                  <c:v>Rural</c:v>
                </c:pt>
              </c:strCache>
            </c:strRef>
          </c:tx>
          <c:spPr>
            <a:solidFill>
              <a:srgbClr val="00B050"/>
            </a:solidFill>
          </c:spPr>
          <c:dLbls>
            <c:dLbl>
              <c:idx val="0"/>
              <c:layout>
                <c:manualLayout>
                  <c:x val="4.9322399554157133E-2"/>
                  <c:y val="0"/>
                </c:manualLayout>
              </c:layout>
              <c:showVal val="1"/>
            </c:dLbl>
            <c:txPr>
              <a:bodyPr/>
              <a:lstStyle/>
              <a:p>
                <a:pPr>
                  <a:defRPr sz="900" baseline="0"/>
                </a:pPr>
                <a:endParaRPr lang="ro-RO"/>
              </a:p>
            </c:txPr>
            <c:showVal val="1"/>
          </c:dLbls>
          <c:cat>
            <c:numRef>
              <c:f>Sheet1!$A$2</c:f>
              <c:numCache>
                <c:formatCode>General</c:formatCode>
                <c:ptCount val="1"/>
              </c:numCache>
            </c:numRef>
          </c:cat>
          <c:val>
            <c:numRef>
              <c:f>Sheet1!$C$2</c:f>
              <c:numCache>
                <c:formatCode>0.00%</c:formatCode>
                <c:ptCount val="1"/>
                <c:pt idx="0">
                  <c:v>-2.9000000000000001E-2</c:v>
                </c:pt>
              </c:numCache>
            </c:numRef>
          </c:val>
        </c:ser>
        <c:axId val="146432768"/>
        <c:axId val="146434304"/>
      </c:barChart>
      <c:catAx>
        <c:axId val="146432768"/>
        <c:scaling>
          <c:orientation val="minMax"/>
        </c:scaling>
        <c:axPos val="b"/>
        <c:numFmt formatCode="General" sourceLinked="1"/>
        <c:tickLblPos val="nextTo"/>
        <c:crossAx val="146434304"/>
        <c:crosses val="autoZero"/>
        <c:auto val="1"/>
        <c:lblAlgn val="ctr"/>
        <c:lblOffset val="100"/>
      </c:catAx>
      <c:valAx>
        <c:axId val="146434304"/>
        <c:scaling>
          <c:orientation val="minMax"/>
        </c:scaling>
        <c:axPos val="l"/>
        <c:majorGridlines/>
        <c:numFmt formatCode="0.00%" sourceLinked="1"/>
        <c:tickLblPos val="nextTo"/>
        <c:crossAx val="146432768"/>
        <c:crosses val="autoZero"/>
        <c:crossBetween val="between"/>
      </c:valAx>
    </c:plotArea>
    <c:legend>
      <c:legendPos val="r"/>
      <c:legendEntry>
        <c:idx val="0"/>
        <c:txPr>
          <a:bodyPr/>
          <a:lstStyle/>
          <a:p>
            <a:pPr>
              <a:defRPr sz="1100"/>
            </a:pPr>
            <a:endParaRPr lang="ro-RO"/>
          </a:p>
        </c:txPr>
      </c:legendEntry>
      <c:legendEntry>
        <c:idx val="1"/>
        <c:txPr>
          <a:bodyPr/>
          <a:lstStyle/>
          <a:p>
            <a:pPr>
              <a:defRPr sz="1100"/>
            </a:pPr>
            <a:endParaRPr lang="ro-RO"/>
          </a:p>
        </c:txPr>
      </c:legendEntry>
      <c:layout>
        <c:manualLayout>
          <c:xMode val="edge"/>
          <c:yMode val="edge"/>
          <c:x val="0.72418856859908565"/>
          <c:y val="0.41550262467191601"/>
          <c:w val="0.27581124667219425"/>
          <c:h val="0.43449748661733206"/>
        </c:manualLayout>
      </c:layout>
    </c:legend>
    <c:plotVisOnly val="1"/>
  </c:chart>
  <c:spPr>
    <a:solidFill>
      <a:srgbClr val="FFFFDD"/>
    </a:solidFill>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200" b="0"/>
              <a:t>Densitatea populației județului Brăila</a:t>
            </a:r>
            <a:endParaRPr lang="ro-RO" sz="1200" b="0"/>
          </a:p>
          <a:p>
            <a:pPr>
              <a:defRPr/>
            </a:pPr>
            <a:r>
              <a:rPr lang="ro-RO" sz="1200" b="0"/>
              <a:t> (locuitori/km</a:t>
            </a:r>
            <a:r>
              <a:rPr lang="ro-RO" sz="1200" b="0" baseline="0"/>
              <a:t> 2)</a:t>
            </a:r>
            <a:endParaRPr lang="vi-VN" sz="1200" b="0"/>
          </a:p>
        </c:rich>
      </c:tx>
    </c:title>
    <c:plotArea>
      <c:layout>
        <c:manualLayout>
          <c:layoutTarget val="inner"/>
          <c:xMode val="edge"/>
          <c:yMode val="edge"/>
          <c:x val="9.0553044912753566E-2"/>
          <c:y val="0.23323348177361444"/>
          <c:w val="0.83668490709488552"/>
          <c:h val="0.50791049347708461"/>
        </c:manualLayout>
      </c:layout>
      <c:lineChart>
        <c:grouping val="standard"/>
        <c:ser>
          <c:idx val="0"/>
          <c:order val="0"/>
          <c:tx>
            <c:strRef>
              <c:f>Sheet1!$B$1</c:f>
              <c:strCache>
                <c:ptCount val="1"/>
                <c:pt idx="0">
                  <c:v>64,65</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67.08</c:v>
                </c:pt>
                <c:pt idx="1">
                  <c:v>66.22</c:v>
                </c:pt>
                <c:pt idx="2">
                  <c:v>65.489999999999995</c:v>
                </c:pt>
                <c:pt idx="3">
                  <c:v>64.649999999999991</c:v>
                </c:pt>
                <c:pt idx="4">
                  <c:v>63.720000000000013</c:v>
                </c:pt>
              </c:numCache>
            </c:numRef>
          </c:val>
        </c:ser>
        <c:marker val="1"/>
        <c:axId val="147043456"/>
        <c:axId val="147044992"/>
      </c:lineChart>
      <c:catAx>
        <c:axId val="147043456"/>
        <c:scaling>
          <c:orientation val="minMax"/>
        </c:scaling>
        <c:axPos val="b"/>
        <c:numFmt formatCode="General" sourceLinked="1"/>
        <c:tickLblPos val="nextTo"/>
        <c:crossAx val="147044992"/>
        <c:crosses val="autoZero"/>
        <c:auto val="1"/>
        <c:lblAlgn val="ctr"/>
        <c:lblOffset val="100"/>
      </c:catAx>
      <c:valAx>
        <c:axId val="147044992"/>
        <c:scaling>
          <c:orientation val="minMax"/>
        </c:scaling>
        <c:axPos val="l"/>
        <c:majorGridlines/>
        <c:numFmt formatCode="General" sourceLinked="1"/>
        <c:tickLblPos val="nextTo"/>
        <c:crossAx val="147043456"/>
        <c:crosses val="autoZero"/>
        <c:crossBetween val="between"/>
      </c:valAx>
    </c:plotArea>
    <c:legend>
      <c:legendPos val="r"/>
      <c:layout>
        <c:manualLayout>
          <c:xMode val="edge"/>
          <c:yMode val="edge"/>
          <c:x val="0.18783109505332693"/>
          <c:y val="0.87697600594295055"/>
          <c:w val="0.60504629629630702"/>
          <c:h val="0.11970566179227612"/>
        </c:manualLayout>
      </c:layout>
    </c:legend>
    <c:plotVisOnly val="1"/>
  </c:chart>
  <c:spPr>
    <a:solidFill>
      <a:srgbClr val="FFFFC5">
        <a:alpha val="39000"/>
      </a:srgbClr>
    </a:solidFill>
    <a:ln>
      <a:solidFill>
        <a:sysClr val="windowText" lastClr="000000">
          <a:alpha val="41000"/>
        </a:sysClr>
      </a:solidFill>
    </a:ln>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1458664999133771E-2"/>
          <c:y val="0.10314976545083072"/>
          <c:w val="0.70628747882513432"/>
          <c:h val="0.5216822638615255"/>
        </c:manualLayout>
      </c:layout>
      <c:barChart>
        <c:barDir val="bar"/>
        <c:grouping val="clustered"/>
        <c:ser>
          <c:idx val="0"/>
          <c:order val="0"/>
          <c:tx>
            <c:strRef>
              <c:f>Sheet1!$B$1</c:f>
              <c:strCache>
                <c:ptCount val="1"/>
                <c:pt idx="0">
                  <c:v>Total terenuri urbane și  artificiale</c:v>
                </c:pt>
              </c:strCache>
            </c:strRef>
          </c:tx>
          <c:spPr>
            <a:solidFill>
              <a:schemeClr val="accent4">
                <a:lumMod val="75000"/>
              </a:schemeClr>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21645</c:v>
                </c:pt>
                <c:pt idx="1">
                  <c:v>21663</c:v>
                </c:pt>
                <c:pt idx="2">
                  <c:v>21859</c:v>
                </c:pt>
                <c:pt idx="3">
                  <c:v>21880</c:v>
                </c:pt>
                <c:pt idx="4">
                  <c:v>22230</c:v>
                </c:pt>
              </c:numCache>
            </c:numRef>
          </c:val>
        </c:ser>
        <c:ser>
          <c:idx val="1"/>
          <c:order val="1"/>
          <c:tx>
            <c:strRef>
              <c:f>Sheet1!$C$1</c:f>
              <c:strCache>
                <c:ptCount val="1"/>
                <c:pt idx="0">
                  <c:v>Curți construcții</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13058</c:v>
                </c:pt>
                <c:pt idx="1">
                  <c:v>13066</c:v>
                </c:pt>
                <c:pt idx="2">
                  <c:v>13267</c:v>
                </c:pt>
                <c:pt idx="3">
                  <c:v>13294</c:v>
                </c:pt>
                <c:pt idx="4">
                  <c:v>14094</c:v>
                </c:pt>
              </c:numCache>
            </c:numRef>
          </c:val>
        </c:ser>
        <c:ser>
          <c:idx val="2"/>
          <c:order val="2"/>
          <c:tx>
            <c:strRef>
              <c:f>Sheet1!$D$1</c:f>
              <c:strCache>
                <c:ptCount val="1"/>
                <c:pt idx="0">
                  <c:v>Drumuri și căi ferate</c:v>
                </c:pt>
              </c:strCache>
            </c:strRef>
          </c:tx>
          <c:spPr>
            <a:solidFill>
              <a:srgbClr val="FFC000"/>
            </a:solidFill>
          </c:spP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8587</c:v>
                </c:pt>
                <c:pt idx="1">
                  <c:v>8597</c:v>
                </c:pt>
                <c:pt idx="2">
                  <c:v>8592</c:v>
                </c:pt>
                <c:pt idx="3">
                  <c:v>8586</c:v>
                </c:pt>
                <c:pt idx="4">
                  <c:v>8136</c:v>
                </c:pt>
              </c:numCache>
            </c:numRef>
          </c:val>
        </c:ser>
        <c:axId val="147989632"/>
        <c:axId val="147991168"/>
      </c:barChart>
      <c:catAx>
        <c:axId val="147989632"/>
        <c:scaling>
          <c:orientation val="minMax"/>
        </c:scaling>
        <c:axPos val="l"/>
        <c:numFmt formatCode="General" sourceLinked="1"/>
        <c:tickLblPos val="nextTo"/>
        <c:crossAx val="147991168"/>
        <c:crosses val="autoZero"/>
        <c:auto val="1"/>
        <c:lblAlgn val="ctr"/>
        <c:lblOffset val="100"/>
      </c:catAx>
      <c:valAx>
        <c:axId val="147991168"/>
        <c:scaling>
          <c:orientation val="minMax"/>
        </c:scaling>
        <c:axPos val="b"/>
        <c:majorGridlines/>
        <c:numFmt formatCode="General" sourceLinked="1"/>
        <c:tickLblPos val="nextTo"/>
        <c:crossAx val="147989632"/>
        <c:crosses val="autoZero"/>
        <c:crossBetween val="between"/>
      </c:valAx>
    </c:plotArea>
    <c:legend>
      <c:legendPos val="r"/>
      <c:legendEntry>
        <c:idx val="2"/>
        <c:txPr>
          <a:bodyPr/>
          <a:lstStyle/>
          <a:p>
            <a:pPr>
              <a:defRPr sz="1100">
                <a:latin typeface="Times New Roman" pitchFamily="18" charset="0"/>
                <a:cs typeface="Times New Roman" pitchFamily="18" charset="0"/>
              </a:defRPr>
            </a:pPr>
            <a:endParaRPr lang="ro-RO"/>
          </a:p>
        </c:txPr>
      </c:legendEntry>
      <c:legendEntry>
        <c:idx val="1"/>
        <c:txPr>
          <a:bodyPr/>
          <a:lstStyle/>
          <a:p>
            <a:pPr>
              <a:defRPr sz="1100">
                <a:latin typeface="Times New Roman" pitchFamily="18" charset="0"/>
                <a:cs typeface="Times New Roman" pitchFamily="18" charset="0"/>
              </a:defRPr>
            </a:pPr>
            <a:endParaRPr lang="ro-RO"/>
          </a:p>
        </c:txPr>
      </c:legendEntry>
      <c:legendEntry>
        <c:idx val="0"/>
        <c:txPr>
          <a:bodyPr/>
          <a:lstStyle/>
          <a:p>
            <a:pPr>
              <a:defRPr sz="1100">
                <a:latin typeface="Times New Roman" pitchFamily="18" charset="0"/>
                <a:cs typeface="Times New Roman" pitchFamily="18" charset="0"/>
              </a:defRPr>
            </a:pPr>
            <a:endParaRPr lang="ro-RO"/>
          </a:p>
        </c:txPr>
      </c:legendEntry>
      <c:layout>
        <c:manualLayout>
          <c:xMode val="edge"/>
          <c:yMode val="edge"/>
          <c:x val="3.3213265432865492E-2"/>
          <c:y val="0.81752914073513738"/>
          <c:w val="0.94231837873753499"/>
          <c:h val="8.2323041634058472E-2"/>
        </c:manualLayout>
      </c:layout>
    </c:legend>
    <c:plotVisOnly val="1"/>
  </c:chart>
  <c:spPr>
    <a:solidFill>
      <a:srgbClr val="FFFFDD">
        <a:alpha val="72000"/>
      </a:srgbClr>
    </a:solidFill>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879228638087064E-2"/>
          <c:y val="4.3650793650793704E-2"/>
          <c:w val="0.77159649314669065"/>
          <c:h val="0.59275492420762366"/>
        </c:manualLayout>
      </c:layout>
      <c:barChart>
        <c:barDir val="bar"/>
        <c:grouping val="clustered"/>
        <c:ser>
          <c:idx val="0"/>
          <c:order val="0"/>
          <c:tx>
            <c:strRef>
              <c:f>Sheet1!$B$1</c:f>
              <c:strCache>
                <c:ptCount val="1"/>
                <c:pt idx="0">
                  <c:v>Curți construcții</c:v>
                </c:pt>
              </c:strCache>
            </c:strRef>
          </c:tx>
          <c:spPr>
            <a:solidFill>
              <a:schemeClr val="accent2">
                <a:lumMod val="75000"/>
              </a:schemeClr>
            </a:solidFill>
          </c:spP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13058</c:v>
                </c:pt>
                <c:pt idx="1">
                  <c:v>13066</c:v>
                </c:pt>
                <c:pt idx="2">
                  <c:v>13267</c:v>
                </c:pt>
                <c:pt idx="3">
                  <c:v>13294</c:v>
                </c:pt>
                <c:pt idx="4">
                  <c:v>14094</c:v>
                </c:pt>
              </c:numCache>
            </c:numRef>
          </c:val>
        </c:ser>
        <c:ser>
          <c:idx val="1"/>
          <c:order val="1"/>
          <c:tx>
            <c:strRef>
              <c:f>Sheet1!$C$1</c:f>
              <c:strCache>
                <c:ptCount val="1"/>
                <c:pt idx="0">
                  <c:v>Drumuri și căi ferate</c:v>
                </c:pt>
              </c:strCache>
            </c:strRef>
          </c:tx>
          <c:spPr>
            <a:solidFill>
              <a:srgbClr val="FFC000"/>
            </a:solidFill>
          </c:spP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8587</c:v>
                </c:pt>
                <c:pt idx="1">
                  <c:v>8597</c:v>
                </c:pt>
                <c:pt idx="2">
                  <c:v>8592</c:v>
                </c:pt>
                <c:pt idx="3">
                  <c:v>8586</c:v>
                </c:pt>
                <c:pt idx="4">
                  <c:v>8136</c:v>
                </c:pt>
              </c:numCache>
            </c:numRef>
          </c:val>
        </c:ser>
        <c:axId val="147332480"/>
        <c:axId val="147342464"/>
      </c:barChart>
      <c:catAx>
        <c:axId val="147332480"/>
        <c:scaling>
          <c:orientation val="minMax"/>
        </c:scaling>
        <c:axPos val="l"/>
        <c:numFmt formatCode="General" sourceLinked="1"/>
        <c:tickLblPos val="nextTo"/>
        <c:crossAx val="147342464"/>
        <c:crosses val="autoZero"/>
        <c:auto val="1"/>
        <c:lblAlgn val="ctr"/>
        <c:lblOffset val="100"/>
      </c:catAx>
      <c:valAx>
        <c:axId val="147342464"/>
        <c:scaling>
          <c:orientation val="minMax"/>
        </c:scaling>
        <c:axPos val="b"/>
        <c:majorGridlines/>
        <c:numFmt formatCode="General" sourceLinked="1"/>
        <c:tickLblPos val="nextTo"/>
        <c:crossAx val="147332480"/>
        <c:crosses val="autoZero"/>
        <c:crossBetween val="between"/>
      </c:valAx>
    </c:plotArea>
    <c:legend>
      <c:legendPos val="r"/>
      <c:legendEntry>
        <c:idx val="1"/>
        <c:txPr>
          <a:bodyPr/>
          <a:lstStyle/>
          <a:p>
            <a:pPr>
              <a:defRPr sz="1200">
                <a:latin typeface="Times New Roman" pitchFamily="18" charset="0"/>
                <a:cs typeface="Times New Roman" pitchFamily="18" charset="0"/>
              </a:defRPr>
            </a:pPr>
            <a:endParaRPr lang="ro-RO"/>
          </a:p>
        </c:txPr>
      </c:legendEntry>
      <c:legendEntry>
        <c:idx val="0"/>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7602"/>
          <c:w val="0.74098323348089734"/>
          <c:h val="0.12666709187295774"/>
        </c:manualLayout>
      </c:layout>
    </c:legend>
    <c:plotVisOnly val="1"/>
  </c:chart>
  <c:spPr>
    <a:solidFill>
      <a:srgbClr val="FFFFDD">
        <a:alpha val="57000"/>
      </a:srgb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0857142857142862"/>
          <c:y val="8.9201877934273727E-2"/>
          <c:w val="0.65904761904762565"/>
          <c:h val="0.70892018779342725"/>
        </c:manualLayout>
      </c:layout>
      <c:barChart>
        <c:barDir val="col"/>
        <c:grouping val="clustered"/>
        <c:ser>
          <c:idx val="4"/>
          <c:order val="0"/>
          <c:tx>
            <c:strRef>
              <c:f>Sheet1!$A$2</c:f>
              <c:strCache>
                <c:ptCount val="1"/>
                <c:pt idx="0">
                  <c:v>Medii anuale 2012</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30.52</c:v>
                </c:pt>
                <c:pt idx="1">
                  <c:v>24.939999999999987</c:v>
                </c:pt>
                <c:pt idx="2">
                  <c:v>13.11</c:v>
                </c:pt>
                <c:pt idx="3">
                  <c:v>21.7</c:v>
                </c:pt>
                <c:pt idx="4">
                  <c:v>0</c:v>
                </c:pt>
              </c:numCache>
            </c:numRef>
          </c:val>
        </c:ser>
        <c:ser>
          <c:idx val="5"/>
          <c:order val="1"/>
          <c:tx>
            <c:strRef>
              <c:f>Sheet1!$A$3</c:f>
              <c:strCache>
                <c:ptCount val="1"/>
                <c:pt idx="0">
                  <c:v>Medii anuale 2013</c:v>
                </c:pt>
              </c:strCache>
            </c:strRef>
          </c:tx>
          <c:cat>
            <c:strRef>
              <c:f>Sheet1!$B$1:$F$1</c:f>
              <c:strCache>
                <c:ptCount val="5"/>
                <c:pt idx="0">
                  <c:v>BR1</c:v>
                </c:pt>
                <c:pt idx="1">
                  <c:v>BR2</c:v>
                </c:pt>
                <c:pt idx="2">
                  <c:v>BR3</c:v>
                </c:pt>
                <c:pt idx="3">
                  <c:v>BR4</c:v>
                </c:pt>
                <c:pt idx="4">
                  <c:v>BR5</c:v>
                </c:pt>
              </c:strCache>
            </c:strRef>
          </c:cat>
          <c:val>
            <c:numRef>
              <c:f>Sheet1!$B$3:$F$3</c:f>
              <c:numCache>
                <c:formatCode>0.00</c:formatCode>
                <c:ptCount val="5"/>
                <c:pt idx="0">
                  <c:v>0</c:v>
                </c:pt>
                <c:pt idx="1">
                  <c:v>3.86</c:v>
                </c:pt>
                <c:pt idx="2">
                  <c:v>10.44</c:v>
                </c:pt>
                <c:pt idx="3">
                  <c:v>5.1499999999999995</c:v>
                </c:pt>
                <c:pt idx="4">
                  <c:v>0</c:v>
                </c:pt>
              </c:numCache>
            </c:numRef>
          </c:val>
        </c:ser>
        <c:ser>
          <c:idx val="6"/>
          <c:order val="2"/>
          <c:tx>
            <c:strRef>
              <c:f>Sheet1!$A$4</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Sheet1!$B$4:$F$4</c:f>
              <c:numCache>
                <c:formatCode>General</c:formatCode>
                <c:ptCount val="5"/>
                <c:pt idx="0">
                  <c:v>0</c:v>
                </c:pt>
                <c:pt idx="1">
                  <c:v>15.5</c:v>
                </c:pt>
                <c:pt idx="2">
                  <c:v>7.41</c:v>
                </c:pt>
                <c:pt idx="3">
                  <c:v>0</c:v>
                </c:pt>
                <c:pt idx="4">
                  <c:v>0</c:v>
                </c:pt>
              </c:numCache>
            </c:numRef>
          </c:val>
        </c:ser>
        <c:ser>
          <c:idx val="7"/>
          <c:order val="3"/>
          <c:tx>
            <c:strRef>
              <c:f>Sheet1!$A$5</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Sheet1!$B$5:$F$5</c:f>
              <c:numCache>
                <c:formatCode>General</c:formatCode>
                <c:ptCount val="5"/>
                <c:pt idx="0">
                  <c:v>0</c:v>
                </c:pt>
                <c:pt idx="1">
                  <c:v>12.83</c:v>
                </c:pt>
                <c:pt idx="2">
                  <c:v>0</c:v>
                </c:pt>
                <c:pt idx="3">
                  <c:v>0</c:v>
                </c:pt>
                <c:pt idx="4">
                  <c:v>12.31</c:v>
                </c:pt>
              </c:numCache>
            </c:numRef>
          </c:val>
        </c:ser>
        <c:ser>
          <c:idx val="8"/>
          <c:order val="4"/>
          <c:tx>
            <c:strRef>
              <c:f>Sheet1!$A$6</c:f>
              <c:strCache>
                <c:ptCount val="1"/>
                <c:pt idx="0">
                  <c:v>Medii anuale 2016</c:v>
                </c:pt>
              </c:strCache>
            </c:strRef>
          </c:tx>
          <c:cat>
            <c:strRef>
              <c:f>Sheet1!$B$1:$F$1</c:f>
              <c:strCache>
                <c:ptCount val="5"/>
                <c:pt idx="0">
                  <c:v>BR1</c:v>
                </c:pt>
                <c:pt idx="1">
                  <c:v>BR2</c:v>
                </c:pt>
                <c:pt idx="2">
                  <c:v>BR3</c:v>
                </c:pt>
                <c:pt idx="3">
                  <c:v>BR4</c:v>
                </c:pt>
                <c:pt idx="4">
                  <c:v>BR5</c:v>
                </c:pt>
              </c:strCache>
            </c:strRef>
          </c:cat>
          <c:val>
            <c:numRef>
              <c:f>Sheet1!$B$6:$F$6</c:f>
              <c:numCache>
                <c:formatCode>General</c:formatCode>
                <c:ptCount val="5"/>
                <c:pt idx="0">
                  <c:v>20.25</c:v>
                </c:pt>
                <c:pt idx="1">
                  <c:v>20.22</c:v>
                </c:pt>
                <c:pt idx="2">
                  <c:v>17.68</c:v>
                </c:pt>
                <c:pt idx="3">
                  <c:v>12.92</c:v>
                </c:pt>
                <c:pt idx="4">
                  <c:v>12.450000000000006</c:v>
                </c:pt>
              </c:numCache>
            </c:numRef>
          </c:val>
        </c:ser>
        <c:axId val="180157056"/>
        <c:axId val="180291072"/>
      </c:barChart>
      <c:catAx>
        <c:axId val="18015705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80291072"/>
        <c:crosses val="autoZero"/>
        <c:auto val="1"/>
        <c:lblAlgn val="ctr"/>
        <c:lblOffset val="100"/>
        <c:tickLblSkip val="1"/>
        <c:tickMarkSkip val="1"/>
      </c:catAx>
      <c:valAx>
        <c:axId val="180291072"/>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ro-RO"/>
                  <a:t>micrograme/mc</a:t>
                </a:r>
              </a:p>
            </c:rich>
          </c:tx>
          <c:layout>
            <c:manualLayout>
              <c:xMode val="edge"/>
              <c:yMode val="edge"/>
              <c:x val="2.2251919444649351E-2"/>
              <c:y val="0.23004696161858687"/>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180157056"/>
        <c:crosses val="autoZero"/>
        <c:crossBetween val="between"/>
      </c:valAx>
      <c:spPr>
        <a:solidFill>
          <a:srgbClr val="FFFFCC"/>
        </a:solidFill>
        <a:ln w="12700">
          <a:solidFill>
            <a:srgbClr val="000000"/>
          </a:solidFill>
          <a:prstDash val="solid"/>
        </a:ln>
      </c:spPr>
    </c:plotArea>
    <c:legend>
      <c:legendPos val="r"/>
      <c:layout>
        <c:manualLayout>
          <c:xMode val="edge"/>
          <c:yMode val="edge"/>
          <c:x val="0.78403946058466834"/>
          <c:y val="8.3622753433847702E-2"/>
          <c:w val="0.17450230790116791"/>
          <c:h val="0.7605070442427880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o-RO"/>
  <c:chart>
    <c:view3D>
      <c:perspective val="30"/>
    </c:view3D>
    <c:plotArea>
      <c:layout/>
      <c:bar3DChart>
        <c:barDir val="col"/>
        <c:grouping val="standard"/>
        <c:ser>
          <c:idx val="0"/>
          <c:order val="0"/>
          <c:tx>
            <c:strRef>
              <c:f>Sheet1!$B$1</c:f>
              <c:strCache>
                <c:ptCount val="1"/>
                <c:pt idx="0">
                  <c:v>Cresterea anuala a fondului forestier (mc/an/ha)</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5.5</c:v>
                </c:pt>
                <c:pt idx="1">
                  <c:v>5.5</c:v>
                </c:pt>
                <c:pt idx="2">
                  <c:v>5.5</c:v>
                </c:pt>
                <c:pt idx="3">
                  <c:v>5.5</c:v>
                </c:pt>
                <c:pt idx="4">
                  <c:v>5.5</c:v>
                </c:pt>
              </c:numCache>
            </c:numRef>
          </c:val>
        </c:ser>
        <c:ser>
          <c:idx val="1"/>
          <c:order val="1"/>
          <c:tx>
            <c:strRef>
              <c:f>Sheet1!$C$1</c:f>
              <c:strCache>
                <c:ptCount val="1"/>
                <c:pt idx="0">
                  <c:v>Cantitatea de masa lemnoasa recoltata anual (mc/an/ha)</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5.4</c:v>
                </c:pt>
                <c:pt idx="1">
                  <c:v>5.2</c:v>
                </c:pt>
                <c:pt idx="2">
                  <c:v>5.5</c:v>
                </c:pt>
                <c:pt idx="3">
                  <c:v>5.3</c:v>
                </c:pt>
                <c:pt idx="4">
                  <c:v>5.3</c:v>
                </c:pt>
              </c:numCache>
            </c:numRef>
          </c:val>
        </c:ser>
        <c:shape val="cone"/>
        <c:axId val="148595840"/>
        <c:axId val="148597376"/>
        <c:axId val="145654656"/>
      </c:bar3DChart>
      <c:catAx>
        <c:axId val="148595840"/>
        <c:scaling>
          <c:orientation val="minMax"/>
        </c:scaling>
        <c:axPos val="b"/>
        <c:numFmt formatCode="General" sourceLinked="1"/>
        <c:tickLblPos val="nextTo"/>
        <c:crossAx val="148597376"/>
        <c:crosses val="autoZero"/>
        <c:auto val="1"/>
        <c:lblAlgn val="ctr"/>
        <c:lblOffset val="100"/>
      </c:catAx>
      <c:valAx>
        <c:axId val="148597376"/>
        <c:scaling>
          <c:orientation val="minMax"/>
        </c:scaling>
        <c:axPos val="l"/>
        <c:majorGridlines/>
        <c:numFmt formatCode="General" sourceLinked="1"/>
        <c:tickLblPos val="nextTo"/>
        <c:crossAx val="148595840"/>
        <c:crosses val="autoZero"/>
        <c:crossBetween val="between"/>
      </c:valAx>
      <c:serAx>
        <c:axId val="145654656"/>
        <c:scaling>
          <c:orientation val="minMax"/>
        </c:scaling>
        <c:delete val="1"/>
        <c:axPos val="b"/>
        <c:tickLblPos val="none"/>
        <c:crossAx val="148597376"/>
        <c:crosses val="autoZero"/>
      </c:serAx>
    </c:plotArea>
    <c:legend>
      <c:legendPos val="r"/>
    </c:legend>
    <c:plotVisOnly val="1"/>
  </c:chart>
  <c:spPr>
    <a:solidFill>
      <a:schemeClr val="accent6">
        <a:lumMod val="40000"/>
        <a:lumOff val="60000"/>
      </a:schemeClr>
    </a:solidFill>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0"/>
              <a:t>A</a:t>
            </a:r>
            <a:r>
              <a:rPr lang="en-US" sz="1200"/>
              <a:t>rii naturale protejate</a:t>
            </a:r>
            <a:r>
              <a:rPr lang="ro-RO" sz="1200"/>
              <a:t> desemnate </a:t>
            </a:r>
            <a:endParaRPr lang="en-US" sz="1200"/>
          </a:p>
        </c:rich>
      </c:tx>
    </c:title>
    <c:plotArea>
      <c:layout/>
      <c:barChart>
        <c:barDir val="bar"/>
        <c:grouping val="clustered"/>
        <c:ser>
          <c:idx val="0"/>
          <c:order val="0"/>
          <c:tx>
            <c:strRef>
              <c:f>Sheet1!$B$1</c:f>
              <c:strCache>
                <c:ptCount val="1"/>
                <c:pt idx="0">
                  <c:v>Nr. Arii naturale protejate</c:v>
                </c:pt>
              </c:strCache>
            </c:strRef>
          </c:tx>
          <c:cat>
            <c:numRef>
              <c:f>Sheet1!$A$2:$A$7</c:f>
              <c:numCache>
                <c:formatCode>General</c:formatCode>
                <c:ptCount val="6"/>
                <c:pt idx="0">
                  <c:v>1994</c:v>
                </c:pt>
                <c:pt idx="1">
                  <c:v>2007</c:v>
                </c:pt>
                <c:pt idx="2">
                  <c:v>2011</c:v>
                </c:pt>
                <c:pt idx="3">
                  <c:v>2015</c:v>
                </c:pt>
                <c:pt idx="4">
                  <c:v>2016</c:v>
                </c:pt>
              </c:numCache>
            </c:numRef>
          </c:cat>
          <c:val>
            <c:numRef>
              <c:f>Sheet1!$B$2:$B$7</c:f>
              <c:numCache>
                <c:formatCode>General</c:formatCode>
                <c:ptCount val="6"/>
                <c:pt idx="0">
                  <c:v>5</c:v>
                </c:pt>
                <c:pt idx="1">
                  <c:v>17</c:v>
                </c:pt>
                <c:pt idx="2">
                  <c:v>24</c:v>
                </c:pt>
                <c:pt idx="3">
                  <c:v>25</c:v>
                </c:pt>
                <c:pt idx="4">
                  <c:v>26</c:v>
                </c:pt>
              </c:numCache>
            </c:numRef>
          </c:val>
        </c:ser>
        <c:axId val="148626432"/>
        <c:axId val="147489536"/>
      </c:barChart>
      <c:catAx>
        <c:axId val="148626432"/>
        <c:scaling>
          <c:orientation val="minMax"/>
        </c:scaling>
        <c:axPos val="l"/>
        <c:numFmt formatCode="General" sourceLinked="1"/>
        <c:tickLblPos val="nextTo"/>
        <c:crossAx val="147489536"/>
        <c:crosses val="autoZero"/>
        <c:auto val="1"/>
        <c:lblAlgn val="ctr"/>
        <c:lblOffset val="100"/>
      </c:catAx>
      <c:valAx>
        <c:axId val="147489536"/>
        <c:scaling>
          <c:orientation val="minMax"/>
        </c:scaling>
        <c:axPos val="b"/>
        <c:majorGridlines/>
        <c:numFmt formatCode="General" sourceLinked="1"/>
        <c:tickLblPos val="nextTo"/>
        <c:crossAx val="148626432"/>
        <c:crosses val="autoZero"/>
        <c:crossBetween val="between"/>
      </c:valAx>
    </c:plotArea>
    <c:legend>
      <c:legendPos val="r"/>
    </c:legend>
    <c:plotVisOnly val="1"/>
  </c:chart>
  <c:spPr>
    <a:solidFill>
      <a:srgbClr val="FFFF00"/>
    </a:solidFill>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o-RO"/>
  <c:style val="5"/>
  <c:chart>
    <c:title>
      <c:tx>
        <c:rich>
          <a:bodyPr/>
          <a:lstStyle/>
          <a:p>
            <a:pPr>
              <a:defRPr/>
            </a:pPr>
            <a:r>
              <a:rPr lang="ro-RO" sz="1200"/>
              <a:t>Evoluția suprafeței totale arii protejate(ha)</a:t>
            </a:r>
          </a:p>
        </c:rich>
      </c:tx>
    </c:title>
    <c:plotArea>
      <c:layout/>
      <c:barChart>
        <c:barDir val="bar"/>
        <c:grouping val="clustered"/>
        <c:ser>
          <c:idx val="0"/>
          <c:order val="0"/>
          <c:tx>
            <c:strRef>
              <c:f>Sheet1!$B$1</c:f>
              <c:strCache>
                <c:ptCount val="1"/>
                <c:pt idx="0">
                  <c:v>Suprafata totala arii protejate(ha)</c:v>
                </c:pt>
              </c:strCache>
            </c:strRef>
          </c:tx>
          <c:cat>
            <c:numRef>
              <c:f>Sheet1!$A$2:$A$5</c:f>
              <c:numCache>
                <c:formatCode>General</c:formatCode>
                <c:ptCount val="4"/>
                <c:pt idx="0">
                  <c:v>1994</c:v>
                </c:pt>
                <c:pt idx="1">
                  <c:v>2011</c:v>
                </c:pt>
              </c:numCache>
            </c:numRef>
          </c:cat>
          <c:val>
            <c:numRef>
              <c:f>Sheet1!$B$2:$B$5</c:f>
              <c:numCache>
                <c:formatCode>General</c:formatCode>
                <c:ptCount val="4"/>
                <c:pt idx="0">
                  <c:v>17511</c:v>
                </c:pt>
                <c:pt idx="1">
                  <c:v>60000</c:v>
                </c:pt>
              </c:numCache>
            </c:numRef>
          </c:val>
        </c:ser>
        <c:axId val="148545920"/>
        <c:axId val="148547456"/>
      </c:barChart>
      <c:catAx>
        <c:axId val="148545920"/>
        <c:scaling>
          <c:orientation val="minMax"/>
        </c:scaling>
        <c:axPos val="l"/>
        <c:numFmt formatCode="General" sourceLinked="1"/>
        <c:tickLblPos val="nextTo"/>
        <c:crossAx val="148547456"/>
        <c:crosses val="autoZero"/>
        <c:auto val="1"/>
        <c:lblAlgn val="ctr"/>
        <c:lblOffset val="100"/>
      </c:catAx>
      <c:valAx>
        <c:axId val="148547456"/>
        <c:scaling>
          <c:orientation val="minMax"/>
        </c:scaling>
        <c:axPos val="b"/>
        <c:majorGridlines/>
        <c:numFmt formatCode="General" sourceLinked="1"/>
        <c:tickLblPos val="nextTo"/>
        <c:crossAx val="148545920"/>
        <c:crosses val="autoZero"/>
        <c:crossBetween val="between"/>
      </c:valAx>
    </c:plotArea>
    <c:plotVisOnly val="1"/>
  </c:chart>
  <c:spPr>
    <a:solidFill>
      <a:srgbClr val="FFFF00"/>
    </a:solidFill>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o-RO"/>
  <c:style val="40"/>
  <c:chart>
    <c:autoTitleDeleted val="1"/>
    <c:plotArea>
      <c:layout/>
      <c:lineChart>
        <c:grouping val="standard"/>
        <c:ser>
          <c:idx val="0"/>
          <c:order val="0"/>
          <c:tx>
            <c:strRef>
              <c:f>Sheet1!$B$1</c:f>
              <c:strCache>
                <c:ptCount val="1"/>
                <c:pt idx="0">
                  <c:v>Fond forestier(ha)</c:v>
                </c:pt>
              </c:strCache>
            </c:strRef>
          </c:tx>
          <c:marker>
            <c:symbol val="none"/>
          </c:marker>
          <c:cat>
            <c:strRef>
              <c:f>Sheet1!$A$2:$A$6</c:f>
              <c:strCache>
                <c:ptCount val="5"/>
                <c:pt idx="0">
                  <c:v>Anul 2011</c:v>
                </c:pt>
                <c:pt idx="1">
                  <c:v>Anul 2012</c:v>
                </c:pt>
                <c:pt idx="2">
                  <c:v>Anul 2013</c:v>
                </c:pt>
                <c:pt idx="3">
                  <c:v>Anul 2014</c:v>
                </c:pt>
                <c:pt idx="4">
                  <c:v>Anul 2015</c:v>
                </c:pt>
              </c:strCache>
            </c:strRef>
          </c:cat>
          <c:val>
            <c:numRef>
              <c:f>Sheet1!$B$2:$B$6</c:f>
              <c:numCache>
                <c:formatCode>General</c:formatCode>
                <c:ptCount val="5"/>
                <c:pt idx="0">
                  <c:v>27267</c:v>
                </c:pt>
                <c:pt idx="1">
                  <c:v>27787</c:v>
                </c:pt>
                <c:pt idx="2">
                  <c:v>27835</c:v>
                </c:pt>
                <c:pt idx="3">
                  <c:v>27414</c:v>
                </c:pt>
                <c:pt idx="4">
                  <c:v>28026</c:v>
                </c:pt>
              </c:numCache>
            </c:numRef>
          </c:val>
        </c:ser>
        <c:marker val="1"/>
        <c:axId val="148993152"/>
        <c:axId val="148994688"/>
      </c:lineChart>
      <c:catAx>
        <c:axId val="148993152"/>
        <c:scaling>
          <c:orientation val="minMax"/>
        </c:scaling>
        <c:axPos val="b"/>
        <c:tickLblPos val="nextTo"/>
        <c:crossAx val="148994688"/>
        <c:crosses val="autoZero"/>
        <c:auto val="1"/>
        <c:lblAlgn val="ctr"/>
        <c:lblOffset val="100"/>
      </c:catAx>
      <c:valAx>
        <c:axId val="148994688"/>
        <c:scaling>
          <c:orientation val="minMax"/>
        </c:scaling>
        <c:axPos val="l"/>
        <c:majorGridlines/>
        <c:numFmt formatCode="General" sourceLinked="1"/>
        <c:tickLblPos val="nextTo"/>
        <c:crossAx val="148993152"/>
        <c:crosses val="autoZero"/>
        <c:crossBetween val="between"/>
      </c:valAx>
    </c:plotArea>
    <c:legend>
      <c:legendPos val="r"/>
    </c:legend>
    <c:plotVisOnly val="1"/>
  </c:chart>
  <c:spPr>
    <a:solidFill>
      <a:schemeClr val="accent6">
        <a:lumMod val="60000"/>
        <a:lumOff val="40000"/>
      </a:schemeClr>
    </a:solidFill>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o-RO"/>
  <c:style val="40"/>
  <c:chart>
    <c:plotArea>
      <c:layout>
        <c:manualLayout>
          <c:layoutTarget val="inner"/>
          <c:xMode val="edge"/>
          <c:yMode val="edge"/>
          <c:x val="0.13569437522841288"/>
          <c:y val="0.16999907531883721"/>
          <c:w val="0.67102401088753905"/>
          <c:h val="0.64508116421753015"/>
        </c:manualLayout>
      </c:layout>
      <c:barChart>
        <c:barDir val="col"/>
        <c:grouping val="clustered"/>
        <c:ser>
          <c:idx val="0"/>
          <c:order val="0"/>
          <c:tx>
            <c:strRef>
              <c:f>Sheet1!$B$1</c:f>
              <c:strCache>
                <c:ptCount val="1"/>
                <c:pt idx="0">
                  <c:v>Anul 2012</c:v>
                </c:pt>
              </c:strCache>
            </c:strRef>
          </c:tx>
          <c:cat>
            <c:strRef>
              <c:f>Sheet1!$A$2</c:f>
              <c:strCache>
                <c:ptCount val="1"/>
                <c:pt idx="0">
                  <c:v>Fond forestier/populatie (ha/loc)</c:v>
                </c:pt>
              </c:strCache>
            </c:strRef>
          </c:cat>
          <c:val>
            <c:numRef>
              <c:f>Sheet1!$B$2</c:f>
              <c:numCache>
                <c:formatCode>General</c:formatCode>
                <c:ptCount val="1"/>
                <c:pt idx="0">
                  <c:v>7.3999999999999996E-2</c:v>
                </c:pt>
              </c:numCache>
            </c:numRef>
          </c:val>
        </c:ser>
        <c:ser>
          <c:idx val="1"/>
          <c:order val="1"/>
          <c:tx>
            <c:strRef>
              <c:f>Sheet1!$C$1</c:f>
              <c:strCache>
                <c:ptCount val="1"/>
                <c:pt idx="0">
                  <c:v>Anul 2013</c:v>
                </c:pt>
              </c:strCache>
            </c:strRef>
          </c:tx>
          <c:cat>
            <c:strRef>
              <c:f>Sheet1!$A$2</c:f>
              <c:strCache>
                <c:ptCount val="1"/>
                <c:pt idx="0">
                  <c:v>Fond forestier/populatie (ha/loc)</c:v>
                </c:pt>
              </c:strCache>
            </c:strRef>
          </c:cat>
          <c:val>
            <c:numRef>
              <c:f>Sheet1!$C$2</c:f>
              <c:numCache>
                <c:formatCode>0.000</c:formatCode>
                <c:ptCount val="1"/>
                <c:pt idx="0">
                  <c:v>7.3999999999999996E-2</c:v>
                </c:pt>
              </c:numCache>
            </c:numRef>
          </c:val>
        </c:ser>
        <c:ser>
          <c:idx val="2"/>
          <c:order val="2"/>
          <c:tx>
            <c:strRef>
              <c:f>Sheet1!$D$1</c:f>
              <c:strCache>
                <c:ptCount val="1"/>
                <c:pt idx="0">
                  <c:v>Anul 2014</c:v>
                </c:pt>
              </c:strCache>
            </c:strRef>
          </c:tx>
          <c:cat>
            <c:strRef>
              <c:f>Sheet1!$A$2</c:f>
              <c:strCache>
                <c:ptCount val="1"/>
                <c:pt idx="0">
                  <c:v>Fond forestier/populatie (ha/loc)</c:v>
                </c:pt>
              </c:strCache>
            </c:strRef>
          </c:cat>
          <c:val>
            <c:numRef>
              <c:f>Sheet1!$D$2</c:f>
              <c:numCache>
                <c:formatCode>0.000</c:formatCode>
                <c:ptCount val="1"/>
                <c:pt idx="0">
                  <c:v>7.3000000000000009E-2</c:v>
                </c:pt>
              </c:numCache>
            </c:numRef>
          </c:val>
        </c:ser>
        <c:ser>
          <c:idx val="3"/>
          <c:order val="3"/>
          <c:tx>
            <c:strRef>
              <c:f>Sheet1!$E$1</c:f>
              <c:strCache>
                <c:ptCount val="1"/>
                <c:pt idx="0">
                  <c:v>Anul 2015</c:v>
                </c:pt>
              </c:strCache>
            </c:strRef>
          </c:tx>
          <c:cat>
            <c:strRef>
              <c:f>Sheet1!$A$2</c:f>
              <c:strCache>
                <c:ptCount val="1"/>
                <c:pt idx="0">
                  <c:v>Fond forestier/populatie (ha/loc)</c:v>
                </c:pt>
              </c:strCache>
            </c:strRef>
          </c:cat>
          <c:val>
            <c:numRef>
              <c:f>Sheet1!$E$2</c:f>
              <c:numCache>
                <c:formatCode>General</c:formatCode>
                <c:ptCount val="1"/>
                <c:pt idx="0">
                  <c:v>7.5000000000000011E-2</c:v>
                </c:pt>
              </c:numCache>
            </c:numRef>
          </c:val>
        </c:ser>
        <c:ser>
          <c:idx val="4"/>
          <c:order val="4"/>
          <c:tx>
            <c:strRef>
              <c:f>Sheet1!$F$1</c:f>
              <c:strCache>
                <c:ptCount val="1"/>
                <c:pt idx="0">
                  <c:v>Anul 2016</c:v>
                </c:pt>
              </c:strCache>
            </c:strRef>
          </c:tx>
          <c:cat>
            <c:strRef>
              <c:f>Sheet1!$A$2</c:f>
              <c:strCache>
                <c:ptCount val="1"/>
                <c:pt idx="0">
                  <c:v>Fond forestier/populatie (ha/loc)</c:v>
                </c:pt>
              </c:strCache>
            </c:strRef>
          </c:cat>
          <c:val>
            <c:numRef>
              <c:f>Sheet1!$F$2</c:f>
              <c:numCache>
                <c:formatCode>General</c:formatCode>
                <c:ptCount val="1"/>
                <c:pt idx="0">
                  <c:v>7.5999999999999998E-2</c:v>
                </c:pt>
              </c:numCache>
            </c:numRef>
          </c:val>
        </c:ser>
        <c:axId val="148903040"/>
        <c:axId val="148904576"/>
      </c:barChart>
      <c:catAx>
        <c:axId val="148903040"/>
        <c:scaling>
          <c:orientation val="minMax"/>
        </c:scaling>
        <c:axPos val="b"/>
        <c:tickLblPos val="nextTo"/>
        <c:crossAx val="148904576"/>
        <c:crosses val="autoZero"/>
        <c:auto val="1"/>
        <c:lblAlgn val="ctr"/>
        <c:lblOffset val="100"/>
      </c:catAx>
      <c:valAx>
        <c:axId val="148904576"/>
        <c:scaling>
          <c:orientation val="minMax"/>
        </c:scaling>
        <c:axPos val="l"/>
        <c:majorGridlines/>
        <c:numFmt formatCode="General" sourceLinked="1"/>
        <c:tickLblPos val="nextTo"/>
        <c:crossAx val="148903040"/>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Cresteri</c:v>
                </c:pt>
              </c:strCache>
            </c:strRef>
          </c:tx>
          <c:cat>
            <c:strRef>
              <c:f>Sheet1!$A$2:$A$6</c:f>
              <c:strCache>
                <c:ptCount val="5"/>
                <c:pt idx="0">
                  <c:v>Anul 2012</c:v>
                </c:pt>
                <c:pt idx="1">
                  <c:v>Anul 2013</c:v>
                </c:pt>
                <c:pt idx="2">
                  <c:v>Anul 2014</c:v>
                </c:pt>
                <c:pt idx="3">
                  <c:v>Anul 2015</c:v>
                </c:pt>
                <c:pt idx="4">
                  <c:v>Anul 2016</c:v>
                </c:pt>
              </c:strCache>
            </c:strRef>
          </c:cat>
          <c:val>
            <c:numRef>
              <c:f>Sheet1!$B$2:$B$6</c:f>
              <c:numCache>
                <c:formatCode>General</c:formatCode>
                <c:ptCount val="5"/>
                <c:pt idx="0">
                  <c:v>5.5</c:v>
                </c:pt>
                <c:pt idx="1">
                  <c:v>5.5</c:v>
                </c:pt>
                <c:pt idx="2">
                  <c:v>5.5</c:v>
                </c:pt>
                <c:pt idx="3">
                  <c:v>5.5</c:v>
                </c:pt>
                <c:pt idx="4">
                  <c:v>5.5</c:v>
                </c:pt>
              </c:numCache>
            </c:numRef>
          </c:val>
        </c:ser>
        <c:ser>
          <c:idx val="1"/>
          <c:order val="1"/>
          <c:tx>
            <c:strRef>
              <c:f>Sheet1!$C$1</c:f>
              <c:strCache>
                <c:ptCount val="1"/>
                <c:pt idx="0">
                  <c:v>Taieri</c:v>
                </c:pt>
              </c:strCache>
            </c:strRef>
          </c:tx>
          <c:cat>
            <c:strRef>
              <c:f>Sheet1!$A$2:$A$6</c:f>
              <c:strCache>
                <c:ptCount val="5"/>
                <c:pt idx="0">
                  <c:v>Anul 2012</c:v>
                </c:pt>
                <c:pt idx="1">
                  <c:v>Anul 2013</c:v>
                </c:pt>
                <c:pt idx="2">
                  <c:v>Anul 2014</c:v>
                </c:pt>
                <c:pt idx="3">
                  <c:v>Anul 2015</c:v>
                </c:pt>
                <c:pt idx="4">
                  <c:v>Anul 2016</c:v>
                </c:pt>
              </c:strCache>
            </c:strRef>
          </c:cat>
          <c:val>
            <c:numRef>
              <c:f>Sheet1!$C$2:$C$6</c:f>
              <c:numCache>
                <c:formatCode>General</c:formatCode>
                <c:ptCount val="5"/>
                <c:pt idx="0">
                  <c:v>5.4</c:v>
                </c:pt>
                <c:pt idx="1">
                  <c:v>5.2</c:v>
                </c:pt>
                <c:pt idx="2">
                  <c:v>5.5</c:v>
                </c:pt>
                <c:pt idx="3">
                  <c:v>5.3</c:v>
                </c:pt>
                <c:pt idx="4">
                  <c:v>5.3</c:v>
                </c:pt>
              </c:numCache>
            </c:numRef>
          </c:val>
        </c:ser>
        <c:axId val="148974208"/>
        <c:axId val="151085440"/>
      </c:barChart>
      <c:catAx>
        <c:axId val="148974208"/>
        <c:scaling>
          <c:orientation val="minMax"/>
        </c:scaling>
        <c:axPos val="b"/>
        <c:tickLblPos val="nextTo"/>
        <c:crossAx val="151085440"/>
        <c:crosses val="autoZero"/>
        <c:auto val="1"/>
        <c:lblAlgn val="ctr"/>
        <c:lblOffset val="100"/>
      </c:catAx>
      <c:valAx>
        <c:axId val="151085440"/>
        <c:scaling>
          <c:orientation val="minMax"/>
        </c:scaling>
        <c:axPos val="l"/>
        <c:majorGridlines/>
        <c:numFmt formatCode="General" sourceLinked="1"/>
        <c:tickLblPos val="nextTo"/>
        <c:crossAx val="148974208"/>
        <c:crosses val="autoZero"/>
        <c:crossBetween val="between"/>
      </c:valAx>
    </c:plotArea>
    <c:legend>
      <c:legendPos val="r"/>
    </c:legend>
    <c:plotVisOnly val="1"/>
  </c:chart>
  <c:spPr>
    <a:solidFill>
      <a:schemeClr val="bg2">
        <a:lumMod val="90000"/>
      </a:schemeClr>
    </a:solidFill>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Plop</c:v>
                </c:pt>
              </c:strCache>
            </c:strRef>
          </c:tx>
          <c:cat>
            <c:strRef>
              <c:f>Sheet1!$A$2:$A$5</c:f>
              <c:strCache>
                <c:ptCount val="4"/>
                <c:pt idx="0">
                  <c:v>Principale</c:v>
                </c:pt>
                <c:pt idx="1">
                  <c:v>Secundare</c:v>
                </c:pt>
                <c:pt idx="2">
                  <c:v>Accidentale</c:v>
                </c:pt>
                <c:pt idx="3">
                  <c:v>Total</c:v>
                </c:pt>
              </c:strCache>
            </c:strRef>
          </c:cat>
          <c:val>
            <c:numRef>
              <c:f>Sheet1!$B$2:$B$5</c:f>
              <c:numCache>
                <c:formatCode>General</c:formatCode>
                <c:ptCount val="4"/>
                <c:pt idx="0">
                  <c:v>33</c:v>
                </c:pt>
                <c:pt idx="1">
                  <c:v>3.5</c:v>
                </c:pt>
                <c:pt idx="2">
                  <c:v>0</c:v>
                </c:pt>
                <c:pt idx="3">
                  <c:v>36.5</c:v>
                </c:pt>
              </c:numCache>
            </c:numRef>
          </c:val>
        </c:ser>
        <c:ser>
          <c:idx val="1"/>
          <c:order val="1"/>
          <c:tx>
            <c:strRef>
              <c:f>Sheet1!$C$1</c:f>
              <c:strCache>
                <c:ptCount val="1"/>
                <c:pt idx="0">
                  <c:v>Salcie</c:v>
                </c:pt>
              </c:strCache>
            </c:strRef>
          </c:tx>
          <c:cat>
            <c:strRef>
              <c:f>Sheet1!$A$2:$A$5</c:f>
              <c:strCache>
                <c:ptCount val="4"/>
                <c:pt idx="0">
                  <c:v>Principale</c:v>
                </c:pt>
                <c:pt idx="1">
                  <c:v>Secundare</c:v>
                </c:pt>
                <c:pt idx="2">
                  <c:v>Accidentale</c:v>
                </c:pt>
                <c:pt idx="3">
                  <c:v>Total</c:v>
                </c:pt>
              </c:strCache>
            </c:strRef>
          </c:cat>
          <c:val>
            <c:numRef>
              <c:f>Sheet1!$C$2:$C$5</c:f>
              <c:numCache>
                <c:formatCode>General</c:formatCode>
                <c:ptCount val="4"/>
                <c:pt idx="0">
                  <c:v>22.1</c:v>
                </c:pt>
                <c:pt idx="1">
                  <c:v>2</c:v>
                </c:pt>
                <c:pt idx="2">
                  <c:v>0</c:v>
                </c:pt>
                <c:pt idx="3">
                  <c:v>23.1</c:v>
                </c:pt>
              </c:numCache>
            </c:numRef>
          </c:val>
        </c:ser>
        <c:ser>
          <c:idx val="2"/>
          <c:order val="2"/>
          <c:tx>
            <c:strRef>
              <c:f>Sheet1!$D$1</c:f>
              <c:strCache>
                <c:ptCount val="1"/>
                <c:pt idx="0">
                  <c:v>Alte esente</c:v>
                </c:pt>
              </c:strCache>
            </c:strRef>
          </c:tx>
          <c:cat>
            <c:strRef>
              <c:f>Sheet1!$A$2:$A$5</c:f>
              <c:strCache>
                <c:ptCount val="4"/>
                <c:pt idx="0">
                  <c:v>Principale</c:v>
                </c:pt>
                <c:pt idx="1">
                  <c:v>Secundare</c:v>
                </c:pt>
                <c:pt idx="2">
                  <c:v>Accidentale</c:v>
                </c:pt>
                <c:pt idx="3">
                  <c:v>Total</c:v>
                </c:pt>
              </c:strCache>
            </c:strRef>
          </c:cat>
          <c:val>
            <c:numRef>
              <c:f>Sheet1!$D$2:$D$5</c:f>
              <c:numCache>
                <c:formatCode>General</c:formatCode>
                <c:ptCount val="4"/>
                <c:pt idx="0">
                  <c:v>2.5</c:v>
                </c:pt>
                <c:pt idx="1">
                  <c:v>2</c:v>
                </c:pt>
                <c:pt idx="2">
                  <c:v>0</c:v>
                </c:pt>
                <c:pt idx="3">
                  <c:v>4.5</c:v>
                </c:pt>
              </c:numCache>
            </c:numRef>
          </c:val>
        </c:ser>
        <c:axId val="151114880"/>
        <c:axId val="151116416"/>
      </c:barChart>
      <c:catAx>
        <c:axId val="151114880"/>
        <c:scaling>
          <c:orientation val="minMax"/>
        </c:scaling>
        <c:axPos val="b"/>
        <c:tickLblPos val="nextTo"/>
        <c:crossAx val="151116416"/>
        <c:crosses val="autoZero"/>
        <c:auto val="1"/>
        <c:lblAlgn val="ctr"/>
        <c:lblOffset val="100"/>
      </c:catAx>
      <c:valAx>
        <c:axId val="151116416"/>
        <c:scaling>
          <c:orientation val="minMax"/>
        </c:scaling>
        <c:axPos val="l"/>
        <c:majorGridlines/>
        <c:numFmt formatCode="General" sourceLinked="1"/>
        <c:tickLblPos val="nextTo"/>
        <c:crossAx val="151114880"/>
        <c:crosses val="autoZero"/>
        <c:crossBetween val="between"/>
      </c:valAx>
      <c:spPr>
        <a:solidFill>
          <a:schemeClr val="accent3">
            <a:lumMod val="20000"/>
            <a:lumOff val="80000"/>
          </a:schemeClr>
        </a:solidFill>
      </c:spPr>
    </c:plotArea>
    <c:legend>
      <c:legendPos val="r"/>
    </c:legend>
    <c:plotVisOnly val="1"/>
  </c:chart>
  <c:spPr>
    <a:solidFill>
      <a:srgbClr val="8064A2">
        <a:lumMod val="20000"/>
        <a:lumOff val="80000"/>
      </a:srgbClr>
    </a:solidFill>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o-RO"/>
  <c:chart>
    <c:title/>
    <c:plotArea>
      <c:layout/>
      <c:pieChart>
        <c:varyColors val="1"/>
        <c:ser>
          <c:idx val="0"/>
          <c:order val="0"/>
          <c:tx>
            <c:strRef>
              <c:f>Sheet1!$B$1</c:f>
              <c:strCache>
                <c:ptCount val="1"/>
                <c:pt idx="0">
                  <c:v>Pondere</c:v>
                </c:pt>
              </c:strCache>
            </c:strRef>
          </c:tx>
          <c:cat>
            <c:strRef>
              <c:f>Sheet1!$A$2:$A$4</c:f>
              <c:strCache>
                <c:ptCount val="3"/>
                <c:pt idx="0">
                  <c:v>Foioase</c:v>
                </c:pt>
                <c:pt idx="1">
                  <c:v>Cvercinee</c:v>
                </c:pt>
                <c:pt idx="2">
                  <c:v>Alte terenuri</c:v>
                </c:pt>
              </c:strCache>
            </c:strRef>
          </c:cat>
          <c:val>
            <c:numRef>
              <c:f>Sheet1!$B$2:$B$4</c:f>
              <c:numCache>
                <c:formatCode>General</c:formatCode>
                <c:ptCount val="3"/>
                <c:pt idx="0">
                  <c:v>98</c:v>
                </c:pt>
                <c:pt idx="1">
                  <c:v>1</c:v>
                </c:pt>
                <c:pt idx="2">
                  <c:v>1</c:v>
                </c:pt>
              </c:numCache>
            </c:numRef>
          </c:val>
        </c:ser>
        <c:firstSliceAng val="0"/>
      </c:pieChart>
    </c:plotArea>
    <c:legend>
      <c:legendPos val="r"/>
    </c:legend>
    <c:plotVisOnly val="1"/>
  </c:chart>
  <c:spPr>
    <a:solidFill>
      <a:schemeClr val="accent4">
        <a:lumMod val="20000"/>
        <a:lumOff val="80000"/>
        <a:alpha val="41000"/>
      </a:schemeClr>
    </a:solidFill>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pieChart>
        <c:varyColors val="1"/>
        <c:ser>
          <c:idx val="0"/>
          <c:order val="0"/>
          <c:tx>
            <c:strRef>
              <c:f>Sheet1!$B$1</c:f>
              <c:strCache>
                <c:ptCount val="1"/>
                <c:pt idx="0">
                  <c:v>Suprafata (ha)</c:v>
                </c:pt>
              </c:strCache>
            </c:strRef>
          </c:tx>
          <c:dLbls>
            <c:showVal val="1"/>
            <c:showLeaderLines val="1"/>
          </c:dLbls>
          <c:cat>
            <c:strRef>
              <c:f>Sheet1!$A$2:$A$6</c:f>
              <c:strCache>
                <c:ptCount val="5"/>
                <c:pt idx="0">
                  <c:v>Protectia apelor</c:v>
                </c:pt>
                <c:pt idx="1">
                  <c:v>Protectia terenurilor degradate</c:v>
                </c:pt>
                <c:pt idx="2">
                  <c:v>Recreere</c:v>
                </c:pt>
                <c:pt idx="3">
                  <c:v>Rezervatii seminte</c:v>
                </c:pt>
                <c:pt idx="4">
                  <c:v>Ocrotirii faunei</c:v>
                </c:pt>
              </c:strCache>
            </c:strRef>
          </c:cat>
          <c:val>
            <c:numRef>
              <c:f>Sheet1!$B$2:$B$6</c:f>
              <c:numCache>
                <c:formatCode>General</c:formatCode>
                <c:ptCount val="5"/>
                <c:pt idx="0">
                  <c:v>12764</c:v>
                </c:pt>
                <c:pt idx="1">
                  <c:v>364</c:v>
                </c:pt>
                <c:pt idx="2">
                  <c:v>150</c:v>
                </c:pt>
                <c:pt idx="3">
                  <c:v>320</c:v>
                </c:pt>
                <c:pt idx="4">
                  <c:v>14585</c:v>
                </c:pt>
              </c:numCache>
            </c:numRef>
          </c:val>
        </c:ser>
        <c:firstSliceAng val="0"/>
      </c:pieChart>
    </c:plotArea>
    <c:legend>
      <c:legendPos val="r"/>
      <c:layout>
        <c:manualLayout>
          <c:xMode val="edge"/>
          <c:yMode val="edge"/>
          <c:x val="0.6377563509522145"/>
          <c:y val="2.3823840201792981E-2"/>
          <c:w val="0.32046819212872735"/>
          <c:h val="0.97543988819579375"/>
        </c:manualLayout>
      </c:layout>
    </c:legend>
    <c:plotVisOnly val="1"/>
  </c:chart>
  <c:spPr>
    <a:solidFill>
      <a:schemeClr val="accent6">
        <a:lumMod val="20000"/>
        <a:lumOff val="80000"/>
      </a:schemeClr>
    </a:solidFill>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o-RO"/>
  <c:style val="40"/>
  <c:chart>
    <c:plotArea>
      <c:layout/>
      <c:areaChart>
        <c:grouping val="stacked"/>
        <c:ser>
          <c:idx val="0"/>
          <c:order val="0"/>
          <c:tx>
            <c:strRef>
              <c:f>Sheet1!$B$1</c:f>
              <c:strCache>
                <c:ptCount val="1"/>
                <c:pt idx="0">
                  <c:v>Impadurire</c:v>
                </c:pt>
              </c:strCache>
            </c:strRef>
          </c:tx>
          <c:cat>
            <c:numRef>
              <c:f>Sheet1!$A$2:$A$6</c:f>
              <c:numCache>
                <c:formatCode>General</c:formatCode>
                <c:ptCount val="5"/>
                <c:pt idx="0">
                  <c:v>2012</c:v>
                </c:pt>
                <c:pt idx="1">
                  <c:v>2013</c:v>
                </c:pt>
                <c:pt idx="2">
                  <c:v>2014</c:v>
                </c:pt>
                <c:pt idx="3">
                  <c:v>2015</c:v>
                </c:pt>
                <c:pt idx="4">
                  <c:v>2016</c:v>
                </c:pt>
              </c:numCache>
            </c:numRef>
          </c:cat>
          <c:val>
            <c:numRef>
              <c:f>Sheet1!$B$2:$B$6</c:f>
              <c:numCache>
                <c:formatCode>General</c:formatCode>
                <c:ptCount val="5"/>
                <c:pt idx="0">
                  <c:v>221</c:v>
                </c:pt>
                <c:pt idx="1">
                  <c:v>280</c:v>
                </c:pt>
                <c:pt idx="2">
                  <c:v>444</c:v>
                </c:pt>
                <c:pt idx="3">
                  <c:v>324</c:v>
                </c:pt>
                <c:pt idx="4">
                  <c:v>330</c:v>
                </c:pt>
              </c:numCache>
            </c:numRef>
          </c:val>
        </c:ser>
        <c:ser>
          <c:idx val="1"/>
          <c:order val="1"/>
          <c:tx>
            <c:strRef>
              <c:f>Sheet1!$C$1</c:f>
              <c:strCache>
                <c:ptCount val="1"/>
                <c:pt idx="0">
                  <c:v>Regenerare naturala</c:v>
                </c:pt>
              </c:strCache>
            </c:strRef>
          </c:tx>
          <c:cat>
            <c:numRef>
              <c:f>Sheet1!$A$2:$A$6</c:f>
              <c:numCache>
                <c:formatCode>General</c:formatCode>
                <c:ptCount val="5"/>
                <c:pt idx="0">
                  <c:v>2012</c:v>
                </c:pt>
                <c:pt idx="1">
                  <c:v>2013</c:v>
                </c:pt>
                <c:pt idx="2">
                  <c:v>2014</c:v>
                </c:pt>
                <c:pt idx="3">
                  <c:v>2015</c:v>
                </c:pt>
                <c:pt idx="4">
                  <c:v>2016</c:v>
                </c:pt>
              </c:numCache>
            </c:numRef>
          </c:cat>
          <c:val>
            <c:numRef>
              <c:f>Sheet1!$C$2:$C$6</c:f>
              <c:numCache>
                <c:formatCode>General</c:formatCode>
                <c:ptCount val="5"/>
                <c:pt idx="0">
                  <c:v>112</c:v>
                </c:pt>
                <c:pt idx="1">
                  <c:v>191</c:v>
                </c:pt>
                <c:pt idx="2">
                  <c:v>130</c:v>
                </c:pt>
                <c:pt idx="3">
                  <c:v>121</c:v>
                </c:pt>
                <c:pt idx="4">
                  <c:v>125</c:v>
                </c:pt>
              </c:numCache>
            </c:numRef>
          </c:val>
        </c:ser>
        <c:axId val="151009920"/>
        <c:axId val="151052672"/>
      </c:areaChart>
      <c:catAx>
        <c:axId val="151009920"/>
        <c:scaling>
          <c:orientation val="minMax"/>
        </c:scaling>
        <c:axPos val="b"/>
        <c:numFmt formatCode="General" sourceLinked="1"/>
        <c:tickLblPos val="nextTo"/>
        <c:crossAx val="151052672"/>
        <c:crosses val="autoZero"/>
        <c:auto val="1"/>
        <c:lblAlgn val="ctr"/>
        <c:lblOffset val="100"/>
      </c:catAx>
      <c:valAx>
        <c:axId val="151052672"/>
        <c:scaling>
          <c:orientation val="minMax"/>
        </c:scaling>
        <c:axPos val="l"/>
        <c:majorGridlines/>
        <c:numFmt formatCode="General" sourceLinked="1"/>
        <c:tickLblPos val="nextTo"/>
        <c:crossAx val="151009920"/>
        <c:crosses val="autoZero"/>
        <c:crossBetween val="midCat"/>
      </c:valAx>
    </c:plotArea>
    <c:legend>
      <c:legendPos val="r"/>
    </c:legend>
    <c:plotVisOnly val="1"/>
  </c:chart>
  <c:spPr>
    <a:solidFill>
      <a:schemeClr val="accent4">
        <a:lumMod val="20000"/>
        <a:lumOff val="8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2"/>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60173"/>
          <c:h val="0.60487804878049678"/>
        </c:manualLayout>
      </c:layout>
      <c:bar3DChart>
        <c:barDir val="col"/>
        <c:grouping val="clustered"/>
        <c:ser>
          <c:idx val="4"/>
          <c:order val="0"/>
          <c:tx>
            <c:strRef>
              <c:f>Sheet1!$A$2</c:f>
              <c:strCache>
                <c:ptCount val="1"/>
                <c:pt idx="0">
                  <c:v>Medii anuale 2012</c:v>
                </c:pt>
              </c:strCache>
            </c:strRef>
          </c:tx>
          <c:spPr>
            <a:solidFill>
              <a:srgbClr val="660066"/>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1">
                  <c:v>10.629999999999999</c:v>
                </c:pt>
                <c:pt idx="2">
                  <c:v>14.55</c:v>
                </c:pt>
                <c:pt idx="3">
                  <c:v>10.709999999999999</c:v>
                </c:pt>
                <c:pt idx="4">
                  <c:v>17.3</c:v>
                </c:pt>
              </c:numCache>
            </c:numRef>
          </c:val>
        </c:ser>
        <c:ser>
          <c:idx val="5"/>
          <c:order val="1"/>
          <c:tx>
            <c:strRef>
              <c:f>Sheet1!$A$3</c:f>
              <c:strCache>
                <c:ptCount val="1"/>
                <c:pt idx="0">
                  <c:v>Medii anuale 2013</c:v>
                </c:pt>
              </c:strCache>
            </c:strRef>
          </c:tx>
          <c:cat>
            <c:strRef>
              <c:f>Sheet1!$B$1:$F$1</c:f>
              <c:strCache>
                <c:ptCount val="5"/>
                <c:pt idx="0">
                  <c:v>BR1</c:v>
                </c:pt>
                <c:pt idx="1">
                  <c:v>BR2</c:v>
                </c:pt>
                <c:pt idx="2">
                  <c:v>BR3</c:v>
                </c:pt>
                <c:pt idx="3">
                  <c:v>BR4</c:v>
                </c:pt>
                <c:pt idx="4">
                  <c:v>BR5</c:v>
                </c:pt>
              </c:strCache>
            </c:strRef>
          </c:cat>
          <c:val>
            <c:numRef>
              <c:f>Sheet1!$B$3:$F$3</c:f>
              <c:numCache>
                <c:formatCode>General</c:formatCode>
                <c:ptCount val="5"/>
                <c:pt idx="3">
                  <c:v>2.06</c:v>
                </c:pt>
                <c:pt idx="4">
                  <c:v>13.97</c:v>
                </c:pt>
              </c:numCache>
            </c:numRef>
          </c:val>
        </c:ser>
        <c:ser>
          <c:idx val="6"/>
          <c:order val="2"/>
          <c:tx>
            <c:strRef>
              <c:f>Sheet1!$A$4</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Sheet1!$B$4:$F$4</c:f>
              <c:numCache>
                <c:formatCode>General</c:formatCode>
                <c:ptCount val="5"/>
              </c:numCache>
            </c:numRef>
          </c:val>
        </c:ser>
        <c:ser>
          <c:idx val="7"/>
          <c:order val="3"/>
          <c:tx>
            <c:strRef>
              <c:f>Sheet1!$A$5</c:f>
              <c:strCache>
                <c:ptCount val="1"/>
                <c:pt idx="0">
                  <c:v>Medii anuale 2015</c:v>
                </c:pt>
              </c:strCache>
            </c:strRef>
          </c:tx>
          <c:cat>
            <c:strRef>
              <c:f>Sheet1!$B$1:$F$1</c:f>
              <c:strCache>
                <c:ptCount val="5"/>
                <c:pt idx="0">
                  <c:v>BR1</c:v>
                </c:pt>
                <c:pt idx="1">
                  <c:v>BR2</c:v>
                </c:pt>
                <c:pt idx="2">
                  <c:v>BR3</c:v>
                </c:pt>
                <c:pt idx="3">
                  <c:v>BR4</c:v>
                </c:pt>
                <c:pt idx="4">
                  <c:v>BR5</c:v>
                </c:pt>
              </c:strCache>
            </c:strRef>
          </c:cat>
          <c:val>
            <c:numRef>
              <c:f>Sheet1!$B$5:$F$5</c:f>
              <c:numCache>
                <c:formatCode>General</c:formatCode>
                <c:ptCount val="5"/>
                <c:pt idx="2">
                  <c:v>8.31</c:v>
                </c:pt>
              </c:numCache>
            </c:numRef>
          </c:val>
        </c:ser>
        <c:ser>
          <c:idx val="8"/>
          <c:order val="4"/>
          <c:tx>
            <c:strRef>
              <c:f>Sheet1!$A$6</c:f>
              <c:strCache>
                <c:ptCount val="1"/>
                <c:pt idx="0">
                  <c:v>Medii anuale 2016</c:v>
                </c:pt>
              </c:strCache>
            </c:strRef>
          </c:tx>
          <c:cat>
            <c:strRef>
              <c:f>Sheet1!$B$1:$F$1</c:f>
              <c:strCache>
                <c:ptCount val="5"/>
                <c:pt idx="0">
                  <c:v>BR1</c:v>
                </c:pt>
                <c:pt idx="1">
                  <c:v>BR2</c:v>
                </c:pt>
                <c:pt idx="2">
                  <c:v>BR3</c:v>
                </c:pt>
                <c:pt idx="3">
                  <c:v>BR4</c:v>
                </c:pt>
                <c:pt idx="4">
                  <c:v>BR5</c:v>
                </c:pt>
              </c:strCache>
            </c:strRef>
          </c:cat>
          <c:val>
            <c:numRef>
              <c:f>Sheet1!$B$6:$F$6</c:f>
              <c:numCache>
                <c:formatCode>General</c:formatCode>
                <c:ptCount val="5"/>
                <c:pt idx="0">
                  <c:v>5.09</c:v>
                </c:pt>
                <c:pt idx="1">
                  <c:v>3.59</c:v>
                </c:pt>
                <c:pt idx="2">
                  <c:v>2.77</c:v>
                </c:pt>
                <c:pt idx="3">
                  <c:v>5.45</c:v>
                </c:pt>
                <c:pt idx="4">
                  <c:v>3.56</c:v>
                </c:pt>
              </c:numCache>
            </c:numRef>
          </c:val>
        </c:ser>
        <c:gapWidth val="290"/>
        <c:gapDepth val="0"/>
        <c:shape val="box"/>
        <c:axId val="181376512"/>
        <c:axId val="181378048"/>
        <c:axId val="0"/>
      </c:bar3DChart>
      <c:catAx>
        <c:axId val="18137651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81378048"/>
        <c:crosses val="autoZero"/>
        <c:auto val="1"/>
        <c:lblAlgn val="ctr"/>
        <c:lblOffset val="100"/>
        <c:tickLblSkip val="1"/>
        <c:tickMarkSkip val="1"/>
      </c:catAx>
      <c:valAx>
        <c:axId val="181378048"/>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t>micrograme/mc</a:t>
                </a:r>
              </a:p>
            </c:rich>
          </c:tx>
          <c:layout>
            <c:manualLayout>
              <c:xMode val="edge"/>
              <c:yMode val="edge"/>
              <c:x val="4.7457853347079262E-2"/>
              <c:y val="0.14634145150460978"/>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181376512"/>
        <c:crosses val="autoZero"/>
        <c:crossBetween val="between"/>
      </c:valAx>
      <c:spPr>
        <a:noFill/>
        <a:ln w="25399">
          <a:noFill/>
        </a:ln>
      </c:spPr>
    </c:plotArea>
    <c:legend>
      <c:legendPos val="r"/>
      <c:layout>
        <c:manualLayout>
          <c:xMode val="edge"/>
          <c:yMode val="edge"/>
          <c:x val="0.7686342243272748"/>
          <c:y val="8.7880363791735347E-2"/>
          <c:w val="0.19205187586845765"/>
          <c:h val="0.788804980772749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Tăieri de regenerare în crâng</c:v>
                </c:pt>
              </c:strCache>
            </c:strRef>
          </c:tx>
          <c:cat>
            <c:strRef>
              <c:f>Sheet1!$A$2:$A$6</c:f>
              <c:strCache>
                <c:ptCount val="5"/>
                <c:pt idx="0">
                  <c:v>Anul 2012</c:v>
                </c:pt>
                <c:pt idx="1">
                  <c:v>Anul 2013</c:v>
                </c:pt>
                <c:pt idx="2">
                  <c:v>Anul 2014</c:v>
                </c:pt>
                <c:pt idx="3">
                  <c:v>Anul 2015</c:v>
                </c:pt>
                <c:pt idx="4">
                  <c:v>Anul 2016</c:v>
                </c:pt>
              </c:strCache>
            </c:strRef>
          </c:cat>
          <c:val>
            <c:numRef>
              <c:f>Sheet1!$B$2:$B$6</c:f>
              <c:numCache>
                <c:formatCode>General</c:formatCode>
                <c:ptCount val="5"/>
                <c:pt idx="0">
                  <c:v>57.8</c:v>
                </c:pt>
                <c:pt idx="1">
                  <c:v>70.7</c:v>
                </c:pt>
                <c:pt idx="2">
                  <c:v>64.8</c:v>
                </c:pt>
                <c:pt idx="3">
                  <c:v>46.7</c:v>
                </c:pt>
                <c:pt idx="4">
                  <c:v>48</c:v>
                </c:pt>
              </c:numCache>
            </c:numRef>
          </c:val>
        </c:ser>
        <c:ser>
          <c:idx val="1"/>
          <c:order val="1"/>
          <c:tx>
            <c:strRef>
              <c:f>Sheet1!$C$1</c:f>
              <c:strCache>
                <c:ptCount val="1"/>
                <c:pt idx="0">
                  <c:v>Tăieri de substituiri-refacere </c:v>
                </c:pt>
              </c:strCache>
            </c:strRef>
          </c:tx>
          <c:cat>
            <c:strRef>
              <c:f>Sheet1!$A$2:$A$6</c:f>
              <c:strCache>
                <c:ptCount val="5"/>
                <c:pt idx="0">
                  <c:v>Anul 2012</c:v>
                </c:pt>
                <c:pt idx="1">
                  <c:v>Anul 2013</c:v>
                </c:pt>
                <c:pt idx="2">
                  <c:v>Anul 2014</c:v>
                </c:pt>
                <c:pt idx="3">
                  <c:v>Anul 2015</c:v>
                </c:pt>
                <c:pt idx="4">
                  <c:v>Anul 2016</c:v>
                </c:pt>
              </c:strCache>
            </c:strRef>
          </c:cat>
          <c:val>
            <c:numRef>
              <c:f>Sheet1!$C$2:$C$6</c:f>
              <c:numCache>
                <c:formatCode>General</c:formatCode>
                <c:ptCount val="5"/>
                <c:pt idx="0">
                  <c:v>57.8</c:v>
                </c:pt>
                <c:pt idx="1">
                  <c:v>70.7</c:v>
                </c:pt>
                <c:pt idx="2">
                  <c:v>64.8</c:v>
                </c:pt>
                <c:pt idx="3">
                  <c:v>46.7</c:v>
                </c:pt>
                <c:pt idx="4">
                  <c:v>48</c:v>
                </c:pt>
              </c:numCache>
            </c:numRef>
          </c:val>
        </c:ser>
        <c:axId val="158540160"/>
        <c:axId val="158541696"/>
      </c:barChart>
      <c:catAx>
        <c:axId val="158540160"/>
        <c:scaling>
          <c:orientation val="minMax"/>
        </c:scaling>
        <c:axPos val="b"/>
        <c:tickLblPos val="nextTo"/>
        <c:crossAx val="158541696"/>
        <c:crosses val="autoZero"/>
        <c:auto val="1"/>
        <c:lblAlgn val="ctr"/>
        <c:lblOffset val="100"/>
      </c:catAx>
      <c:valAx>
        <c:axId val="158541696"/>
        <c:scaling>
          <c:orientation val="minMax"/>
        </c:scaling>
        <c:axPos val="l"/>
        <c:majorGridlines/>
        <c:numFmt formatCode="General" sourceLinked="1"/>
        <c:tickLblPos val="nextTo"/>
        <c:crossAx val="158540160"/>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o-RO"/>
  <c:style val="40"/>
  <c:chart>
    <c:autoTitleDeleted val="1"/>
    <c:plotArea>
      <c:layout/>
      <c:lineChart>
        <c:grouping val="standard"/>
        <c:ser>
          <c:idx val="0"/>
          <c:order val="0"/>
          <c:tx>
            <c:strRef>
              <c:f>Sheet1!$B$1</c:f>
              <c:strCache>
                <c:ptCount val="1"/>
                <c:pt idx="0">
                  <c:v>Suprafata afectata de incendii</c:v>
                </c:pt>
              </c:strCache>
            </c:strRef>
          </c:tx>
          <c:marker>
            <c:symbol val="none"/>
          </c:marker>
          <c:cat>
            <c:strRef>
              <c:f>Sheet1!$A$2:$A$6</c:f>
              <c:strCache>
                <c:ptCount val="5"/>
                <c:pt idx="0">
                  <c:v>Anul 2012</c:v>
                </c:pt>
                <c:pt idx="1">
                  <c:v>Anul 2013</c:v>
                </c:pt>
                <c:pt idx="2">
                  <c:v>Anul 2014</c:v>
                </c:pt>
                <c:pt idx="3">
                  <c:v>Anul 2015</c:v>
                </c:pt>
                <c:pt idx="4">
                  <c:v>Anul 2016</c:v>
                </c:pt>
              </c:strCache>
            </c:strRef>
          </c:cat>
          <c:val>
            <c:numRef>
              <c:f>Sheet1!$B$2:$B$6</c:f>
              <c:numCache>
                <c:formatCode>0.0</c:formatCode>
                <c:ptCount val="5"/>
                <c:pt idx="0">
                  <c:v>2.2999999999999998</c:v>
                </c:pt>
                <c:pt idx="1">
                  <c:v>1.6</c:v>
                </c:pt>
                <c:pt idx="2">
                  <c:v>2.2000000000000002</c:v>
                </c:pt>
                <c:pt idx="3">
                  <c:v>0.2</c:v>
                </c:pt>
                <c:pt idx="4">
                  <c:v>0</c:v>
                </c:pt>
              </c:numCache>
            </c:numRef>
          </c:val>
        </c:ser>
        <c:marker val="1"/>
        <c:axId val="158631040"/>
        <c:axId val="158632576"/>
      </c:lineChart>
      <c:catAx>
        <c:axId val="158631040"/>
        <c:scaling>
          <c:orientation val="minMax"/>
        </c:scaling>
        <c:axPos val="b"/>
        <c:tickLblPos val="nextTo"/>
        <c:crossAx val="158632576"/>
        <c:crosses val="autoZero"/>
        <c:auto val="1"/>
        <c:lblAlgn val="ctr"/>
        <c:lblOffset val="100"/>
      </c:catAx>
      <c:valAx>
        <c:axId val="158632576"/>
        <c:scaling>
          <c:orientation val="minMax"/>
        </c:scaling>
        <c:axPos val="l"/>
        <c:majorGridlines/>
        <c:numFmt formatCode="0.0" sourceLinked="1"/>
        <c:tickLblPos val="nextTo"/>
        <c:crossAx val="158631040"/>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7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344827586206895"/>
          <c:y val="3.1141868512110957E-2"/>
          <c:w val="0.54679802955665024"/>
          <c:h val="0.84429065743945153"/>
        </c:manualLayout>
      </c:layout>
      <c:bar3DChart>
        <c:barDir val="col"/>
        <c:grouping val="percentStacked"/>
        <c:ser>
          <c:idx val="0"/>
          <c:order val="0"/>
          <c:tx>
            <c:strRef>
              <c:f>Sheet1!$A$2</c:f>
              <c:strCache>
                <c:ptCount val="1"/>
                <c:pt idx="0">
                  <c:v>deseuri din constructii si demolari</c:v>
                </c:pt>
              </c:strCache>
            </c:strRef>
          </c:tx>
          <c:spPr>
            <a:solidFill>
              <a:srgbClr val="9999FF"/>
            </a:solidFill>
            <a:ln w="12726">
              <a:solidFill>
                <a:srgbClr val="000000"/>
              </a:solidFill>
              <a:prstDash val="solid"/>
            </a:ln>
          </c:spPr>
          <c:dLbls>
            <c:spPr>
              <a:noFill/>
              <a:ln w="25451">
                <a:noFill/>
              </a:ln>
            </c:spPr>
            <c:txPr>
              <a:bodyPr/>
              <a:lstStyle/>
              <a:p>
                <a:pPr>
                  <a:defRPr sz="1002"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10.8</c:v>
                </c:pt>
                <c:pt idx="1">
                  <c:v>10</c:v>
                </c:pt>
                <c:pt idx="2">
                  <c:v>4.9000000000000004</c:v>
                </c:pt>
                <c:pt idx="3">
                  <c:v>4.4000000000000004</c:v>
                </c:pt>
                <c:pt idx="4">
                  <c:v>30.5</c:v>
                </c:pt>
                <c:pt idx="5">
                  <c:v>28.7</c:v>
                </c:pt>
              </c:numCache>
            </c:numRef>
          </c:val>
        </c:ser>
        <c:ser>
          <c:idx val="1"/>
          <c:order val="1"/>
          <c:tx>
            <c:strRef>
              <c:f>Sheet1!$A$3</c:f>
              <c:strCache>
                <c:ptCount val="1"/>
                <c:pt idx="0">
                  <c:v>deseuri din servicii municipale</c:v>
                </c:pt>
              </c:strCache>
            </c:strRef>
          </c:tx>
          <c:spPr>
            <a:solidFill>
              <a:srgbClr val="FF8080"/>
            </a:solidFill>
            <a:ln w="12726">
              <a:solidFill>
                <a:srgbClr val="000000"/>
              </a:solidFill>
              <a:prstDash val="solid"/>
            </a:ln>
          </c:spPr>
          <c:dLbls>
            <c:spPr>
              <a:noFill/>
              <a:ln w="25451">
                <a:noFill/>
              </a:ln>
            </c:spPr>
            <c:txPr>
              <a:bodyPr/>
              <a:lstStyle/>
              <a:p>
                <a:pPr>
                  <a:defRPr sz="1002"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14.2</c:v>
                </c:pt>
                <c:pt idx="1">
                  <c:v>14.1</c:v>
                </c:pt>
                <c:pt idx="2">
                  <c:v>16.7</c:v>
                </c:pt>
                <c:pt idx="3">
                  <c:v>18.8</c:v>
                </c:pt>
                <c:pt idx="4">
                  <c:v>18.600000000000001</c:v>
                </c:pt>
                <c:pt idx="5">
                  <c:v>19.600000000000001</c:v>
                </c:pt>
              </c:numCache>
            </c:numRef>
          </c:val>
        </c:ser>
        <c:ser>
          <c:idx val="2"/>
          <c:order val="2"/>
          <c:tx>
            <c:strRef>
              <c:f>Sheet1!$A$4</c:f>
              <c:strCache>
                <c:ptCount val="1"/>
                <c:pt idx="0">
                  <c:v>deseuri menajere si asimilabile</c:v>
                </c:pt>
              </c:strCache>
            </c:strRef>
          </c:tx>
          <c:spPr>
            <a:solidFill>
              <a:srgbClr val="FFFFCC"/>
            </a:solidFill>
            <a:ln w="12726">
              <a:solidFill>
                <a:srgbClr val="000000"/>
              </a:solidFill>
              <a:prstDash val="solid"/>
            </a:ln>
          </c:spPr>
          <c:dLbls>
            <c:spPr>
              <a:noFill/>
              <a:ln w="25451">
                <a:noFill/>
              </a:ln>
            </c:spPr>
            <c:txPr>
              <a:bodyPr/>
              <a:lstStyle/>
              <a:p>
                <a:pPr>
                  <a:defRPr sz="1002"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Sheet1!$B$4:$G$4</c:f>
              <c:numCache>
                <c:formatCode>General</c:formatCode>
                <c:ptCount val="6"/>
                <c:pt idx="0">
                  <c:v>59.5</c:v>
                </c:pt>
                <c:pt idx="1">
                  <c:v>50.7</c:v>
                </c:pt>
                <c:pt idx="2">
                  <c:v>49.3</c:v>
                </c:pt>
                <c:pt idx="3">
                  <c:v>53.8</c:v>
                </c:pt>
                <c:pt idx="4">
                  <c:v>46.9</c:v>
                </c:pt>
                <c:pt idx="5">
                  <c:v>52.9</c:v>
                </c:pt>
              </c:numCache>
            </c:numRef>
          </c:val>
        </c:ser>
        <c:ser>
          <c:idx val="3"/>
          <c:order val="3"/>
          <c:tx>
            <c:strRef>
              <c:f>Sheet1!$A$5</c:f>
              <c:strCache>
                <c:ptCount val="1"/>
                <c:pt idx="0">
                  <c:v>deseuri municipale generate si necolectate</c:v>
                </c:pt>
              </c:strCache>
            </c:strRef>
          </c:tx>
          <c:spPr>
            <a:solidFill>
              <a:srgbClr val="CCFFFF"/>
            </a:solidFill>
            <a:ln w="12726">
              <a:solidFill>
                <a:srgbClr val="000000"/>
              </a:solidFill>
              <a:prstDash val="solid"/>
            </a:ln>
          </c:spPr>
          <c:dLbls>
            <c:spPr>
              <a:noFill/>
              <a:ln w="25451">
                <a:noFill/>
              </a:ln>
            </c:spPr>
            <c:txPr>
              <a:bodyPr/>
              <a:lstStyle/>
              <a:p>
                <a:pPr>
                  <a:defRPr sz="1002"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Sheet1!$B$5:$G$5</c:f>
              <c:numCache>
                <c:formatCode>General</c:formatCode>
                <c:ptCount val="6"/>
                <c:pt idx="0">
                  <c:v>84.6</c:v>
                </c:pt>
                <c:pt idx="1">
                  <c:v>74.8</c:v>
                </c:pt>
                <c:pt idx="2">
                  <c:v>70.900000000000006</c:v>
                </c:pt>
                <c:pt idx="3">
                  <c:v>77</c:v>
                </c:pt>
                <c:pt idx="4">
                  <c:v>96</c:v>
                </c:pt>
                <c:pt idx="5">
                  <c:v>101</c:v>
                </c:pt>
              </c:numCache>
            </c:numRef>
          </c:val>
        </c:ser>
        <c:dLbls>
          <c:showVal val="1"/>
        </c:dLbls>
        <c:gapDepth val="0"/>
        <c:shape val="box"/>
        <c:axId val="164158848"/>
        <c:axId val="164205696"/>
        <c:axId val="0"/>
      </c:bar3DChart>
      <c:catAx>
        <c:axId val="164158848"/>
        <c:scaling>
          <c:orientation val="minMax"/>
        </c:scaling>
        <c:axPos val="b"/>
        <c:numFmt formatCode="General" sourceLinked="1"/>
        <c:tickLblPos val="low"/>
        <c:spPr>
          <a:ln w="3181">
            <a:solidFill>
              <a:srgbClr val="000000"/>
            </a:solidFill>
            <a:prstDash val="solid"/>
          </a:ln>
        </c:spPr>
        <c:txPr>
          <a:bodyPr rot="0" vert="horz"/>
          <a:lstStyle/>
          <a:p>
            <a:pPr>
              <a:defRPr sz="1002" b="0" i="0" u="none" strike="noStrike" baseline="0">
                <a:solidFill>
                  <a:srgbClr val="000000"/>
                </a:solidFill>
                <a:latin typeface="Arial"/>
                <a:ea typeface="Arial"/>
                <a:cs typeface="Arial"/>
              </a:defRPr>
            </a:pPr>
            <a:endParaRPr lang="ro-RO"/>
          </a:p>
        </c:txPr>
        <c:crossAx val="164205696"/>
        <c:crosses val="autoZero"/>
        <c:auto val="1"/>
        <c:lblAlgn val="ctr"/>
        <c:lblOffset val="100"/>
        <c:tickLblSkip val="1"/>
        <c:tickMarkSkip val="1"/>
      </c:catAx>
      <c:valAx>
        <c:axId val="164205696"/>
        <c:scaling>
          <c:orientation val="minMax"/>
        </c:scaling>
        <c:axPos val="l"/>
        <c:majorGridlines>
          <c:spPr>
            <a:ln w="3181">
              <a:solidFill>
                <a:srgbClr val="000000"/>
              </a:solidFill>
              <a:prstDash val="solid"/>
            </a:ln>
          </c:spPr>
        </c:majorGridlines>
        <c:numFmt formatCode="0%" sourceLinked="1"/>
        <c:tickLblPos val="nextTo"/>
        <c:spPr>
          <a:ln w="3181">
            <a:solidFill>
              <a:srgbClr val="000000"/>
            </a:solidFill>
            <a:prstDash val="solid"/>
          </a:ln>
        </c:spPr>
        <c:txPr>
          <a:bodyPr rot="0" vert="horz"/>
          <a:lstStyle/>
          <a:p>
            <a:pPr>
              <a:defRPr sz="1002" b="0" i="0" u="none" strike="noStrike" baseline="0">
                <a:solidFill>
                  <a:srgbClr val="000000"/>
                </a:solidFill>
                <a:latin typeface="Arial"/>
                <a:ea typeface="Arial"/>
                <a:cs typeface="Arial"/>
              </a:defRPr>
            </a:pPr>
            <a:endParaRPr lang="ro-RO"/>
          </a:p>
        </c:txPr>
        <c:crossAx val="164158848"/>
        <c:crosses val="autoZero"/>
        <c:crossBetween val="between"/>
      </c:valAx>
      <c:spPr>
        <a:gradFill rotWithShape="0">
          <a:gsLst>
            <a:gs pos="0">
              <a:srgbClr val="FFFFFF"/>
            </a:gs>
            <a:gs pos="100000">
              <a:srgbClr val="FFFFFF">
                <a:gamma/>
                <a:shade val="46275"/>
                <a:invGamma/>
              </a:srgbClr>
            </a:gs>
          </a:gsLst>
          <a:path path="rect">
            <a:fillToRect l="50000" t="50000" r="50000" b="50000"/>
          </a:path>
        </a:gradFill>
        <a:ln w="25451">
          <a:noFill/>
        </a:ln>
      </c:spPr>
    </c:plotArea>
    <c:legend>
      <c:legendPos val="r"/>
      <c:layout>
        <c:manualLayout>
          <c:xMode val="edge"/>
          <c:yMode val="edge"/>
          <c:x val="0.6683087027914616"/>
          <c:y val="0.24221453287197386"/>
          <c:w val="0.32512315270935982"/>
          <c:h val="0.51557093425605538"/>
        </c:manualLayout>
      </c:layout>
      <c:spPr>
        <a:noFill/>
        <a:ln w="3181">
          <a:solidFill>
            <a:srgbClr val="000000"/>
          </a:solidFill>
          <a:prstDash val="solid"/>
        </a:ln>
      </c:spPr>
      <c:txPr>
        <a:bodyPr/>
        <a:lstStyle/>
        <a:p>
          <a:pPr>
            <a:defRPr sz="922" b="0"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3181">
      <a:solidFill>
        <a:srgbClr val="000000"/>
      </a:solidFill>
      <a:prstDash val="solid"/>
    </a:ln>
  </c:spPr>
  <c:txPr>
    <a:bodyPr/>
    <a:lstStyle/>
    <a:p>
      <a:pPr>
        <a:defRPr sz="1202" b="1" i="0" u="none" strike="noStrike" baseline="0">
          <a:solidFill>
            <a:srgbClr val="000000"/>
          </a:solidFill>
          <a:latin typeface="Calibri"/>
          <a:ea typeface="Calibri"/>
          <a:cs typeface="Calibri"/>
        </a:defRPr>
      </a:pPr>
      <a:endParaRPr lang="ro-RO"/>
    </a:p>
  </c:tx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2349914236706692"/>
          <c:y val="4.1353383458646975E-2"/>
          <c:w val="0.61921097770154376"/>
          <c:h val="0.69548872180451127"/>
        </c:manualLayout>
      </c:layout>
      <c:lineChart>
        <c:grouping val="standard"/>
        <c:ser>
          <c:idx val="0"/>
          <c:order val="0"/>
          <c:tx>
            <c:strRef>
              <c:f>Sheet1!$A$2</c:f>
              <c:strCache>
                <c:ptCount val="1"/>
                <c:pt idx="0">
                  <c:v>Romania</c:v>
                </c:pt>
              </c:strCache>
            </c:strRef>
          </c:tx>
          <c:spPr>
            <a:ln w="25437">
              <a:solidFill>
                <a:srgbClr val="00FF00"/>
              </a:solidFill>
              <a:prstDash val="solid"/>
            </a:ln>
          </c:spPr>
          <c:marker>
            <c:symbol val="diamond"/>
            <c:size val="7"/>
            <c:spPr>
              <a:solidFill>
                <a:srgbClr val="000080"/>
              </a:solidFill>
              <a:ln>
                <a:solidFill>
                  <a:srgbClr val="000080"/>
                </a:solidFill>
                <a:prstDash val="solid"/>
              </a:ln>
            </c:spPr>
          </c:marker>
          <c:dLbls>
            <c:dLbl>
              <c:idx val="0"/>
              <c:layout>
                <c:manualLayout>
                  <c:x val="7.0073858700857371E-4"/>
                  <c:y val="-5.3178119527521397E-2"/>
                </c:manualLayout>
              </c:layout>
              <c:dLblPos val="r"/>
              <c:showVal val="1"/>
            </c:dLbl>
            <c:spPr>
              <a:noFill/>
              <a:ln w="25437">
                <a:noFill/>
              </a:ln>
            </c:spPr>
            <c:txPr>
              <a:bodyPr/>
              <a:lstStyle/>
              <a:p>
                <a:pPr>
                  <a:defRPr sz="976"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330</c:v>
                </c:pt>
                <c:pt idx="1">
                  <c:v>312</c:v>
                </c:pt>
                <c:pt idx="2">
                  <c:v>300</c:v>
                </c:pt>
                <c:pt idx="3">
                  <c:v>291</c:v>
                </c:pt>
                <c:pt idx="4">
                  <c:v>285</c:v>
                </c:pt>
                <c:pt idx="5">
                  <c:v>280</c:v>
                </c:pt>
              </c:numCache>
            </c:numRef>
          </c:val>
        </c:ser>
        <c:ser>
          <c:idx val="1"/>
          <c:order val="1"/>
          <c:tx>
            <c:strRef>
              <c:f>Sheet1!$A$3</c:f>
              <c:strCache>
                <c:ptCount val="1"/>
                <c:pt idx="0">
                  <c:v>EU-27</c:v>
                </c:pt>
              </c:strCache>
            </c:strRef>
          </c:tx>
          <c:spPr>
            <a:ln w="25437">
              <a:solidFill>
                <a:srgbClr val="FF00FF"/>
              </a:solidFill>
              <a:prstDash val="solid"/>
            </a:ln>
          </c:spPr>
          <c:marker>
            <c:symbol val="square"/>
            <c:size val="7"/>
            <c:spPr>
              <a:solidFill>
                <a:srgbClr val="FF00FF"/>
              </a:solidFill>
              <a:ln>
                <a:solidFill>
                  <a:srgbClr val="FF00FF"/>
                </a:solidFill>
                <a:prstDash val="solid"/>
              </a:ln>
            </c:spPr>
          </c:marker>
          <c:dLbls>
            <c:spPr>
              <a:noFill/>
              <a:ln w="25437">
                <a:noFill/>
              </a:ln>
            </c:spPr>
            <c:txPr>
              <a:bodyPr/>
              <a:lstStyle/>
              <a:p>
                <a:pPr>
                  <a:defRPr sz="976"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505</c:v>
                </c:pt>
                <c:pt idx="1">
                  <c:v>500</c:v>
                </c:pt>
                <c:pt idx="2">
                  <c:v>495</c:v>
                </c:pt>
                <c:pt idx="3">
                  <c:v>490</c:v>
                </c:pt>
                <c:pt idx="4">
                  <c:v>485</c:v>
                </c:pt>
                <c:pt idx="5">
                  <c:v>480</c:v>
                </c:pt>
              </c:numCache>
            </c:numRef>
          </c:val>
        </c:ser>
        <c:ser>
          <c:idx val="2"/>
          <c:order val="2"/>
          <c:tx>
            <c:strRef>
              <c:f>Sheet1!$A$4</c:f>
              <c:strCache>
                <c:ptCount val="1"/>
                <c:pt idx="0">
                  <c:v>județul Brăila</c:v>
                </c:pt>
              </c:strCache>
            </c:strRef>
          </c:tx>
          <c:spPr>
            <a:ln w="25437">
              <a:solidFill>
                <a:srgbClr val="FFFF00"/>
              </a:solidFill>
              <a:prstDash val="solid"/>
            </a:ln>
          </c:spPr>
          <c:marker>
            <c:symbol val="triangle"/>
            <c:size val="7"/>
            <c:spPr>
              <a:solidFill>
                <a:srgbClr val="FFFF00"/>
              </a:solidFill>
              <a:ln>
                <a:solidFill>
                  <a:srgbClr val="FFFF00"/>
                </a:solidFill>
                <a:prstDash val="solid"/>
              </a:ln>
            </c:spPr>
          </c:marker>
          <c:dLbls>
            <c:dLbl>
              <c:idx val="0"/>
              <c:layout>
                <c:manualLayout>
                  <c:x val="-1.4736654208874808E-2"/>
                  <c:y val="7.5111364840602504E-2"/>
                </c:manualLayout>
              </c:layout>
              <c:dLblPos val="r"/>
              <c:showVal val="1"/>
            </c:dLbl>
            <c:dLbl>
              <c:idx val="1"/>
              <c:layout>
                <c:manualLayout>
                  <c:x val="-2.1883523653841351E-2"/>
                  <c:y val="-7.4449910936048594E-2"/>
                </c:manualLayout>
              </c:layout>
              <c:dLblPos val="r"/>
              <c:showVal val="1"/>
            </c:dLbl>
            <c:spPr>
              <a:noFill/>
              <a:ln w="25437">
                <a:noFill/>
              </a:ln>
            </c:spPr>
            <c:txPr>
              <a:bodyPr/>
              <a:lstStyle/>
              <a:p>
                <a:pPr>
                  <a:defRPr sz="976" b="0" i="0" u="none" strike="noStrike" baseline="0">
                    <a:solidFill>
                      <a:srgbClr val="000000"/>
                    </a:solidFill>
                    <a:latin typeface="Arial"/>
                    <a:ea typeface="Arial"/>
                    <a:cs typeface="Arial"/>
                  </a:defRPr>
                </a:pPr>
                <a:endParaRPr lang="ro-RO"/>
              </a:p>
            </c:txPr>
            <c:showVal val="1"/>
          </c:dLbls>
          <c:cat>
            <c:numRef>
              <c:f>Sheet1!$B$1:$G$1</c:f>
              <c:numCache>
                <c:formatCode>General</c:formatCode>
                <c:ptCount val="6"/>
                <c:pt idx="0">
                  <c:v>2010</c:v>
                </c:pt>
                <c:pt idx="1">
                  <c:v>2011</c:v>
                </c:pt>
                <c:pt idx="2">
                  <c:v>2012</c:v>
                </c:pt>
                <c:pt idx="3">
                  <c:v>2013</c:v>
                </c:pt>
                <c:pt idx="4">
                  <c:v>2014</c:v>
                </c:pt>
                <c:pt idx="5">
                  <c:v>2015</c:v>
                </c:pt>
              </c:numCache>
            </c:numRef>
          </c:cat>
          <c:val>
            <c:numRef>
              <c:f>Sheet1!$B$4:$G$4</c:f>
              <c:numCache>
                <c:formatCode>General</c:formatCode>
                <c:ptCount val="6"/>
                <c:pt idx="0">
                  <c:v>165</c:v>
                </c:pt>
                <c:pt idx="1">
                  <c:v>143</c:v>
                </c:pt>
                <c:pt idx="2">
                  <c:v>140</c:v>
                </c:pt>
                <c:pt idx="3">
                  <c:v>154</c:v>
                </c:pt>
                <c:pt idx="4">
                  <c:v>150</c:v>
                </c:pt>
                <c:pt idx="5">
                  <c:v>172</c:v>
                </c:pt>
              </c:numCache>
            </c:numRef>
          </c:val>
        </c:ser>
        <c:dLbls>
          <c:showVal val="1"/>
        </c:dLbls>
        <c:marker val="1"/>
        <c:axId val="164232192"/>
        <c:axId val="166114432"/>
      </c:lineChart>
      <c:catAx>
        <c:axId val="164232192"/>
        <c:scaling>
          <c:orientation val="minMax"/>
        </c:scaling>
        <c:axPos val="b"/>
        <c:title>
          <c:tx>
            <c:rich>
              <a:bodyPr/>
              <a:lstStyle/>
              <a:p>
                <a:pPr>
                  <a:defRPr sz="976" b="0" i="0" u="none" strike="noStrike" baseline="0">
                    <a:solidFill>
                      <a:srgbClr val="000000"/>
                    </a:solidFill>
                    <a:latin typeface="Arial"/>
                    <a:ea typeface="Arial"/>
                    <a:cs typeface="Arial"/>
                  </a:defRPr>
                </a:pPr>
                <a:r>
                  <a:rPr lang="ro-RO"/>
                  <a:t>An</a:t>
                </a:r>
              </a:p>
            </c:rich>
          </c:tx>
          <c:layout>
            <c:manualLayout>
              <c:xMode val="edge"/>
              <c:yMode val="edge"/>
              <c:x val="0.41509433962264375"/>
              <c:y val="0.85338345864661669"/>
            </c:manualLayout>
          </c:layout>
          <c:spPr>
            <a:noFill/>
            <a:ln w="25437">
              <a:noFill/>
            </a:ln>
          </c:spPr>
        </c:title>
        <c:numFmt formatCode="General" sourceLinked="1"/>
        <c:tickLblPos val="nextTo"/>
        <c:spPr>
          <a:ln w="3180">
            <a:solidFill>
              <a:srgbClr val="000000"/>
            </a:solidFill>
            <a:prstDash val="solid"/>
          </a:ln>
        </c:spPr>
        <c:txPr>
          <a:bodyPr rot="0" vert="horz"/>
          <a:lstStyle/>
          <a:p>
            <a:pPr>
              <a:defRPr sz="976" b="0" i="0" u="none" strike="noStrike" baseline="0">
                <a:solidFill>
                  <a:srgbClr val="000000"/>
                </a:solidFill>
                <a:latin typeface="Arial"/>
                <a:ea typeface="Arial"/>
                <a:cs typeface="Arial"/>
              </a:defRPr>
            </a:pPr>
            <a:endParaRPr lang="ro-RO"/>
          </a:p>
        </c:txPr>
        <c:crossAx val="166114432"/>
        <c:crosses val="autoZero"/>
        <c:auto val="1"/>
        <c:lblAlgn val="ctr"/>
        <c:lblOffset val="100"/>
        <c:tickLblSkip val="1"/>
        <c:tickMarkSkip val="1"/>
      </c:catAx>
      <c:valAx>
        <c:axId val="166114432"/>
        <c:scaling>
          <c:orientation val="minMax"/>
        </c:scaling>
        <c:axPos val="l"/>
        <c:majorGridlines>
          <c:spPr>
            <a:ln w="3180">
              <a:solidFill>
                <a:srgbClr val="000000"/>
              </a:solidFill>
              <a:prstDash val="solid"/>
            </a:ln>
          </c:spPr>
        </c:majorGridlines>
        <c:title>
          <c:tx>
            <c:rich>
              <a:bodyPr/>
              <a:lstStyle/>
              <a:p>
                <a:pPr>
                  <a:defRPr sz="976" b="0" i="0" u="none" strike="noStrike" baseline="0">
                    <a:solidFill>
                      <a:srgbClr val="000000"/>
                    </a:solidFill>
                    <a:latin typeface="Arial"/>
                    <a:ea typeface="Arial"/>
                    <a:cs typeface="Arial"/>
                  </a:defRPr>
                </a:pPr>
                <a:r>
                  <a:rPr lang="ro-RO"/>
                  <a:t>kg/loc./an</a:t>
                </a:r>
              </a:p>
            </c:rich>
          </c:tx>
          <c:layout>
            <c:manualLayout>
              <c:xMode val="edge"/>
              <c:yMode val="edge"/>
              <c:x val="2.7444253859348202E-2"/>
              <c:y val="0.27443609022556392"/>
            </c:manualLayout>
          </c:layout>
          <c:spPr>
            <a:noFill/>
            <a:ln w="25437">
              <a:noFill/>
            </a:ln>
          </c:spPr>
        </c:title>
        <c:numFmt formatCode="0" sourceLinked="0"/>
        <c:tickLblPos val="nextTo"/>
        <c:spPr>
          <a:ln w="3180">
            <a:solidFill>
              <a:srgbClr val="000000"/>
            </a:solidFill>
            <a:prstDash val="solid"/>
          </a:ln>
        </c:spPr>
        <c:txPr>
          <a:bodyPr rot="0" vert="horz"/>
          <a:lstStyle/>
          <a:p>
            <a:pPr>
              <a:defRPr sz="976" b="0" i="0" u="none" strike="noStrike" baseline="0">
                <a:solidFill>
                  <a:srgbClr val="000000"/>
                </a:solidFill>
                <a:latin typeface="Arial"/>
                <a:ea typeface="Arial"/>
                <a:cs typeface="Arial"/>
              </a:defRPr>
            </a:pPr>
            <a:endParaRPr lang="ro-RO"/>
          </a:p>
        </c:txPr>
        <c:crossAx val="164232192"/>
        <c:crosses val="autoZero"/>
        <c:crossBetween val="between"/>
      </c:valAx>
      <c:spPr>
        <a:gradFill rotWithShape="0">
          <a:gsLst>
            <a:gs pos="0">
              <a:srgbClr val="FFFFFF"/>
            </a:gs>
            <a:gs pos="100000">
              <a:srgbClr val="FFFFFF">
                <a:gamma/>
                <a:shade val="46275"/>
                <a:invGamma/>
              </a:srgbClr>
            </a:gs>
          </a:gsLst>
          <a:path path="rect">
            <a:fillToRect r="100000" b="100000"/>
          </a:path>
        </a:gradFill>
        <a:ln w="12718">
          <a:solidFill>
            <a:srgbClr val="C0C0C0"/>
          </a:solidFill>
          <a:prstDash val="solid"/>
        </a:ln>
      </c:spPr>
    </c:plotArea>
    <c:legend>
      <c:legendPos val="r"/>
      <c:layout>
        <c:manualLayout>
          <c:xMode val="edge"/>
          <c:yMode val="edge"/>
          <c:x val="0.79759862778730706"/>
          <c:y val="0.31203007518797254"/>
          <c:w val="0.19554030874785591"/>
          <c:h val="0.24060150375939848"/>
        </c:manualLayout>
      </c:layout>
      <c:spPr>
        <a:noFill/>
        <a:ln w="12718">
          <a:solidFill>
            <a:srgbClr val="000000"/>
          </a:solidFill>
          <a:prstDash val="solid"/>
        </a:ln>
      </c:spPr>
      <c:txPr>
        <a:bodyPr/>
        <a:lstStyle/>
        <a:p>
          <a:pPr>
            <a:defRPr sz="921" b="0" i="0" u="none" strike="noStrike" baseline="0">
              <a:solidFill>
                <a:srgbClr val="000000"/>
              </a:solidFill>
              <a:latin typeface="Arial"/>
              <a:ea typeface="Arial"/>
              <a:cs typeface="Arial"/>
            </a:defRPr>
          </a:pPr>
          <a:endParaRPr lang="ro-RO"/>
        </a:p>
      </c:txPr>
    </c:legend>
    <c:plotVisOnly val="1"/>
    <c:dispBlanksAs val="gap"/>
  </c:chart>
  <c:spPr>
    <a:gradFill flip="none" rotWithShape="1">
      <a:gsLst>
        <a:gs pos="0">
          <a:srgbClr val="EEECE1">
            <a:gamma/>
            <a:shade val="46275"/>
            <a:invGamma/>
          </a:srgbClr>
        </a:gs>
        <a:gs pos="100000">
          <a:srgbClr val="EEECE1"/>
        </a:gs>
      </a:gsLst>
      <a:path path="shape">
        <a:fillToRect l="50000" t="50000" r="50000" b="50000"/>
      </a:path>
      <a:tileRect/>
    </a:gradFill>
    <a:ln w="6350" cap="flat" cmpd="sng" algn="ctr">
      <a:solidFill>
        <a:srgbClr val="000080"/>
      </a:solidFill>
      <a:prstDash val="solid"/>
      <a:miter lim="800000"/>
      <a:headEnd type="none" w="med" len="med"/>
      <a:tailEnd type="none" w="med" len="med"/>
    </a:ln>
  </c:spPr>
  <c:txPr>
    <a:bodyPr/>
    <a:lstStyle/>
    <a:p>
      <a:pPr>
        <a:defRPr sz="1177" b="1" i="0" u="none" strike="noStrike" baseline="0">
          <a:solidFill>
            <a:srgbClr val="000000"/>
          </a:solidFill>
          <a:latin typeface="Calibri"/>
          <a:ea typeface="Calibri"/>
          <a:cs typeface="Calibri"/>
        </a:defRPr>
      </a:pPr>
      <a:endParaRPr lang="ro-RO"/>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9.3357271095152725E-2"/>
          <c:y val="5.7220708446866476E-2"/>
          <c:w val="0.75763016157989604"/>
          <c:h val="0.83378746594005448"/>
        </c:manualLayout>
      </c:layout>
      <c:lineChart>
        <c:grouping val="standard"/>
        <c:ser>
          <c:idx val="0"/>
          <c:order val="0"/>
          <c:tx>
            <c:strRef>
              <c:f>Sheet1!$A$2</c:f>
              <c:strCache>
                <c:ptCount val="1"/>
                <c:pt idx="0">
                  <c:v>urban</c:v>
                </c:pt>
              </c:strCache>
            </c:strRef>
          </c:tx>
          <c:spPr>
            <a:ln w="25423">
              <a:solidFill>
                <a:srgbClr val="0000FF"/>
              </a:solidFill>
              <a:prstDash val="solid"/>
            </a:ln>
          </c:spPr>
          <c:marker>
            <c:symbol val="triangle"/>
            <c:size val="9"/>
            <c:spPr>
              <a:solidFill>
                <a:srgbClr val="000080"/>
              </a:solidFill>
              <a:ln>
                <a:solidFill>
                  <a:srgbClr val="000080"/>
                </a:solidFill>
                <a:prstDash val="solid"/>
              </a:ln>
            </c:spPr>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48570</c:v>
                </c:pt>
                <c:pt idx="1">
                  <c:v>55789</c:v>
                </c:pt>
                <c:pt idx="2">
                  <c:v>46294</c:v>
                </c:pt>
                <c:pt idx="3">
                  <c:v>46846</c:v>
                </c:pt>
                <c:pt idx="4">
                  <c:v>49656</c:v>
                </c:pt>
                <c:pt idx="5">
                  <c:v>44322</c:v>
                </c:pt>
                <c:pt idx="6">
                  <c:v>50135</c:v>
                </c:pt>
              </c:numCache>
            </c:numRef>
          </c:val>
        </c:ser>
        <c:ser>
          <c:idx val="1"/>
          <c:order val="1"/>
          <c:tx>
            <c:strRef>
              <c:f>Sheet1!$A$3</c:f>
              <c:strCache>
                <c:ptCount val="1"/>
                <c:pt idx="0">
                  <c:v>rural</c:v>
                </c:pt>
              </c:strCache>
            </c:strRef>
          </c:tx>
          <c:spPr>
            <a:ln w="25423">
              <a:solidFill>
                <a:srgbClr val="008000"/>
              </a:solidFill>
              <a:prstDash val="solid"/>
            </a:ln>
          </c:spPr>
          <c:marker>
            <c:symbol val="triangle"/>
            <c:size val="9"/>
            <c:spPr>
              <a:solidFill>
                <a:srgbClr val="FF00FF"/>
              </a:solidFill>
              <a:ln>
                <a:solidFill>
                  <a:srgbClr val="FF00FF"/>
                </a:solidFill>
                <a:prstDash val="solid"/>
              </a:ln>
            </c:spPr>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0</c:v>
                </c:pt>
                <c:pt idx="1">
                  <c:v>3699</c:v>
                </c:pt>
                <c:pt idx="2">
                  <c:v>4418</c:v>
                </c:pt>
                <c:pt idx="3">
                  <c:v>2425</c:v>
                </c:pt>
                <c:pt idx="4">
                  <c:v>4150</c:v>
                </c:pt>
                <c:pt idx="5">
                  <c:v>5182</c:v>
                </c:pt>
                <c:pt idx="6">
                  <c:v>5825</c:v>
                </c:pt>
              </c:numCache>
            </c:numRef>
          </c:val>
        </c:ser>
        <c:ser>
          <c:idx val="2"/>
          <c:order val="2"/>
          <c:tx>
            <c:strRef>
              <c:f>Sheet1!$A$4</c:f>
              <c:strCache>
                <c:ptCount val="1"/>
                <c:pt idx="0">
                  <c:v>total</c:v>
                </c:pt>
              </c:strCache>
            </c:strRef>
          </c:tx>
          <c:spPr>
            <a:ln w="25423">
              <a:solidFill>
                <a:srgbClr val="FF6600"/>
              </a:solidFill>
              <a:prstDash val="solid"/>
            </a:ln>
          </c:spPr>
          <c:marker>
            <c:symbol val="triangle"/>
            <c:size val="9"/>
            <c:spPr>
              <a:solidFill>
                <a:srgbClr val="FFFF00"/>
              </a:solidFill>
              <a:ln>
                <a:solidFill>
                  <a:srgbClr val="FF6600"/>
                </a:solidFill>
                <a:prstDash val="solid"/>
              </a:ln>
            </c:spPr>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Sheet1!$B$4:$H$4</c:f>
              <c:numCache>
                <c:formatCode>General</c:formatCode>
                <c:ptCount val="7"/>
                <c:pt idx="0">
                  <c:v>48570</c:v>
                </c:pt>
                <c:pt idx="1">
                  <c:v>59488</c:v>
                </c:pt>
                <c:pt idx="2">
                  <c:v>50712</c:v>
                </c:pt>
                <c:pt idx="3">
                  <c:v>49271</c:v>
                </c:pt>
                <c:pt idx="4">
                  <c:v>53807</c:v>
                </c:pt>
                <c:pt idx="5">
                  <c:v>49504</c:v>
                </c:pt>
                <c:pt idx="6">
                  <c:v>55960</c:v>
                </c:pt>
              </c:numCache>
            </c:numRef>
          </c:val>
        </c:ser>
        <c:marker val="1"/>
        <c:axId val="166152064"/>
        <c:axId val="166391808"/>
      </c:lineChart>
      <c:catAx>
        <c:axId val="166152064"/>
        <c:scaling>
          <c:orientation val="minMax"/>
        </c:scaling>
        <c:axPos val="b"/>
        <c:numFmt formatCode="General" sourceLinked="1"/>
        <c:tickLblPos val="nextTo"/>
        <c:spPr>
          <a:ln w="3178">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ro-RO"/>
          </a:p>
        </c:txPr>
        <c:crossAx val="166391808"/>
        <c:crosses val="autoZero"/>
        <c:auto val="1"/>
        <c:lblAlgn val="ctr"/>
        <c:lblOffset val="100"/>
        <c:tickLblSkip val="1"/>
        <c:tickMarkSkip val="1"/>
      </c:catAx>
      <c:valAx>
        <c:axId val="166391808"/>
        <c:scaling>
          <c:orientation val="minMax"/>
        </c:scaling>
        <c:axPos val="l"/>
        <c:majorGridlines>
          <c:spPr>
            <a:ln w="12712">
              <a:solidFill>
                <a:srgbClr val="FFFFFF"/>
              </a:solidFill>
              <a:prstDash val="solid"/>
            </a:ln>
          </c:spPr>
        </c:majorGridlines>
        <c:numFmt formatCode="General" sourceLinked="1"/>
        <c:tickLblPos val="nextTo"/>
        <c:spPr>
          <a:ln w="3178">
            <a:solidFill>
              <a:srgbClr val="000000"/>
            </a:solidFill>
            <a:prstDash val="solid"/>
          </a:ln>
        </c:spPr>
        <c:txPr>
          <a:bodyPr rot="0" vert="horz"/>
          <a:lstStyle/>
          <a:p>
            <a:pPr>
              <a:defRPr sz="901" b="1" i="0" u="none" strike="noStrike" baseline="0">
                <a:solidFill>
                  <a:srgbClr val="000000"/>
                </a:solidFill>
                <a:latin typeface="Calibri"/>
                <a:ea typeface="Calibri"/>
                <a:cs typeface="Calibri"/>
              </a:defRPr>
            </a:pPr>
            <a:endParaRPr lang="ro-RO"/>
          </a:p>
        </c:txPr>
        <c:crossAx val="166152064"/>
        <c:crosses val="autoZero"/>
        <c:crossBetween val="between"/>
      </c:valAx>
      <c:spPr>
        <a:gradFill rotWithShape="0">
          <a:gsLst>
            <a:gs pos="0">
              <a:srgbClr val="FFFFFF"/>
            </a:gs>
            <a:gs pos="100000">
              <a:srgbClr val="FFFFFF">
                <a:gamma/>
                <a:shade val="46275"/>
                <a:invGamma/>
              </a:srgbClr>
            </a:gs>
          </a:gsLst>
          <a:lin ang="5400000" scaled="1"/>
        </a:gradFill>
        <a:ln w="12712">
          <a:solidFill>
            <a:srgbClr val="FFFFFF"/>
          </a:solidFill>
          <a:prstDash val="solid"/>
        </a:ln>
      </c:spPr>
    </c:plotArea>
    <c:legend>
      <c:legendPos val="r"/>
      <c:layout>
        <c:manualLayout>
          <c:xMode val="edge"/>
          <c:yMode val="edge"/>
          <c:x val="0.87073608617594267"/>
          <c:y val="0.39237057220708876"/>
          <c:w val="0.12208258527827701"/>
          <c:h val="0.16621253405994554"/>
        </c:manualLayout>
      </c:layout>
      <c:spPr>
        <a:noFill/>
        <a:ln w="3178">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o-RO"/>
        </a:p>
      </c:txPr>
    </c:legend>
    <c:plotVisOnly val="1"/>
    <c:dispBlanksAs val="gap"/>
  </c:chart>
  <c:spPr>
    <a:solidFill>
      <a:srgbClr val="FFFFFF"/>
    </a:solidFill>
    <a:ln>
      <a:noFill/>
    </a:ln>
  </c:spPr>
  <c:txPr>
    <a:bodyPr/>
    <a:lstStyle/>
    <a:p>
      <a:pPr>
        <a:defRPr sz="1601" b="1" i="0" u="none" strike="noStrike" baseline="0">
          <a:solidFill>
            <a:srgbClr val="000000"/>
          </a:solidFill>
          <a:latin typeface="Calibri"/>
          <a:ea typeface="Calibri"/>
          <a:cs typeface="Calibri"/>
        </a:defRPr>
      </a:pPr>
      <a:endParaRPr lang="ro-RO"/>
    </a:p>
  </c:tx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8.1993569131833463E-2"/>
          <c:y val="5.7471264367816112E-2"/>
          <c:w val="0.82958199356913265"/>
          <c:h val="0.7931034482758621"/>
        </c:manualLayout>
      </c:layout>
      <c:lineChart>
        <c:grouping val="standard"/>
        <c:ser>
          <c:idx val="0"/>
          <c:order val="0"/>
          <c:tx>
            <c:strRef>
              <c:f>Sheet1!$B$1</c:f>
              <c:strCache>
                <c:ptCount val="1"/>
                <c:pt idx="0">
                  <c:v> </c:v>
                </c:pt>
              </c:strCache>
            </c:strRef>
          </c:tx>
          <c:spPr>
            <a:ln w="25409">
              <a:solidFill>
                <a:srgbClr val="00CCFF"/>
              </a:solidFill>
              <a:prstDash val="solid"/>
            </a:ln>
          </c:spPr>
          <c:marker>
            <c:symbol val="diamond"/>
            <c:size val="7"/>
            <c:spPr>
              <a:solidFill>
                <a:srgbClr val="000080"/>
              </a:solidFill>
              <a:ln>
                <a:solidFill>
                  <a:srgbClr val="000080"/>
                </a:solidFill>
                <a:prstDash val="solid"/>
              </a:ln>
            </c:spPr>
          </c:marker>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18089</c:v>
                </c:pt>
                <c:pt idx="1">
                  <c:v>14279</c:v>
                </c:pt>
                <c:pt idx="2">
                  <c:v>14072</c:v>
                </c:pt>
                <c:pt idx="3">
                  <c:v>16711</c:v>
                </c:pt>
                <c:pt idx="4">
                  <c:v>18827</c:v>
                </c:pt>
                <c:pt idx="5">
                  <c:v>18595</c:v>
                </c:pt>
                <c:pt idx="6">
                  <c:v>19590</c:v>
                </c:pt>
              </c:numCache>
            </c:numRef>
          </c:val>
        </c:ser>
        <c:marker val="1"/>
        <c:axId val="168147584"/>
        <c:axId val="168256256"/>
      </c:lineChart>
      <c:catAx>
        <c:axId val="168147584"/>
        <c:scaling>
          <c:orientation val="minMax"/>
        </c:scaling>
        <c:axPos val="b"/>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168256256"/>
        <c:crosses val="autoZero"/>
        <c:auto val="1"/>
        <c:lblAlgn val="ctr"/>
        <c:lblOffset val="100"/>
        <c:tickMarkSkip val="1"/>
      </c:catAx>
      <c:valAx>
        <c:axId val="168256256"/>
        <c:scaling>
          <c:orientation val="minMax"/>
        </c:scaling>
        <c:axPos val="l"/>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168147584"/>
        <c:crosses val="autoZero"/>
        <c:crossBetween val="between"/>
      </c:valAx>
      <c:dTable>
        <c:showHorzBorder val="1"/>
        <c:showVertBorder val="1"/>
        <c:showOutline val="1"/>
        <c:showKeys val="1"/>
        <c:spPr>
          <a:ln w="3176">
            <a:solidFill>
              <a:srgbClr val="000000"/>
            </a:solidFill>
            <a:prstDash val="solid"/>
          </a:ln>
        </c:spPr>
        <c:txPr>
          <a:bodyPr/>
          <a:lstStyle/>
          <a:p>
            <a:pPr rtl="0">
              <a:defRPr sz="800" b="1" i="0" u="none" strike="noStrike" baseline="0">
                <a:solidFill>
                  <a:srgbClr val="000000"/>
                </a:solidFill>
                <a:latin typeface="Calibri"/>
                <a:ea typeface="Calibri"/>
                <a:cs typeface="Calibri"/>
              </a:defRPr>
            </a:pPr>
            <a:endParaRPr lang="ro-RO"/>
          </a:p>
        </c:txPr>
      </c:dTable>
      <c:spPr>
        <a:gradFill rotWithShape="0">
          <a:gsLst>
            <a:gs pos="0">
              <a:srgbClr val="FFFFFF">
                <a:gamma/>
                <a:shade val="46275"/>
                <a:invGamma/>
              </a:srgbClr>
            </a:gs>
            <a:gs pos="100000">
              <a:srgbClr val="FFFFFF"/>
            </a:gs>
          </a:gsLst>
          <a:lin ang="5400000" scaled="1"/>
        </a:gradFill>
        <a:ln w="12704">
          <a:solidFill>
            <a:srgbClr val="FFFFFF"/>
          </a:solidFill>
          <a:prstDash val="solid"/>
        </a:ln>
      </c:spPr>
    </c:plotArea>
    <c:legend>
      <c:legendPos val="r"/>
      <c:layout>
        <c:manualLayout>
          <c:xMode val="edge"/>
          <c:yMode val="edge"/>
          <c:x val="0.92926045016077174"/>
          <c:y val="0.42528735632183906"/>
          <c:w val="6.4308681672026149E-2"/>
          <c:h val="5.7471264367816112E-2"/>
        </c:manualLayout>
      </c:layout>
      <c:spPr>
        <a:solidFill>
          <a:srgbClr val="FFFFFF"/>
        </a:solid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o-RO"/>
    </a:p>
  </c:tx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8.1730769230769246E-2"/>
          <c:y val="7.7821011673151752E-2"/>
          <c:w val="0.83012820512820562"/>
          <c:h val="0.71984435797665369"/>
        </c:manualLayout>
      </c:layout>
      <c:lineChart>
        <c:grouping val="standard"/>
        <c:ser>
          <c:idx val="0"/>
          <c:order val="0"/>
          <c:tx>
            <c:strRef>
              <c:f>Sheet1!$B$1</c:f>
              <c:strCache>
                <c:ptCount val="1"/>
                <c:pt idx="0">
                  <c:v> </c:v>
                </c:pt>
              </c:strCache>
            </c:strRef>
          </c:tx>
          <c:spPr>
            <a:ln w="25413">
              <a:solidFill>
                <a:srgbClr val="008000"/>
              </a:solidFill>
              <a:prstDash val="solid"/>
            </a:ln>
          </c:spPr>
          <c:marker>
            <c:symbol val="diamond"/>
            <c:size val="7"/>
            <c:spPr>
              <a:solidFill>
                <a:srgbClr val="000080"/>
              </a:solidFill>
              <a:ln>
                <a:solidFill>
                  <a:srgbClr val="000080"/>
                </a:solidFill>
                <a:prstDash val="solid"/>
              </a:ln>
            </c:spPr>
          </c:marker>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12790</c:v>
                </c:pt>
                <c:pt idx="1">
                  <c:v>10853</c:v>
                </c:pt>
                <c:pt idx="2">
                  <c:v>10051</c:v>
                </c:pt>
                <c:pt idx="3">
                  <c:v>4990</c:v>
                </c:pt>
                <c:pt idx="4">
                  <c:v>4467</c:v>
                </c:pt>
                <c:pt idx="5">
                  <c:v>30515</c:v>
                </c:pt>
                <c:pt idx="6">
                  <c:v>28670</c:v>
                </c:pt>
              </c:numCache>
            </c:numRef>
          </c:val>
        </c:ser>
        <c:marker val="1"/>
        <c:axId val="168711296"/>
        <c:axId val="168713216"/>
      </c:lineChart>
      <c:catAx>
        <c:axId val="168711296"/>
        <c:scaling>
          <c:orientation val="minMax"/>
        </c:scaling>
        <c:axPos val="b"/>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168713216"/>
        <c:crosses val="autoZero"/>
        <c:auto val="1"/>
        <c:lblAlgn val="ctr"/>
        <c:lblOffset val="100"/>
        <c:tickMarkSkip val="1"/>
      </c:catAx>
      <c:valAx>
        <c:axId val="168713216"/>
        <c:scaling>
          <c:orientation val="minMax"/>
        </c:scaling>
        <c:axPos val="l"/>
        <c:numFmt formatCode="General" sourceLinked="1"/>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o-RO"/>
          </a:p>
        </c:txPr>
        <c:crossAx val="168711296"/>
        <c:crosses val="autoZero"/>
        <c:crossBetween val="between"/>
      </c:valAx>
      <c:dTable>
        <c:showHorzBorder val="1"/>
        <c:showVertBorder val="1"/>
        <c:showOutline val="1"/>
        <c:showKeys val="1"/>
        <c:spPr>
          <a:ln w="3177">
            <a:solidFill>
              <a:srgbClr val="000000"/>
            </a:solidFill>
            <a:prstDash val="solid"/>
          </a:ln>
        </c:spPr>
        <c:txPr>
          <a:bodyPr/>
          <a:lstStyle/>
          <a:p>
            <a:pPr rtl="0">
              <a:defRPr sz="800" b="1" i="0" u="none" strike="noStrike" baseline="0">
                <a:solidFill>
                  <a:srgbClr val="000000"/>
                </a:solidFill>
                <a:latin typeface="Calibri"/>
                <a:ea typeface="Calibri"/>
                <a:cs typeface="Calibri"/>
              </a:defRPr>
            </a:pPr>
            <a:endParaRPr lang="ro-RO"/>
          </a:p>
        </c:txPr>
      </c:dTable>
      <c:spPr>
        <a:gradFill rotWithShape="0">
          <a:gsLst>
            <a:gs pos="0">
              <a:srgbClr val="FFFFFF">
                <a:gamma/>
                <a:shade val="46275"/>
                <a:invGamma/>
              </a:srgbClr>
            </a:gs>
            <a:gs pos="100000">
              <a:srgbClr val="FFFFFF"/>
            </a:gs>
          </a:gsLst>
          <a:lin ang="5400000" scaled="1"/>
        </a:gradFill>
        <a:ln w="12706">
          <a:solidFill>
            <a:srgbClr val="FFFFFF"/>
          </a:solidFill>
          <a:prstDash val="solid"/>
        </a:ln>
      </c:spPr>
    </c:plotArea>
    <c:legend>
      <c:legendPos val="r"/>
      <c:layout>
        <c:manualLayout>
          <c:xMode val="edge"/>
          <c:yMode val="edge"/>
          <c:x val="0.92948717948717952"/>
          <c:y val="0.40077821011673154"/>
          <c:w val="6.4102564102564111E-2"/>
          <c:h val="7.7821011673151752E-2"/>
        </c:manualLayout>
      </c:layout>
      <c:spPr>
        <a:solidFill>
          <a:srgbClr val="FFFFFF"/>
        </a:solidFill>
        <a:ln w="3177">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o-RO"/>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9.0434782608695655E-2"/>
          <c:y val="5.5408970976253323E-2"/>
          <c:w val="0.76521739130434752"/>
          <c:h val="0.83905013192612132"/>
        </c:manualLayout>
      </c:layout>
      <c:lineChart>
        <c:grouping val="standard"/>
        <c:ser>
          <c:idx val="0"/>
          <c:order val="0"/>
          <c:tx>
            <c:strRef>
              <c:f>Sheet1!$A$2</c:f>
              <c:strCache>
                <c:ptCount val="1"/>
                <c:pt idx="0">
                  <c:v>total</c:v>
                </c:pt>
              </c:strCache>
            </c:strRef>
          </c:tx>
          <c:spPr>
            <a:ln w="25337">
              <a:solidFill>
                <a:srgbClr val="000080"/>
              </a:solidFill>
              <a:prstDash val="solid"/>
            </a:ln>
          </c:spPr>
          <c:marker>
            <c:symbol val="diamond"/>
            <c:size val="6"/>
            <c:spPr>
              <a:solidFill>
                <a:srgbClr val="000080"/>
              </a:solidFill>
              <a:ln>
                <a:solidFill>
                  <a:srgbClr val="000080"/>
                </a:solidFill>
                <a:prstDash val="solid"/>
              </a:ln>
            </c:spPr>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39928</c:v>
                </c:pt>
                <c:pt idx="1">
                  <c:v>35902</c:v>
                </c:pt>
                <c:pt idx="2">
                  <c:v>22718</c:v>
                </c:pt>
                <c:pt idx="3">
                  <c:v>25445</c:v>
                </c:pt>
                <c:pt idx="4">
                  <c:v>23348</c:v>
                </c:pt>
                <c:pt idx="5">
                  <c:v>10113</c:v>
                </c:pt>
                <c:pt idx="6">
                  <c:v>12439</c:v>
                </c:pt>
              </c:numCache>
            </c:numRef>
          </c:val>
        </c:ser>
        <c:ser>
          <c:idx val="1"/>
          <c:order val="1"/>
          <c:tx>
            <c:strRef>
              <c:f>Sheet1!$A$3</c:f>
              <c:strCache>
                <c:ptCount val="1"/>
                <c:pt idx="0">
                  <c:v>urban</c:v>
                </c:pt>
              </c:strCache>
            </c:strRef>
          </c:tx>
          <c:spPr>
            <a:ln w="25337">
              <a:solidFill>
                <a:srgbClr val="FF00FF"/>
              </a:solidFill>
              <a:prstDash val="solid"/>
            </a:ln>
          </c:spPr>
          <c:marker>
            <c:symbol val="square"/>
            <c:size val="6"/>
            <c:spPr>
              <a:solidFill>
                <a:srgbClr val="FF00FF"/>
              </a:solidFill>
              <a:ln>
                <a:solidFill>
                  <a:srgbClr val="FF00FF"/>
                </a:solidFill>
                <a:prstDash val="solid"/>
              </a:ln>
            </c:spPr>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23718</c:v>
                </c:pt>
                <c:pt idx="1">
                  <c:v>24976</c:v>
                </c:pt>
                <c:pt idx="2">
                  <c:v>22445</c:v>
                </c:pt>
                <c:pt idx="3">
                  <c:v>24896</c:v>
                </c:pt>
                <c:pt idx="4">
                  <c:v>22798</c:v>
                </c:pt>
                <c:pt idx="5">
                  <c:v>7695</c:v>
                </c:pt>
                <c:pt idx="6">
                  <c:v>12230</c:v>
                </c:pt>
              </c:numCache>
            </c:numRef>
          </c:val>
        </c:ser>
        <c:ser>
          <c:idx val="2"/>
          <c:order val="2"/>
          <c:tx>
            <c:strRef>
              <c:f>Sheet1!$A$4</c:f>
              <c:strCache>
                <c:ptCount val="1"/>
                <c:pt idx="0">
                  <c:v>rural</c:v>
                </c:pt>
              </c:strCache>
            </c:strRef>
          </c:tx>
          <c:spPr>
            <a:ln w="25337">
              <a:solidFill>
                <a:srgbClr val="339966"/>
              </a:solidFill>
              <a:prstDash val="solid"/>
            </a:ln>
          </c:spPr>
          <c:marker>
            <c:symbol val="triangle"/>
            <c:size val="8"/>
            <c:spPr>
              <a:solidFill>
                <a:srgbClr val="339966"/>
              </a:solidFill>
              <a:ln>
                <a:solidFill>
                  <a:srgbClr val="339966"/>
                </a:solidFill>
                <a:prstDash val="solid"/>
              </a:ln>
            </c:spPr>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Sheet1!$B$4:$H$4</c:f>
              <c:numCache>
                <c:formatCode>General</c:formatCode>
                <c:ptCount val="7"/>
                <c:pt idx="0">
                  <c:v>16209</c:v>
                </c:pt>
                <c:pt idx="1">
                  <c:v>10926</c:v>
                </c:pt>
                <c:pt idx="2">
                  <c:v>272</c:v>
                </c:pt>
                <c:pt idx="3">
                  <c:v>549</c:v>
                </c:pt>
                <c:pt idx="4">
                  <c:v>550</c:v>
                </c:pt>
                <c:pt idx="5">
                  <c:v>2418</c:v>
                </c:pt>
                <c:pt idx="6">
                  <c:v>209</c:v>
                </c:pt>
              </c:numCache>
            </c:numRef>
          </c:val>
        </c:ser>
        <c:marker val="1"/>
        <c:axId val="151221376"/>
        <c:axId val="151223296"/>
      </c:lineChart>
      <c:catAx>
        <c:axId val="151221376"/>
        <c:scaling>
          <c:orientation val="minMax"/>
        </c:scaling>
        <c:axPos val="b"/>
        <c:numFmt formatCode="General" sourceLinked="1"/>
        <c:tickLblPos val="nextTo"/>
        <c:spPr>
          <a:ln w="3167">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ro-RO"/>
          </a:p>
        </c:txPr>
        <c:crossAx val="151223296"/>
        <c:crosses val="autoZero"/>
        <c:auto val="1"/>
        <c:lblAlgn val="ctr"/>
        <c:lblOffset val="100"/>
        <c:tickLblSkip val="1"/>
        <c:tickMarkSkip val="1"/>
      </c:catAx>
      <c:valAx>
        <c:axId val="151223296"/>
        <c:scaling>
          <c:orientation val="minMax"/>
        </c:scaling>
        <c:axPos val="l"/>
        <c:numFmt formatCode="General" sourceLinked="1"/>
        <c:tickLblPos val="nextTo"/>
        <c:spPr>
          <a:ln w="3167">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ro-RO"/>
          </a:p>
        </c:txPr>
        <c:crossAx val="151221376"/>
        <c:crosses val="autoZero"/>
        <c:crossBetween val="between"/>
      </c:valAx>
      <c:spPr>
        <a:gradFill rotWithShape="0">
          <a:gsLst>
            <a:gs pos="0">
              <a:srgbClr val="FFFFFF">
                <a:gamma/>
                <a:shade val="46275"/>
                <a:invGamma/>
              </a:srgbClr>
            </a:gs>
            <a:gs pos="100000">
              <a:srgbClr val="FFFFFF"/>
            </a:gs>
          </a:gsLst>
          <a:lin ang="5400000" scaled="1"/>
        </a:gradFill>
        <a:ln w="25337">
          <a:noFill/>
        </a:ln>
      </c:spPr>
    </c:plotArea>
    <c:legend>
      <c:legendPos val="r"/>
      <c:layout>
        <c:manualLayout>
          <c:xMode val="edge"/>
          <c:yMode val="edge"/>
          <c:x val="0.87478260869565261"/>
          <c:y val="0.39577836411609685"/>
          <c:w val="0.11826086956521772"/>
          <c:h val="0.1609498680738787"/>
        </c:manualLayout>
      </c:layout>
      <c:spPr>
        <a:noFill/>
        <a:ln w="3167">
          <a:solidFill>
            <a:srgbClr val="000000"/>
          </a:solidFill>
          <a:prstDash val="solid"/>
        </a:ln>
      </c:spPr>
      <c:txPr>
        <a:bodyPr/>
        <a:lstStyle/>
        <a:p>
          <a:pPr>
            <a:defRPr sz="823"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1845" b="1" i="0" u="none" strike="noStrike" baseline="0">
          <a:solidFill>
            <a:srgbClr val="000000"/>
          </a:solidFill>
          <a:latin typeface="Calibri"/>
          <a:ea typeface="Calibri"/>
          <a:cs typeface="Calibri"/>
        </a:defRPr>
      </a:pPr>
      <a:endParaRPr lang="ro-RO"/>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5.8914728682170542E-2"/>
          <c:y val="7.3800738007380073E-2"/>
          <c:w val="0.78914728682170543"/>
          <c:h val="0.78966789667896675"/>
        </c:manualLayout>
      </c:layout>
      <c:lineChart>
        <c:grouping val="standard"/>
        <c:ser>
          <c:idx val="0"/>
          <c:order val="0"/>
          <c:tx>
            <c:strRef>
              <c:f>Sheet1!$A$2</c:f>
              <c:strCache>
                <c:ptCount val="1"/>
                <c:pt idx="0">
                  <c:v>total [%]</c:v>
                </c:pt>
              </c:strCache>
            </c:strRef>
          </c:tx>
          <c:spPr>
            <a:ln w="25431">
              <a:solidFill>
                <a:srgbClr val="000080"/>
              </a:solidFill>
              <a:prstDash val="solid"/>
            </a:ln>
          </c:spPr>
          <c:marker>
            <c:symbol val="diamond"/>
            <c:size val="7"/>
            <c:spPr>
              <a:solidFill>
                <a:srgbClr val="000080"/>
              </a:solidFill>
              <a:ln>
                <a:solidFill>
                  <a:srgbClr val="000080"/>
                </a:solidFill>
                <a:prstDash val="solid"/>
              </a:ln>
            </c:spPr>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Sheet1!$B$2:$H$2</c:f>
              <c:numCache>
                <c:formatCode>General</c:formatCode>
                <c:ptCount val="7"/>
                <c:pt idx="0">
                  <c:v>49.13</c:v>
                </c:pt>
                <c:pt idx="1">
                  <c:v>58.260000000000012</c:v>
                </c:pt>
                <c:pt idx="2">
                  <c:v>80.239999999999995</c:v>
                </c:pt>
                <c:pt idx="3">
                  <c:v>93.669999999999987</c:v>
                </c:pt>
                <c:pt idx="4">
                  <c:v>92.26</c:v>
                </c:pt>
                <c:pt idx="5">
                  <c:v>87.1</c:v>
                </c:pt>
                <c:pt idx="6">
                  <c:v>87.45</c:v>
                </c:pt>
              </c:numCache>
            </c:numRef>
          </c:val>
        </c:ser>
        <c:ser>
          <c:idx val="1"/>
          <c:order val="1"/>
          <c:tx>
            <c:strRef>
              <c:f>Sheet1!$A$3</c:f>
              <c:strCache>
                <c:ptCount val="1"/>
                <c:pt idx="0">
                  <c:v>urban [%]</c:v>
                </c:pt>
              </c:strCache>
            </c:strRef>
          </c:tx>
          <c:spPr>
            <a:ln w="25431">
              <a:solidFill>
                <a:srgbClr val="FF00FF"/>
              </a:solidFill>
              <a:prstDash val="solid"/>
            </a:ln>
          </c:spPr>
          <c:marker>
            <c:symbol val="square"/>
            <c:size val="7"/>
            <c:spPr>
              <a:solidFill>
                <a:srgbClr val="FF00FF"/>
              </a:solidFill>
              <a:ln>
                <a:solidFill>
                  <a:srgbClr val="FF00FF"/>
                </a:solidFill>
                <a:prstDash val="solid"/>
              </a:ln>
            </c:spPr>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Sheet1!$B$3:$H$3</c:f>
              <c:numCache>
                <c:formatCode>General</c:formatCode>
                <c:ptCount val="7"/>
                <c:pt idx="0">
                  <c:v>69.169999999999987</c:v>
                </c:pt>
                <c:pt idx="1">
                  <c:v>67.63</c:v>
                </c:pt>
                <c:pt idx="2">
                  <c:v>70.36</c:v>
                </c:pt>
                <c:pt idx="3">
                  <c:v>91.88</c:v>
                </c:pt>
                <c:pt idx="4">
                  <c:v>88.75</c:v>
                </c:pt>
                <c:pt idx="5">
                  <c:v>87.9</c:v>
                </c:pt>
                <c:pt idx="6">
                  <c:v>80.53</c:v>
                </c:pt>
              </c:numCache>
            </c:numRef>
          </c:val>
        </c:ser>
        <c:ser>
          <c:idx val="2"/>
          <c:order val="2"/>
          <c:tx>
            <c:strRef>
              <c:f>Sheet1!$A$4</c:f>
              <c:strCache>
                <c:ptCount val="1"/>
                <c:pt idx="0">
                  <c:v>rural [%]</c:v>
                </c:pt>
              </c:strCache>
            </c:strRef>
          </c:tx>
          <c:spPr>
            <a:ln w="25431">
              <a:solidFill>
                <a:srgbClr val="FF6600"/>
              </a:solidFill>
              <a:prstDash val="solid"/>
            </a:ln>
          </c:spPr>
          <c:marker>
            <c:symbol val="triangle"/>
            <c:size val="7"/>
            <c:spPr>
              <a:solidFill>
                <a:srgbClr val="FFFF00"/>
              </a:solidFill>
              <a:ln>
                <a:solidFill>
                  <a:srgbClr val="FFFF00"/>
                </a:solidFill>
                <a:prstDash val="solid"/>
              </a:ln>
            </c:spPr>
          </c:marker>
          <c:cat>
            <c:numRef>
              <c:f>Sheet1!$B$1:$H$1</c:f>
              <c:numCache>
                <c:formatCode>General</c:formatCode>
                <c:ptCount val="7"/>
                <c:pt idx="0">
                  <c:v>2009</c:v>
                </c:pt>
                <c:pt idx="1">
                  <c:v>2010</c:v>
                </c:pt>
                <c:pt idx="2">
                  <c:v>2011</c:v>
                </c:pt>
                <c:pt idx="3">
                  <c:v>2012</c:v>
                </c:pt>
                <c:pt idx="4">
                  <c:v>2013</c:v>
                </c:pt>
                <c:pt idx="5">
                  <c:v>2014</c:v>
                </c:pt>
                <c:pt idx="6">
                  <c:v>2015</c:v>
                </c:pt>
              </c:numCache>
            </c:numRef>
          </c:cat>
          <c:val>
            <c:numRef>
              <c:f>Sheet1!$B$4:$H$4</c:f>
              <c:numCache>
                <c:formatCode>General</c:formatCode>
                <c:ptCount val="7"/>
                <c:pt idx="0">
                  <c:v>11.9</c:v>
                </c:pt>
                <c:pt idx="1">
                  <c:v>40.85</c:v>
                </c:pt>
                <c:pt idx="2">
                  <c:v>96.6</c:v>
                </c:pt>
                <c:pt idx="3">
                  <c:v>96.960000000000022</c:v>
                </c:pt>
                <c:pt idx="4">
                  <c:v>98.7</c:v>
                </c:pt>
                <c:pt idx="5">
                  <c:v>85.9</c:v>
                </c:pt>
                <c:pt idx="6">
                  <c:v>98.77</c:v>
                </c:pt>
              </c:numCache>
            </c:numRef>
          </c:val>
        </c:ser>
        <c:marker val="1"/>
        <c:axId val="168455552"/>
        <c:axId val="169395712"/>
      </c:lineChart>
      <c:catAx>
        <c:axId val="168455552"/>
        <c:scaling>
          <c:orientation val="minMax"/>
        </c:scaling>
        <c:axPos val="b"/>
        <c:numFmt formatCode="General" sourceLinked="1"/>
        <c:tickLblPos val="nextTo"/>
        <c:spPr>
          <a:ln w="3179">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o-RO"/>
          </a:p>
        </c:txPr>
        <c:crossAx val="169395712"/>
        <c:crosses val="autoZero"/>
        <c:auto val="1"/>
        <c:lblAlgn val="ctr"/>
        <c:lblOffset val="100"/>
        <c:tickLblSkip val="1"/>
        <c:tickMarkSkip val="1"/>
      </c:catAx>
      <c:valAx>
        <c:axId val="169395712"/>
        <c:scaling>
          <c:orientation val="minMax"/>
        </c:scaling>
        <c:axPos val="l"/>
        <c:numFmt formatCode="General" sourceLinked="1"/>
        <c:tickLblPos val="nextTo"/>
        <c:spPr>
          <a:ln w="3179">
            <a:solidFill>
              <a:srgbClr val="000000"/>
            </a:solidFill>
            <a:prstDash val="solid"/>
          </a:ln>
        </c:spPr>
        <c:txPr>
          <a:bodyPr rot="0" vert="horz"/>
          <a:lstStyle/>
          <a:p>
            <a:pPr>
              <a:defRPr sz="801" b="1" i="0" u="none" strike="noStrike" baseline="0">
                <a:solidFill>
                  <a:srgbClr val="000000"/>
                </a:solidFill>
                <a:latin typeface="Calibri"/>
                <a:ea typeface="Calibri"/>
                <a:cs typeface="Calibri"/>
              </a:defRPr>
            </a:pPr>
            <a:endParaRPr lang="ro-RO"/>
          </a:p>
        </c:txPr>
        <c:crossAx val="168455552"/>
        <c:crosses val="autoZero"/>
        <c:crossBetween val="between"/>
      </c:valAx>
      <c:spPr>
        <a:gradFill rotWithShape="0">
          <a:gsLst>
            <a:gs pos="0">
              <a:srgbClr val="FFFFFF">
                <a:gamma/>
                <a:shade val="46275"/>
                <a:invGamma/>
              </a:srgbClr>
            </a:gs>
            <a:gs pos="100000">
              <a:srgbClr val="FFFFFF"/>
            </a:gs>
          </a:gsLst>
          <a:lin ang="5400000" scaled="1"/>
        </a:gradFill>
        <a:ln w="25431">
          <a:noFill/>
        </a:ln>
      </c:spPr>
    </c:plotArea>
    <c:legend>
      <c:legendPos val="r"/>
      <c:layout>
        <c:manualLayout>
          <c:xMode val="edge"/>
          <c:yMode val="edge"/>
          <c:x val="0.8651162790697674"/>
          <c:y val="0.36162361623616235"/>
          <c:w val="0.1286821705426357"/>
          <c:h val="0.21402214022140303"/>
        </c:manualLayout>
      </c:layout>
      <c:spPr>
        <a:noFill/>
        <a:ln w="3179">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1201" b="1" i="0" u="none" strike="noStrike" baseline="0">
          <a:solidFill>
            <a:srgbClr val="000000"/>
          </a:solidFill>
          <a:latin typeface="Calibri"/>
          <a:ea typeface="Calibri"/>
          <a:cs typeface="Calibri"/>
        </a:defRPr>
      </a:pPr>
      <a:endParaRPr lang="ro-RO"/>
    </a:p>
  </c:tx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3" b="1" i="0" u="none" strike="noStrike" baseline="0">
                <a:solidFill>
                  <a:srgbClr val="000000"/>
                </a:solidFill>
                <a:latin typeface="Calibri"/>
                <a:ea typeface="Calibri"/>
                <a:cs typeface="Calibri"/>
              </a:defRPr>
            </a:pPr>
            <a:r>
              <a:rPr lang="ro-RO"/>
              <a:t>Deșeuri menajere și asimilabile depozitate în depozite conforme</a:t>
            </a:r>
          </a:p>
        </c:rich>
      </c:tx>
      <c:layout>
        <c:manualLayout>
          <c:xMode val="edge"/>
          <c:yMode val="edge"/>
          <c:x val="0.18633540372670901"/>
          <c:y val="1.8939393939393936E-2"/>
        </c:manualLayout>
      </c:layout>
      <c:spPr>
        <a:noFill/>
        <a:ln w="25461">
          <a:noFill/>
        </a:ln>
      </c:spPr>
    </c:title>
    <c:plotArea>
      <c:layout>
        <c:manualLayout>
          <c:layoutTarget val="inner"/>
          <c:xMode val="edge"/>
          <c:yMode val="edge"/>
          <c:x val="0.12888198757763991"/>
          <c:y val="0.23863636363636451"/>
          <c:w val="0.73602484472050012"/>
          <c:h val="0.51893939393939392"/>
        </c:manualLayout>
      </c:layout>
      <c:lineChart>
        <c:grouping val="standard"/>
        <c:ser>
          <c:idx val="0"/>
          <c:order val="0"/>
          <c:tx>
            <c:strRef>
              <c:f>Sheet1!$A$2</c:f>
              <c:strCache>
                <c:ptCount val="1"/>
                <c:pt idx="0">
                  <c:v>tone</c:v>
                </c:pt>
              </c:strCache>
            </c:strRef>
          </c:tx>
          <c:spPr>
            <a:ln w="38191">
              <a:solidFill>
                <a:srgbClr val="000080"/>
              </a:solidFill>
              <a:prstDash val="solid"/>
            </a:ln>
          </c:spPr>
          <c:marker>
            <c:symbol val="diamond"/>
            <c:size val="9"/>
            <c:spPr>
              <a:solidFill>
                <a:srgbClr val="000080"/>
              </a:solidFill>
              <a:ln>
                <a:solidFill>
                  <a:srgbClr val="000080"/>
                </a:solidFill>
                <a:prstDash val="solid"/>
              </a:ln>
            </c:spPr>
          </c:marker>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62246</c:v>
                </c:pt>
                <c:pt idx="1">
                  <c:v>62837</c:v>
                </c:pt>
                <c:pt idx="2">
                  <c:v>72687</c:v>
                </c:pt>
                <c:pt idx="3">
                  <c:v>80642</c:v>
                </c:pt>
                <c:pt idx="4">
                  <c:v>76870</c:v>
                </c:pt>
                <c:pt idx="5">
                  <c:v>84330</c:v>
                </c:pt>
              </c:numCache>
            </c:numRef>
          </c:val>
        </c:ser>
        <c:marker val="1"/>
        <c:axId val="169496960"/>
        <c:axId val="169498880"/>
      </c:lineChart>
      <c:catAx>
        <c:axId val="169496960"/>
        <c:scaling>
          <c:orientation val="minMax"/>
        </c:scaling>
        <c:axPos val="b"/>
        <c:numFmt formatCode="General" sourceLinked="1"/>
        <c:tickLblPos val="nextTo"/>
        <c:spPr>
          <a:ln w="3183">
            <a:solidFill>
              <a:srgbClr val="000000"/>
            </a:solidFill>
            <a:prstDash val="solid"/>
          </a:ln>
        </c:spPr>
        <c:txPr>
          <a:bodyPr rot="0" vert="horz"/>
          <a:lstStyle/>
          <a:p>
            <a:pPr>
              <a:defRPr sz="1153" b="1" i="0" u="none" strike="noStrike" baseline="0">
                <a:solidFill>
                  <a:srgbClr val="000000"/>
                </a:solidFill>
                <a:latin typeface="Calibri"/>
                <a:ea typeface="Calibri"/>
                <a:cs typeface="Calibri"/>
              </a:defRPr>
            </a:pPr>
            <a:endParaRPr lang="ro-RO"/>
          </a:p>
        </c:txPr>
        <c:crossAx val="169498880"/>
        <c:crosses val="autoZero"/>
        <c:auto val="1"/>
        <c:lblAlgn val="ctr"/>
        <c:lblOffset val="100"/>
        <c:tickMarkSkip val="1"/>
      </c:catAx>
      <c:valAx>
        <c:axId val="169498880"/>
        <c:scaling>
          <c:orientation val="minMax"/>
        </c:scaling>
        <c:axPos val="l"/>
        <c:majorGridlines>
          <c:spPr>
            <a:ln w="3183">
              <a:solidFill>
                <a:srgbClr val="000000"/>
              </a:solidFill>
              <a:prstDash val="solid"/>
            </a:ln>
          </c:spPr>
        </c:majorGridlines>
        <c:numFmt formatCode="General" sourceLinked="1"/>
        <c:tickLblPos val="nextTo"/>
        <c:spPr>
          <a:ln w="3183">
            <a:solidFill>
              <a:srgbClr val="000000"/>
            </a:solidFill>
            <a:prstDash val="solid"/>
          </a:ln>
        </c:spPr>
        <c:txPr>
          <a:bodyPr rot="0" vert="horz"/>
          <a:lstStyle/>
          <a:p>
            <a:pPr>
              <a:defRPr sz="1153" b="1" i="0" u="none" strike="noStrike" baseline="0">
                <a:solidFill>
                  <a:srgbClr val="000000"/>
                </a:solidFill>
                <a:latin typeface="Calibri"/>
                <a:ea typeface="Calibri"/>
                <a:cs typeface="Calibri"/>
              </a:defRPr>
            </a:pPr>
            <a:endParaRPr lang="ro-RO"/>
          </a:p>
        </c:txPr>
        <c:crossAx val="169496960"/>
        <c:crosses val="autoZero"/>
        <c:crossBetween val="midCat"/>
      </c:valAx>
      <c:dTable>
        <c:showHorzBorder val="1"/>
        <c:showVertBorder val="1"/>
        <c:showOutline val="1"/>
        <c:showKeys val="1"/>
        <c:spPr>
          <a:ln w="3183">
            <a:solidFill>
              <a:srgbClr val="000000"/>
            </a:solidFill>
            <a:prstDash val="solid"/>
          </a:ln>
        </c:spPr>
        <c:txPr>
          <a:bodyPr/>
          <a:lstStyle/>
          <a:p>
            <a:pPr rtl="0">
              <a:defRPr sz="1153" b="1" i="0" u="none" strike="noStrike" baseline="0">
                <a:solidFill>
                  <a:srgbClr val="000000"/>
                </a:solidFill>
                <a:latin typeface="Calibri"/>
                <a:ea typeface="Calibri"/>
                <a:cs typeface="Calibri"/>
              </a:defRPr>
            </a:pPr>
            <a:endParaRPr lang="ro-RO"/>
          </a:p>
        </c:txPr>
      </c:dTable>
      <c:spPr>
        <a:gradFill rotWithShape="0">
          <a:gsLst>
            <a:gs pos="0">
              <a:srgbClr val="FFFFFF">
                <a:gamma/>
                <a:shade val="46275"/>
                <a:invGamma/>
              </a:srgbClr>
            </a:gs>
            <a:gs pos="100000">
              <a:srgbClr val="FFFFFF"/>
            </a:gs>
          </a:gsLst>
          <a:lin ang="5400000" scaled="1"/>
        </a:gradFill>
        <a:ln w="12730">
          <a:solidFill>
            <a:srgbClr val="808080"/>
          </a:solidFill>
          <a:prstDash val="solid"/>
        </a:ln>
      </c:spPr>
    </c:plotArea>
    <c:legend>
      <c:legendPos val="r"/>
      <c:layout>
        <c:manualLayout>
          <c:xMode val="edge"/>
          <c:yMode val="edge"/>
          <c:x val="0.88198757763975155"/>
          <c:y val="0.45454545454545453"/>
          <c:w val="0.11180124223602519"/>
          <c:h val="9.0909090909091064E-2"/>
        </c:manualLayout>
      </c:layout>
      <c:spPr>
        <a:noFill/>
        <a:ln w="3183">
          <a:solidFill>
            <a:srgbClr val="000000"/>
          </a:solidFill>
          <a:prstDash val="solid"/>
        </a:ln>
      </c:spPr>
      <c:txPr>
        <a:bodyPr/>
        <a:lstStyle/>
        <a:p>
          <a:pPr>
            <a:defRPr sz="1058" b="1" i="0" u="none" strike="noStrike" baseline="0">
              <a:solidFill>
                <a:srgbClr val="000000"/>
              </a:solidFill>
              <a:latin typeface="Calibri"/>
              <a:ea typeface="Calibri"/>
              <a:cs typeface="Calibri"/>
            </a:defRPr>
          </a:pPr>
          <a:endParaRPr lang="ro-RO"/>
        </a:p>
      </c:txPr>
    </c:legend>
    <c:plotVisOnly val="1"/>
    <c:dispBlanksAs val="gap"/>
  </c:chart>
  <c:spPr>
    <a:noFill/>
    <a:ln>
      <a:noFill/>
    </a:ln>
  </c:spPr>
  <c:txPr>
    <a:bodyPr/>
    <a:lstStyle/>
    <a:p>
      <a:pPr>
        <a:defRPr sz="1153" b="1" i="0" u="none" strike="noStrike" baseline="0">
          <a:solidFill>
            <a:srgbClr val="000000"/>
          </a:solidFill>
          <a:latin typeface="Calibri"/>
          <a:ea typeface="Calibri"/>
          <a:cs typeface="Calibri"/>
        </a:defRPr>
      </a:pPr>
      <a:endParaRPr lang="ro-RO"/>
    </a:p>
  </c:txPr>
  <c:externalData r:id="rId1"/>
</c:chartSpace>
</file>

<file path=word/drawings/drawing1.xml><?xml version="1.0" encoding="utf-8"?>
<c:userShapes xmlns:c="http://schemas.openxmlformats.org/drawingml/2006/chart">
  <cdr:relSizeAnchor xmlns:cdr="http://schemas.openxmlformats.org/drawingml/2006/chartDrawing">
    <cdr:from>
      <cdr:x>0.0256</cdr:x>
      <cdr:y>0.66809</cdr:y>
    </cdr:from>
    <cdr:to>
      <cdr:x>0.1472</cdr:x>
      <cdr:y>0.75161</cdr:y>
    </cdr:to>
    <cdr:sp macro="" textlink="">
      <cdr:nvSpPr>
        <cdr:cNvPr id="2" name="TextBox 1"/>
        <cdr:cNvSpPr txBox="1"/>
      </cdr:nvSpPr>
      <cdr:spPr>
        <a:xfrm xmlns:a="http://schemas.openxmlformats.org/drawingml/2006/main">
          <a:off x="152400" y="2971800"/>
          <a:ext cx="72390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o-RO" sz="1100"/>
        </a:p>
      </cdr:txBody>
    </cdr:sp>
  </cdr:relSizeAnchor>
</c:userShapes>
</file>

<file path=word/drawings/drawing2.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0.37414</cdr:x>
      <cdr:y>0.59091</cdr:y>
    </cdr:from>
    <cdr:to>
      <cdr:x>0.50697</cdr:x>
      <cdr:y>0.67727</cdr:y>
    </cdr:to>
    <cdr:sp macro="" textlink="">
      <cdr:nvSpPr>
        <cdr:cNvPr id="4" name="TextBox 3"/>
        <cdr:cNvSpPr txBox="1"/>
      </cdr:nvSpPr>
      <cdr:spPr>
        <a:xfrm xmlns:a="http://schemas.openxmlformats.org/drawingml/2006/main">
          <a:off x="2016784" y="1121434"/>
          <a:ext cx="715993" cy="163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1100"/>
            <a:t>81,81%</a:t>
          </a:r>
        </a:p>
        <a:p xmlns:a="http://schemas.openxmlformats.org/drawingml/2006/main">
          <a:endParaRPr lang="ro-RO" sz="1100"/>
        </a:p>
      </cdr:txBody>
    </cdr:sp>
  </cdr:relSizeAnchor>
  <cdr:relSizeAnchor xmlns:cdr="http://schemas.openxmlformats.org/drawingml/2006/chartDrawing">
    <cdr:from>
      <cdr:x>0.19651</cdr:x>
      <cdr:y>0.33636</cdr:y>
    </cdr:from>
    <cdr:to>
      <cdr:x>0.28612</cdr:x>
      <cdr:y>0.46364</cdr:y>
    </cdr:to>
    <cdr:sp macro="" textlink="">
      <cdr:nvSpPr>
        <cdr:cNvPr id="5" name="TextBox 4"/>
        <cdr:cNvSpPr txBox="1"/>
      </cdr:nvSpPr>
      <cdr:spPr>
        <a:xfrm xmlns:a="http://schemas.openxmlformats.org/drawingml/2006/main">
          <a:off x="1059252" y="638354"/>
          <a:ext cx="483079" cy="2415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6,3</a:t>
          </a:r>
        </a:p>
        <a:p xmlns:a="http://schemas.openxmlformats.org/drawingml/2006/main">
          <a:endParaRPr lang="ro-RO" sz="1100"/>
        </a:p>
      </cdr:txBody>
    </cdr:sp>
  </cdr:relSizeAnchor>
  <cdr:relSizeAnchor xmlns:cdr="http://schemas.openxmlformats.org/drawingml/2006/chartDrawing">
    <cdr:from>
      <cdr:x>0.26052</cdr:x>
      <cdr:y>0.31818</cdr:y>
    </cdr:from>
    <cdr:to>
      <cdr:x>0.37414</cdr:x>
      <cdr:y>0.42727</cdr:y>
    </cdr:to>
    <cdr:sp macro="" textlink="">
      <cdr:nvSpPr>
        <cdr:cNvPr id="6" name="TextBox 5"/>
        <cdr:cNvSpPr txBox="1"/>
      </cdr:nvSpPr>
      <cdr:spPr>
        <a:xfrm xmlns:a="http://schemas.openxmlformats.org/drawingml/2006/main">
          <a:off x="1404308" y="603849"/>
          <a:ext cx="612476" cy="2070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5,14</a:t>
          </a:r>
        </a:p>
        <a:p xmlns:a="http://schemas.openxmlformats.org/drawingml/2006/main">
          <a:endParaRPr lang="ro-RO" sz="1100"/>
        </a:p>
      </cdr:txBody>
    </cdr:sp>
  </cdr:relSizeAnchor>
  <cdr:relSizeAnchor xmlns:cdr="http://schemas.openxmlformats.org/drawingml/2006/chartDrawing">
    <cdr:from>
      <cdr:x>0.26372</cdr:x>
      <cdr:y>0.25</cdr:y>
    </cdr:from>
    <cdr:to>
      <cdr:x>0.3664</cdr:x>
      <cdr:y>0.38182</cdr:y>
    </cdr:to>
    <cdr:sp macro="" textlink="">
      <cdr:nvSpPr>
        <cdr:cNvPr id="7" name="TextBox 6"/>
        <cdr:cNvSpPr txBox="1"/>
      </cdr:nvSpPr>
      <cdr:spPr>
        <a:xfrm xmlns:a="http://schemas.openxmlformats.org/drawingml/2006/main">
          <a:off x="1323147" y="480923"/>
          <a:ext cx="515178" cy="2535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1,72</a:t>
          </a:r>
        </a:p>
      </cdr:txBody>
    </cdr:sp>
  </cdr:relSizeAnchor>
  <cdr:relSizeAnchor xmlns:cdr="http://schemas.openxmlformats.org/drawingml/2006/chartDrawing">
    <cdr:from>
      <cdr:x>0.29699</cdr:x>
      <cdr:y>0.1911</cdr:y>
    </cdr:from>
    <cdr:to>
      <cdr:x>0.38821</cdr:x>
      <cdr:y>0.34564</cdr:y>
    </cdr:to>
    <cdr:sp macro="" textlink="">
      <cdr:nvSpPr>
        <cdr:cNvPr id="8" name="TextBox 7"/>
        <cdr:cNvSpPr txBox="1"/>
      </cdr:nvSpPr>
      <cdr:spPr>
        <a:xfrm xmlns:a="http://schemas.openxmlformats.org/drawingml/2006/main">
          <a:off x="1490510" y="334651"/>
          <a:ext cx="457813" cy="270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800"/>
            <a:t>2,96</a:t>
          </a:r>
        </a:p>
        <a:p xmlns:a="http://schemas.openxmlformats.org/drawingml/2006/main">
          <a:endParaRPr lang="ro-RO" sz="1100"/>
        </a:p>
      </cdr:txBody>
    </cdr:sp>
  </cdr:relSizeAnchor>
  <cdr:relSizeAnchor xmlns:cdr="http://schemas.openxmlformats.org/drawingml/2006/chartDrawing">
    <cdr:from>
      <cdr:x>0.33881</cdr:x>
      <cdr:y>0.22628</cdr:y>
    </cdr:from>
    <cdr:to>
      <cdr:x>0.42683</cdr:x>
      <cdr:y>0.34901</cdr:y>
    </cdr:to>
    <cdr:sp macro="" textlink="">
      <cdr:nvSpPr>
        <cdr:cNvPr id="9" name="TextBox 8"/>
        <cdr:cNvSpPr txBox="1"/>
      </cdr:nvSpPr>
      <cdr:spPr>
        <a:xfrm xmlns:a="http://schemas.openxmlformats.org/drawingml/2006/main">
          <a:off x="1804252" y="482134"/>
          <a:ext cx="468729" cy="2615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1,72</a:t>
          </a:r>
        </a:p>
        <a:p xmlns:a="http://schemas.openxmlformats.org/drawingml/2006/main">
          <a:endParaRPr lang="ro-RO" sz="1100"/>
        </a:p>
      </cdr:txBody>
    </cdr:sp>
  </cdr:relSizeAnchor>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dr:relSizeAnchor xmlns:cdr="http://schemas.openxmlformats.org/drawingml/2006/chartDrawing">
    <cdr:from>
      <cdr:x>0.48272</cdr:x>
      <cdr:y>0.5027</cdr:y>
    </cdr:from>
    <cdr:to>
      <cdr:x>0.47653</cdr:x>
      <cdr:y>0.63205</cdr:y>
    </cdr:to>
    <cdr:sp macro="" textlink="">
      <cdr:nvSpPr>
        <cdr:cNvPr id="2"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8950B-5E8B-4975-9B90-FD16713A2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166</Pages>
  <Words>51334</Words>
  <Characters>297743</Characters>
  <Application>Microsoft Office Word</Application>
  <DocSecurity>0</DocSecurity>
  <Lines>2481</Lines>
  <Paragraphs>696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camelia.geanta</dc:creator>
  <cp:lastModifiedBy>aurel.banuta</cp:lastModifiedBy>
  <cp:revision>9</cp:revision>
  <dcterms:created xsi:type="dcterms:W3CDTF">2017-08-17T06:12:00Z</dcterms:created>
  <dcterms:modified xsi:type="dcterms:W3CDTF">2017-11-23T09:26:00Z</dcterms:modified>
</cp:coreProperties>
</file>